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Contents</w:t>
      </w:r>
      <w:commentRangeEnd w:id="1"/>
      <w:r>
        <w:commentReference w:id="1"/>
      </w:r>
    </w:p>
    <w:p>
      <w:pPr>
        <w:pStyle w:val="Normal"/>
      </w:pPr>
      <w:r>
        <w:fldChar w:fldCharType="begin"/>
      </w:r>
      <w:r>
        <w:instrText xml:space="preserve"> TOC \o "1-3" \h \z \u </w:instrText>
      </w:r>
      <w:r>
        <w:fldChar w:fldCharType="separate"/>
      </w:r>
      <w:r>
        <w:t xml:space="preserve">The table of contents is updated when the document is opened in Word.</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Project 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Description</w:t>
            </w:r>
          </w:p>
        </w:tc>
        <w:tc>
          <w:tcPr>
            <w:tcW w:w="5755" w:type="dxa"/>
            <w:vAlign w:val="center"/>
          </w:tcPr>
          <w:p>
            <w:r>
              <w:rPr>
                <w:noProof/>
              </w:rPr>
              <w:t xml:space="preserve">{{projekt.beschreibung}}</w:t>
            </w:r>
          </w:p>
        </w:tc>
      </w:tr>
      <w:tr>
        <w:tc>
          <w:tcPr>
            <w:tcW w:w="3600" w:type="dxa"/>
            <w:shd w:val="clear" w:color="auto" w:fill="F2F2F2"/>
            <w:vAlign w:val="center"/>
          </w:tcPr>
          <w:p>
            <w:r>
              <w:t xml:space="preserve">Climate region</w:t>
            </w:r>
          </w:p>
        </w:tc>
        <w:tc>
          <w:tcPr>
            <w:tcW w:w="5755" w:type="dxa"/>
            <w:vAlign w:val="center"/>
          </w:tcPr>
          <w:p>
            <w:r>
              <w:rPr>
                <w:noProof/>
              </w:rPr>
              <w:t xml:space="preserve">{{projekt.klimaregion}}</w:t>
            </w:r>
          </w:p>
        </w:tc>
      </w:tr>
      <w:tr>
        <w:tc>
          <w:tcPr>
            <w:tcW w:w="3600" w:type="dxa"/>
            <w:shd w:val="clear" w:color="auto" w:fill="F2F2F2"/>
            <w:vAlign w:val="center"/>
          </w:tcPr>
          <w:p>
            <w:r>
              <w:t xml:space="preserve">Created</w:t>
            </w:r>
          </w:p>
        </w:tc>
        <w:tc>
          <w:tcPr>
            <w:tcW w:w="5755" w:type="dxa"/>
            <w:vAlign w:val="center"/>
          </w:tcPr>
          <w:p>
            <w:r>
              <w:rPr>
                <w:noProof/>
              </w:rPr>
              <w:t xml:space="preserve">{{projekt.angelegt}}</w:t>
            </w:r>
          </w:p>
        </w:tc>
      </w:tr>
      <w:tr>
        <w:tc>
          <w:tcPr>
            <w:tcW w:w="3600" w:type="dxa"/>
            <w:shd w:val="clear" w:color="auto" w:fill="F2F2F2"/>
            <w:vAlign w:val="center"/>
          </w:tcPr>
          <w:p>
            <w:r>
              <w:t xml:space="preserve">Last modified</w:t>
            </w:r>
          </w:p>
        </w:tc>
        <w:tc>
          <w:tcPr>
            <w:tcW w:w="5755" w:type="dxa"/>
            <w:vAlign w:val="center"/>
          </w:tcPr>
          <w:p>
            <w:r>
              <w:rPr>
                <w:noProof/>
              </w:rPr>
              <w:t xml:space="preserve">{{projekt.geaendert}}</w:t>
            </w:r>
          </w:p>
        </w:tc>
      </w:tr>
      <w:tr>
        <w:tc>
          <w:tcPr>
            <w:tcW w:w="3600" w:type="dxa"/>
            <w:shd w:val="clear" w:color="auto" w:fill="F2F2F2"/>
            <w:vAlign w:val="center"/>
          </w:tcPr>
          <w:p>
            <w:r>
              <w:t xml:space="preserve">Simulation timestamp</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Buildings</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Building type</w:t>
            </w:r>
          </w:p>
        </w:tc>
        <w:tc>
          <w:tcPr>
            <w:tcW w:w="5755" w:type="dxa"/>
            <w:vAlign w:val="center"/>
          </w:tcPr>
          <w:p>
            <w:r>
              <w:rPr>
                <w:noProof/>
              </w:rPr>
              <w:t xml:space="preserve">{{gebaeude.art}}</w:t>
            </w:r>
          </w:p>
        </w:tc>
      </w:tr>
      <w:tr>
        <w:tc>
          <w:tcPr>
            <w:tcW w:w="3600" w:type="dxa"/>
            <w:shd w:val="clear" w:color="auto" w:fill="F2F2F2"/>
            <w:vAlign w:val="center"/>
          </w:tcPr>
          <w:p>
            <w:r>
              <w:t xml:space="preserve">Construction period</w:t>
            </w:r>
          </w:p>
        </w:tc>
        <w:tc>
          <w:tcPr>
            <w:tcW w:w="5755" w:type="dxa"/>
            <w:vAlign w:val="center"/>
          </w:tcPr>
          <w:p>
            <w:r>
              <w:rPr>
                <w:noProof/>
              </w:rPr>
              <w:t xml:space="preserve">{{gebaeude.baualtersklasse}}</w:t>
            </w:r>
          </w:p>
        </w:tc>
      </w:tr>
      <w:tr>
        <w:tc>
          <w:tcPr>
            <w:tcW w:w="3600" w:type="dxa"/>
            <w:shd w:val="clear" w:color="auto" w:fill="F2F2F2"/>
            <w:vAlign w:val="center"/>
          </w:tcPr>
          <w:p>
            <w:r>
              <w:t xml:space="preserve">Living/usable area</w:t>
            </w:r>
          </w:p>
        </w:tc>
        <w:tc>
          <w:tcPr>
            <w:tcW w:w="5755" w:type="dxa"/>
            <w:vAlign w:val="center"/>
          </w:tcPr>
          <w:p>
            <w:r>
              <w:rPr>
                <w:noProof/>
              </w:rPr>
              <w:t xml:space="preserve">{{gebaeude.flaeche}}</w:t>
            </w:r>
          </w:p>
        </w:tc>
      </w:tr>
      <w:tr>
        <w:tc>
          <w:tcPr>
            <w:tcW w:w="3600" w:type="dxa"/>
            <w:shd w:val="clear" w:color="auto" w:fill="F2F2F2"/>
            <w:vAlign w:val="center"/>
          </w:tcPr>
          <w:p>
            <w:r>
              <w:t xml:space="preserve">Occupants/users</w:t>
            </w:r>
          </w:p>
        </w:tc>
        <w:tc>
          <w:tcPr>
            <w:tcW w:w="5755" w:type="dxa"/>
            <w:vAlign w:val="center"/>
          </w:tcPr>
          <w:p>
            <w:r>
              <w:rPr>
                <w:noProof/>
              </w:rPr>
              <w:t xml:space="preserve">{{gebaeude.nutzer}}</w:t>
            </w:r>
          </w:p>
        </w:tc>
      </w:tr>
      <w:tr>
        <w:tc>
          <w:tcPr>
            <w:tcW w:w="3600" w:type="dxa"/>
            <w:shd w:val="clear" w:color="auto" w:fill="F2F2F2"/>
            <w:vAlign w:val="center"/>
          </w:tcPr>
          <w:p>
            <w:r>
              <w:t xml:space="preserve">Heat demand</w:t>
            </w:r>
          </w:p>
        </w:tc>
        <w:tc>
          <w:tcPr>
            <w:tcW w:w="5755" w:type="dxa"/>
            <w:vAlign w:val="center"/>
          </w:tcPr>
          <w:p>
            <w:r>
              <w:rPr>
                <w:noProof/>
              </w:rPr>
              <w:t xml:space="preserve">{{gebaeude.waermebedarf}}</w:t>
            </w:r>
          </w:p>
        </w:tc>
      </w:tr>
      <w:tr>
        <w:tc>
          <w:tcPr>
            <w:tcW w:w="3600" w:type="dxa"/>
            <w:shd w:val="clear" w:color="auto" w:fill="F2F2F2"/>
            <w:vAlign w:val="center"/>
          </w:tcPr>
          <w:p>
            <w:r>
              <w:t xml:space="preserve">Specific heat consumption</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Hot water demand</w:t>
            </w:r>
          </w:p>
        </w:tc>
        <w:tc>
          <w:tcPr>
            <w:tcW w:w="5755" w:type="dxa"/>
            <w:vAlign w:val="center"/>
          </w:tcPr>
          <w:p>
            <w:r>
              <w:rPr>
                <w:noProof/>
              </w:rPr>
              <w:t xml:space="preserve">{{gebaeude.ww_bedarf}}</w:t>
            </w:r>
          </w:p>
        </w:tc>
      </w:tr>
      <w:tr>
        <w:tc>
          <w:tcPr>
            <w:tcW w:w="3600" w:type="dxa"/>
            <w:shd w:val="clear" w:color="auto" w:fill="F2F2F2"/>
            <w:vAlign w:val="center"/>
          </w:tcPr>
          <w:p>
            <w:r>
              <w:t xml:space="preserve">Room height</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Energy demand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Coverage by demand type</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Cooling demand and coverage (base simulation result)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Cooling generators</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Buildings (base simulation result)</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Buffer storage design</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Cold storage</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Storage temperatures (stratified model)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Storage temperatures in characteristic weeks (winter/transition/summer)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Component overview</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Heat pump</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CHP unit</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Peak boiler</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 thermal</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Photovoltaics</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Buffer storage</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Battery storage</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Deviations of the variants from the base</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 timestamp: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generation over the year (stacked generators, demand as line, daily mean)</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Annual heat duration curve (ordered demand and generator duration curves)</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Monthly electricity balance (coverage stacked, feed-in separate, demand as line)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Storage profile in characteristic weeks (winter/transition/summer)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load over the year (normalised, total and heat channels)</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Electricity demand over the year (normalised)</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load over the year (normalised)</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heat production and electric heater with heat demand</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electricity consumption including electric heater</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Heat pump: power over outdoor temperature</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Boiler: heat production, residual heat and heat demand</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 thermal: heat production and heat demand</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heat production, residual heat and heat demand</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CHP: power production, feed-in, residual power demand and power demand</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Photovoltaics: generation, surplus and electricity demand</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Cooling production: covered cooling per heat pump, uncovered cooling and cooling demand</w:t>
      </w:r>
    </w:p>
    <w:p>
      <w:pPr>
        <w:pStyle w:val="Normal"/>
      </w:pPr>
      <w:r>
        <w:rPr>
          <w:noProof/>
        </w:rPr>
        <w:t xml:space="preserve">{{/wenn}}</w:t>
      </w:r>
    </w:p>
    <w:p>
      <w:pPr>
        <w:pStyle w:val="Normal"/>
      </w:pPr>
      <w:r>
        <w:rPr>
          <w:noProof/>
        </w:rPr>
        <w:t xml:space="preserve">{{#wenn hat.tabelle.heizkessel}}</w:t>
      </w:r>
    </w:p>
    <w:p>
      <w:pPr>
        <w:pStyle w:val="Normal"/>
      </w:pPr>
      <w:r>
        <w:t xml:space="preserve">Operation per boiler: annual efficiency, share of condensing operation by hours and by heat, starts per year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Battery storage: </w:t>
      </w:r>
      <w:r>
        <w:rPr>
          <w:noProof/>
        </w:rPr>
        <w:t xml:space="preserve">{{stand.speicher.betriebsart}}</w:t>
      </w:r>
      <w:r>
        <w:t xml:space="preserve">, </w:t>
      </w:r>
      <w:r>
        <w:rPr>
          <w:noProof/>
        </w:rPr>
        <w:t xml:space="preserve">{{stand.speicher.berechnungsart}}</w:t>
      </w:r>
    </w:p>
    <w:p>
      <w:pPr>
        <w:pStyle w:val="Normal"/>
      </w:pPr>
      <w:r>
        <w:t xml:space="preserve">Yield </w:t>
      </w:r>
      <w:r>
        <w:rPr>
          <w:noProof/>
        </w:rPr>
        <w:t xml:space="preserve">{{stand.speicher.ertrag}}</w:t>
      </w:r>
      <w:r>
        <w:t xml:space="preserve">, surplus </w:t>
      </w:r>
      <w:r>
        <w:rPr>
          <w:noProof/>
        </w:rPr>
        <w:t xml:space="preserve">{{stand.speicher.ueberschuss}}</w:t>
      </w:r>
      <w:r>
        <w:t xml:space="preserve">, payback </w:t>
      </w:r>
      <w:r>
        <w:rPr>
          <w:noProof/>
        </w:rPr>
        <w:t xml:space="preserve">{{stand.speicher.amortisation}}</w:t>
      </w:r>
    </w:p>
    <w:p>
      <w:pPr>
        <w:pStyle w:val="Normal"/>
      </w:pPr>
      <w:r>
        <w:t xml:space="preserve">Full cycles </w:t>
      </w:r>
      <w:r>
        <w:rPr>
          <w:noProof/>
        </w:rPr>
        <w:t xml:space="preserve">{{stand.speicher.vollzyklen}}</w:t>
      </w:r>
      <w:r>
        <w:t xml:space="preserve">, self-consumption </w:t>
      </w:r>
      <w:r>
        <w:rPr>
          <w:noProof/>
        </w:rPr>
        <w:t xml:space="preserve">{{stand.speicher.eigenverbrauch}}</w:t>
      </w:r>
      <w:r>
        <w:t xml:space="preserve">, self-sufficiency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 coverage of the heat demand: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No variants were selected — the tables show the base project only.</w:t>
      </w:r>
    </w:p>
    <w:p>
      <w:pPr>
        <w:pStyle w:val="Normal"/>
      </w:pPr>
      <w:r>
        <w:rPr>
          <w:noProof/>
        </w:rPr>
        <w:t xml:space="preserve">{{/wenn}}</w:t>
      </w:r>
    </w:p>
    <w:p>
      <w:pPr>
        <w:pStyle w:val="Normal"/>
      </w:pPr>
      <w:r>
        <w:rPr>
          <w:noProof/>
        </w:rPr>
        <w:t xml:space="preserve">{{#wenn hat.tabelle.vergleich.energiebilanz}}</w:t>
      </w:r>
    </w:p>
    <w:p>
      <w:pPr>
        <w:pStyle w:val="Heading2"/>
      </w:pPr>
      <w:r>
        <w:t xml:space="preserve">Energy balance</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Efficiency</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Cooling</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Buildings</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Emissions</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Costs</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Deviation from base (key figures,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Key figures per state</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State</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Range of the seasonal performance factor across all states: </w:t>
      </w:r>
      <w:r>
        <w:rPr>
          <w:noProof/>
        </w:rPr>
        <w:t xml:space="preserve">{{vergleich.minimum.eff.jaz|stellen 1}}</w:t>
      </w:r>
      <w:r>
        <w:t xml:space="preserve"> to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Key figures compared (charts)</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per variant (base highlighted)</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per variant (base highlighted)</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per variant (base highlighted)</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per variant (base highlighted)</w:t>
      </w:r>
    </w:p>
    <w:p>
      <w:pPr>
        <w:pStyle w:val="Normal"/>
      </w:pPr>
      <w:r>
        <w:rPr>
          <w:noProof/>
        </w:rPr>
        <w:t xml:space="preserve">{{/wenn}}</w:t>
      </w:r>
    </w:p>
    <w:p>
      <w:pPr>
        <w:pStyle w:val="Heading2"/>
      </w:pPr>
      <w:commentRangeStart w:id="13"/>
      <w:r>
        <w:t xml:space="preserve">Coverage charts</w:t>
      </w:r>
      <w:commentRangeEnd w:id="13"/>
      <w:r>
        <w:commentReference w:id="13"/>
      </w:r>
    </w:p>
    <w:p>
      <w:pPr>
        <w:pStyle w:val="Hinweis"/>
      </w:pPr>
      <w:r>
        <w:t xml:space="preserve">Shares of heat and electricity coverage per project (from the coverage ratios of the generators; the rest is uncovered heat or grid purchase).</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Generators — itemised per project</w:t>
      </w:r>
    </w:p>
    <w:p>
      <w:pPr>
        <w:pStyle w:val="Hinweis"/>
      </w:pPr>
      <w:r>
        <w:t xml:space="preserve">Per project one row per unit (module) with the energy generated; for CHP units and boilers the fuel, for the heat pump the electricity (incl. heating rod).</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Fuel quantities</w:t>
      </w:r>
    </w:p>
    <w:p>
      <w:pPr>
        <w:pStyle w:val="Hinweis"/>
      </w:pPr>
      <w:r>
        <w:t xml:space="preserve">Quantity converted from the fuel consumption into the billing unit via the project-specific effective calorific value.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Buildings per project</w:t>
      </w:r>
    </w:p>
    <w:p>
      <w:pPr>
        <w:pStyle w:val="Hinweis"/>
      </w:pPr>
      <w:r>
        <w:t xml:space="preserve">The building table with ventilation and preheat values per project; the key figure group “Buildings” shows the deviation from the base.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Key figures, scenario "Expected"</w:t>
      </w:r>
    </w:p>
    <w:p>
      <w:pPr>
        <w:pStyle w:val="Normal"/>
      </w:pPr>
      <w:r>
        <w:rPr>
          <w:noProof/>
        </w:rPr>
        <w:t xml:space="preserve">{{tabelle.wirtschaft.kennzahlen}}</w:t>
      </w:r>
    </w:p>
    <w:p>
      <w:pPr>
        <w:pStyle w:val="Normal"/>
      </w:pPr>
      <w:commentRangeStart w:id="15"/>
      <w:r>
        <w:t xml:space="preserve">At a glance:</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State</w:t>
            </w:r>
          </w:p>
        </w:tc>
        <w:tc>
          <w:tcPr>
            <w:tcW w:w="1250" w:type="dxa"/>
            <w:vAlign w:val="center"/>
          </w:tcPr>
          <w:p>
            <w:r>
              <w:t xml:space="preserve">Investment [€]</w:t>
            </w:r>
          </w:p>
        </w:tc>
        <w:tc>
          <w:tcPr>
            <w:tcW w:w="1250" w:type="dxa"/>
            <w:vAlign w:val="center"/>
          </w:tcPr>
          <w:p>
            <w:r>
              <w:t xml:space="preserve">Operating cost [€/a]</w:t>
            </w:r>
          </w:p>
        </w:tc>
        <w:tc>
          <w:tcPr>
            <w:tcW w:w="1250" w:type="dxa"/>
            <w:vAlign w:val="center"/>
          </w:tcPr>
          <w:p>
            <w:r>
              <w:t xml:space="preserve">Energy cost [€/a]</w:t>
            </w:r>
          </w:p>
        </w:tc>
        <w:tc>
          <w:tcPr>
            <w:tcW w:w="1250" w:type="dxa"/>
            <w:vAlign w:val="center"/>
          </w:tcPr>
          <w:p>
            <w:r>
              <w:t xml:space="preserve">Net present value [€]</w:t>
            </w:r>
          </w:p>
        </w:tc>
        <w:tc>
          <w:tcPr>
            <w:tcW w:w="1250" w:type="dxa"/>
            <w:vAlign w:val="center"/>
          </w:tcPr>
          <w:p>
            <w:r>
              <w:t xml:space="preserve">NPV difference [€]</w:t>
            </w:r>
          </w:p>
        </w:tc>
        <w:tc>
          <w:tcPr>
            <w:tcW w:w="1250" w:type="dxa"/>
            <w:vAlign w:val="center"/>
          </w:tcPr>
          <w:p>
            <w:r>
              <w:t xml:space="preserve">Payback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CHP bonus per module</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Operating cost by cost type</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Net present value over the assessment period</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From the investment to the net present value difference</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Multi-year overview of the cash flows</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Disclosure — not part of the cash flow</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Scenarios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 variant: </w:t>
      </w:r>
      <w:r>
        <w:rPr>
          <w:noProof/>
        </w:rPr>
        <w:t xml:space="preserve">{{wirtschaft.beste.anzeige}}</w:t>
      </w:r>
      <w:r>
        <w:t xml:space="preserve"> with a net present value difference of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Non-monetary effects</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Sensitivity analysis (scenario "Expected")</w:t>
      </w:r>
    </w:p>
    <w:p>
      <w:pPr>
        <w:pStyle w:val="Hinweis"/>
      </w:pPr>
      <w:r>
        <w:t xml:space="preserve">Net present value of the variant against the base when one influencing parameter changes at a time; interest and price escalation act on both projects, investment and energy cost deflection only on the variant.</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Electricity volumes</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 balance — combined vs. separate generation</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 timestamps</w:t>
      </w:r>
    </w:p>
    <w:p>
      <w:pPr>
        <w:pStyle w:val="Normal"/>
      </w:pPr>
      <w:r>
        <w:rPr>
          <w:noProof/>
        </w:rPr>
        <w:t xml:space="preserve">{{tabelle.anhang.simulationsstaende}}</w:t>
      </w:r>
    </w:p>
    <w:p>
      <w:pPr>
        <w:pStyle w:val="Heading2"/>
      </w:pPr>
      <w:r>
        <w:t xml:space="preserve">Data basis and methodology</w:t>
      </w:r>
    </w:p>
    <w:p>
      <w:pPr>
        <w:pStyle w:val="Normal"/>
      </w:pPr>
      <w:r>
        <w:t xml:space="preserve">Every project listed here was simulated anew for this report (hourly annual calculation) and then evaluated economically; all chapters therefore share one calculation run.</w:t>
      </w:r>
    </w:p>
    <w:p>
      <w:pPr>
        <w:pStyle w:val="Normal"/>
      </w:pPr>
      <w:r>
        <w:t xml:space="preserve">The basis are the simulation results of the EPOS-Plan simulation stored per project (hourly annual calculation). Variants are independent project copies, linked through the variant list of the base project.</w:t>
      </w:r>
    </w:p>
    <w:p>
      <w:pPr>
        <w:pStyle w:val="Normal"/>
      </w:pPr>
      <w:r>
        <w:t xml:space="preserve">Unit data come from the stored catalogues or manual input, climate data from the climate region assigned to the project.</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Base</w:t>
            </w:r>
            <w:commentRangeEnd w:id="21"/>
            <w:r>
              <w:commentReference w:id="21"/>
            </w:r>
          </w:p>
        </w:tc>
        <w:tc>
          <w:tcPr>
            <w:tcW w:w="2338" w:type="dxa"/>
            <w:shd w:val="clear" w:color="auto" w:fill="DCE6F0"/>
            <w:vAlign w:val="center"/>
          </w:tcPr>
          <w:p>
            <w:r>
              <w:rPr>
                <w:b/>
                <w:color w:val="1F4E79"/>
              </w:rPr>
              <w:t xml:space="preserve">Group</w:t>
            </w:r>
          </w:p>
        </w:tc>
        <w:tc>
          <w:tcPr>
            <w:tcW w:w="2338" w:type="dxa"/>
            <w:shd w:val="clear" w:color="auto" w:fill="E7E6E6"/>
            <w:vAlign w:val="center"/>
          </w:tcPr>
          <w:p>
            <w:r>
              <w:rPr>
                <w:b/>
              </w:rPr>
              <w:t xml:space="preserve">Total</w:t>
            </w:r>
          </w:p>
        </w:tc>
        <w:tc>
          <w:tcPr>
            <w:tcW w:w="2338" w:type="dxa"/>
            <w:vAlign w:val="center"/>
          </w:tcPr>
          <w:p>
            <w:r>
              <w:rPr>
                <w:color w:val="C00000"/>
              </w:rPr>
              <w:t xml:space="preserve">Warning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Detailed template – the full report built from single elements, freely adaptable. It holds the same content in the same order as the standard template, but every section consists of single placeholders instead of a whole chapter. So every part can be moved, reformatted, shortened or deleted.</w:t>
      </w:r>
    </w:p>
    <w:p>
      <w:r>
        <w:t xml:space="preserve">Text in double curly braces is a placeholder, e.g. {{projekt.kunde}}: when the report is created, EPOS-Plan replaces it with the value from the project, in the font, size and colour of the placeholder. An option may follow a vertical bar, e.g. |leer statt strich. The text between the braces must stay unchanged; the placeholder catalogue of the report page lists every key.</w:t>
      </w:r>
    </w:p>
    <w:p>
      <w:r>
        <w:t xml:space="preserve">The title page is a section of its own without header and footer; its labels ({{text.kunde}} …) appear in the language of the report. Header and footer carry placeholders as well (Word allows no comments there): the picture at the top right is the image placeholder {{bild.ersteller.logo}} for the logo from the settings; the page numbers are Word fields.</w:t>
      </w:r>
    </w:p>
    <w:p>
      <w:r>
        <w:t xml:space="preserve">This file is read-only. “New template…” with “Copy of: Detailed template” creates a copy you can change freely. Comments do not appear in the finished report.</w:t>
      </w:r>
    </w:p>
  </w:comment>
  <w:comment w:initials="EP" w:author="EPOS-Plan" w:id="1">
    <w:p>
      <w:r>
        <w:annotationRef/>
      </w:r>
      <w:r>
        <w:t xml:space="preserve">The table of contents is an ordinary Word field (TOC) over headings 1 to 3 – not a placeholder. EPOS-Plan lets Word update the field when the report is opened. If you want no table of contents, delete heading, field and page break.</w:t>
      </w:r>
    </w:p>
  </w:comment>
  <w:comment w:initials="EP" w:author="EPOS-Plan" w:id="2">
    <w:p>
      <w:r>
        <w:annotationRef/>
      </w:r>
      <w:r>
        <w:t xml:space="preserve">Chapter heading in the paragraph style “EPOS Kapitelkopf”: {{text.kapitel_projekt}} inserts the title of the section in the language of the report; your own text instead of the placeholder is allowed. Below it, the project description is built from single values – the table has fixed labels on the left, placeholders on the right.</w:t>
      </w:r>
    </w:p>
    <w:p>
      <w:r>
        <w:t xml:space="preserve">Not available as single elements are the zone tables per building and the tables of the heating and cooling circuits (plant coupling). If you need them, replace this section up to the next chapter heading by a paragraph with {{kapitel.projekt|ohne titel}} – EPOS-Plan then writes the whole chapter.</w:t>
      </w:r>
    </w:p>
  </w:comment>
  <w:comment w:initials="EP" w:author="EPOS-Plan" w:id="3">
    <w:p>
      <w:r>
        <w:annotationRef/>
      </w:r>
      <w:r>
        <w:t xml:space="preserve">{{#wenn hat.gebaeude}} … {{/wenn}} shows the heading only if the project has buildings. The block {{#je gebaeude}} … {{/je}} repeats heading and table for every building of the base project; {{gebaeude.*}} placeholders are valid only inside it. The paragraphs holding the block markers are removed from the report.</w:t>
      </w:r>
    </w:p>
  </w:comment>
  <w:comment w:initials="EP" w:author="EPOS-Plan" w:id="4">
    <w:p>
      <w:r>
        <w:annotationRef/>
      </w:r>
      <w:r>
        <w:t xml:space="preserve">Key figures of the base project: on the left {{kennzahl.&lt;k&gt;.beschriftung}} – the label of the key figure in the language of the report –, on the right {{stamm.kennzahl.&lt;k&gt;}} with number and unit. Removing a row or adding another key figure is allowed; the placeholder catalogue lists every key figure. A missing value shows a dash.</w:t>
      </w:r>
    </w:p>
  </w:comment>
  <w:comment w:initials="EP" w:author="EPOS-Plan" w:id="5">
    <w:p>
      <w:r>
        <w:annotationRef/>
      </w:r>
      <w:r>
        <w:t xml:space="preserve">A conditional section: everything between {{#wenn hat.kaelte}} and {{/wenn}} appears only if the project calculates cooling. {{tabelle.kaelteerzeuger}} alone in a paragraph is a structured table: EPOS-Plan builds rows and columns itself, its look follows the table style “EPOS Tabelle” and the pattern table at the end.</w:t>
      </w:r>
    </w:p>
  </w:comment>
  <w:comment w:initials="EP" w:author="EPOS-Plan" w:id="6">
    <w:p>
      <w:r>
        <w:annotationRef/>
      </w:r>
      <w:r>
        <w:t xml:space="preserve">Every structured table and every image has a switch hat.tabelle.&lt;name&gt; or hat.bild.&lt;name&gt;: with {{#wenn …}} the heading is dropped when there is nothing to show. The image below is a picture frame with the key {{stamm.bild.speichertemperaturen}} in its alternative text; EPOS-Plan draws the chart in the width of the frame. Resizing or moving the frame is allowed.</w:t>
      </w:r>
    </w:p>
  </w:comment>
  <w:comment w:initials="EP" w:author="EPOS-Plan" w:id="7">
    <w:p>
      <w:r>
        <w:annotationRef/>
      </w:r>
      <w:r>
        <w:t xml:space="preserve">Components and variants from structured tables. EPOS-Plan splits tables with one column per state into blocks of at most three variants, repeating the base column in each block; |block 2 after the key makes the blocks smaller.</w:t>
      </w:r>
    </w:p>
    <w:p>
      <w:r>
        <w:t xml:space="preserve">Each trade has its table inside a {{#wenn hat.tabelle.komponenten.kenndaten.&lt;trade&gt;}} block: without a unit of this trade the heading is dropped. Delete a trade you are not interested in together with its block.</w:t>
      </w:r>
    </w:p>
  </w:comment>
  <w:comment w:initials="EP" w:author="EPOS-Plan" w:id="8">
    <w:p>
      <w:r>
        <w:annotationRef/>
      </w:r>
      <w:r>
        <w:t xml:space="preserve">{{#je variante}} … {{/je}} repeats its content for every compared variant, without the base project ({{#je stand}} includes the base project). {{stand.tabelle.abweichungen}} is the table of the current state; without deviations a dash with the reason appears.</w:t>
      </w:r>
    </w:p>
  </w:comment>
  <w:comment w:initials="EP" w:author="EPOS-Plan" w:id="9">
    <w:p>
      <w:r>
        <w:annotationRef/>
      </w:r>
      <w:r>
        <w:t xml:space="preserve">The block {{#je stand}} … {{/je}} repeats everything in between for the base project and every variant: heading, simulation timestamp, key figure table and the charts of the state. {{stand.rolle}} is “Base” or “Variant”, {{stand.anzeige}} the name.</w:t>
      </w:r>
    </w:p>
    <w:p>
      <w:r>
        <w:t xml:space="preserve">Inside the block the switches refer to the current state: {{#wenn hat.bild.waerme_jahresverlauf}} shows the image only if the state has hourly series. Blocks may be nested two levels deep, not deeper.</w:t>
      </w:r>
    </w:p>
  </w:comment>
  <w:comment w:initials="EP" w:author="EPOS-Plan" w:id="10">
    <w:p>
      <w:r>
        <w:annotationRef/>
      </w:r>
      <w:r>
        <w:t xml:space="preserve">The comparison of variants from structured tables per key figure group; above them the compared variants ({{text.varianten}}, {{bericht.varianten.liste}}). The Δ column appears only with exactly one variant, the table of percentage deviations from two variants on. Without variants, the note in the block {{#wenn nicht hat.varianten}} says that only the base project is compared.</w:t>
      </w:r>
    </w:p>
  </w:comment>
  <w:comment w:initials="EP" w:author="EPOS-Plan" w:id="11">
    <w:p>
      <w:r>
        <w:annotationRef/>
      </w:r>
      <w:r>
        <w:t xml:space="preserve">A table of single values: the second row is a pattern row – {{#je stand}} in the first, {{/je}} in the last cell. EPOS-Plan repeats it for the base project and every variant; with “Variant 1” and “Variant 2” you get three rows. Merged cells are not allowed in the pattern row.</w:t>
      </w:r>
    </w:p>
    <w:p>
      <w:r>
        <w:t xml:space="preserve">The header names label and unit of each key figure ({{kennzahl.&lt;k&gt;.beschriftung}}, {{kennzahl.&lt;k&gt;.einheit}}), so the values carry |ohne einheit; |stellen 1 shows one decimal place. To exchange a column, change the key in header and pattern row.</w:t>
      </w:r>
    </w:p>
    <w:p>
      <w:r>
        <w:t xml:space="preserve">Below, single values across all states: {{vergleich.minimum.&lt;k&gt;}} and {{vergleich.maximum.&lt;k&gt;}} give the smallest and largest value of a key figure.</w:t>
      </w:r>
    </w:p>
  </w:comment>
  <w:comment w:initials="EP" w:author="EPOS-Plan" w:id="12">
    <w:p>
      <w:r>
        <w:annotationRef/>
      </w:r>
      <w:r>
        <w:t xml:space="preserve">The bar charts compare one key figure each across all states. Every picture frame has the full width; EPOS-Plan adapts the height to the number of states. The caption below is made of {{kennzahl.&lt;k&gt;.beschriftung}} and fixed text.</w:t>
      </w:r>
    </w:p>
  </w:comment>
  <w:comment w:initials="EP" w:author="EPOS-Plan" w:id="13">
    <w:p>
      <w:r>
        <w:annotationRef/>
      </w:r>
      <w:r>
        <w:t xml:space="preserve">Two images side by side: a two-column table without borders, a picture frame of half width in each cell. EPOS-Plan draws each chart at this size, so the lettering stays legible. The block {{#je stand}} repeats heading and images per state, {{#wenn hat.ergebnis}} leaves out a state without result.</w:t>
      </w:r>
    </w:p>
  </w:comment>
  <w:comment w:initials="EP" w:author="EPOS-Plan" w:id="14">
    <w:p>
      <w:r>
        <w:annotationRef/>
      </w:r>
      <w:r>
        <w:t xml:space="preserve">Economic viability from single elements. {{wirtschaft.methodik}} is the methodology statement, {{wirtschaft.parameternachweis}} the disclosure line of the parameters of this calculation run. Lists such as {{wirtschaft.valeri_hinweise}} and {{wirtschaft.deklarationen}} become a bulleted list and are dropped when empty.</w:t>
      </w:r>
    </w:p>
    <w:p>
      <w:r>
        <w:t xml:space="preserve">{{wirtschaft.warnungen}} is the warning list of the economic viability (outdated or incomplete calculation, fallback to the stored result, warnings of single cells). If you show economic values, keep it – otherwise the template check reports “validity notes missing”.</w:t>
      </w:r>
    </w:p>
  </w:comment>
  <w:comment w:initials="EP" w:author="EPOS-Plan" w:id="15">
    <w:p>
      <w:r>
        <w:annotationRef/>
      </w:r>
      <w:r>
        <w:t xml:space="preserve">A pattern row with economic values per state: {{stand.wirtschaft.&lt;row&gt;}} takes one row of the key figure table in the scenario “Expected”, with .guenstig or .unguenstig at the end the other scenario. The unit is in the header, so the values carry |ohne einheit; |mit grund names the reason when a value is missing. The numbers are the same as in the table above.</w:t>
      </w:r>
    </w:p>
  </w:comment>
  <w:comment w:initials="EP" w:author="EPOS-Plan" w:id="16">
    <w:p>
      <w:r>
        <w:annotationRef/>
      </w:r>
      <w:r>
        <w:t xml:space="preserve">The charts of the economic viability each stand in a {{#wenn hat.bild.…}} block: without a model – e.g. without hourly series – heading and frame are dropped.</w:t>
      </w:r>
    </w:p>
  </w:comment>
  <w:comment w:initials="EP" w:author="EPOS-Plan" w:id="17">
    <w:p>
      <w:r>
        <w:annotationRef/>
      </w:r>
      <w:r>
        <w:t xml:space="preserve">Per state the cash flow as an image and the multi-year table, below it the disclosure of the avoided cost (not part of the cash flow). Image and tables refer to the current state.</w:t>
      </w:r>
    </w:p>
  </w:comment>
  <w:comment w:initials="EP" w:author="EPOS-Plan" w:id="18">
    <w:p>
      <w:r>
        <w:annotationRef/>
      </w:r>
      <w:r>
        <w:t xml:space="preserve">The heading inserts the names of the three scenarios as placeholders ({{wirtschaft.szenario.&lt;s&gt;.name}}). Below it the scenario table, the image of the range, the assumptions of the scenarios, the proposal for the decision and a sentence with the values of the best variant ({{wirtschaft.beste.*}}).</w:t>
      </w:r>
    </w:p>
  </w:comment>
  <w:comment w:initials="EP" w:author="EPOS-Plan" w:id="19">
    <w:p>
      <w:r>
        <w:annotationRef/>
      </w:r>
      <w:r>
        <w:t xml:space="preserve">The appendix: the table of simulation timestamps, fixed sentences on the data basis – change them freely – and {{bericht.warnungen}}, the notes of this report run as a bulleted list; without notes it is dropped.</w:t>
      </w:r>
    </w:p>
  </w:comment>
  <w:comment w:initials="EP" w:author="EPOS-Plan" w:id="20">
    <w:p>
      <w:r>
        <w:annotationRef/>
      </w:r>
      <w:r>
        <w:t xml:space="preserve">Annex E: the checklist for the evaluation report as a structured table, only when an economic viability exists. The column “Location” names the chapters of a report that holds its chapters as chapter placeholders; in a template of single elements it reads “not in the report”. If you need the locations, use {{kapitel.anhang_e|ohne titel}} here and chapter placeholders for the sections named.</w:t>
      </w:r>
    </w:p>
  </w:comment>
  <w:comment w:initials="EP" w:author="EPOS-Plan" w:id="21">
    <w:p>
      <w:r>
        <w:annotationRef/>
      </w:r>
      <w:r>
        <w:t xml:space="preserve">The pattern table with the alternative text {{muster.tabelle}}: shading and font of each cell apply to the rows of that role in all structured tables – base, group, total, warning. Borders, header row and font size of all tables follow the table style “EPOS Tabelle” of this file. EPOS-Plan reads the pattern table and removes it from the report.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EPOS-Plan report template — detailed template</dc:title>
  <dc:creator>EPOS-Plan</dc:creator>
  <dc:description>The full report built from single elements, freely adaptable: single values, blocks, tables and images in the order of the standard report, explained in comments; copy it via “New template…”.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17</vt:i4>
  </op:property>
  <op:property fmtid="{D5CDD505-2E9C-101B-9397-08002B2CF9AE}" pid="3" name="EPOS.Vorlage">
    <vt:lpwstr>ausfuehrlich</vt:lpwstr>
  </op:property>
  <op:property fmtid="{D5CDD505-2E9C-101B-9397-08002B2CF9AE}" pid="4" name="EPOS.Sprache">
    <vt:lpwstr>en</vt:lpwstr>
  </op:property>
</op:Properties>
</file>