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Wärmespeicher-Tool</w:t>
      </w:r>
    </w:p>
    <w:p>
      <w:pPr>
        <w:spacing w:after="24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Auslegung von Trinkwarmwasser- und Heizungs-Pufferspeichern für Wärmepumpenanlagen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Beschreibung · Bedienungsanleitung · Methodik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Version 1.0 · INEKON · Stand: 28.07.2026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</w:rPr>
        <w:t xml:space="preserve">Inhalt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</w:rPr>
        <w:t xml:space="preserve">Teil A — Beschreibung des Tools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A.1 Zweck und Leistungsumfang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Das Wärmespeicher-Tool ist eine lokale Web-Anwendung (Python/Streamlit) für die Auslegung von Wärmespeichern in Heizungsanlagen, insbesondere in Wärmepumpen-Projekten der Wohnungswirtschaft (EFH/MFH) und des Gewerbes (GHD). Es beantwortet zwei Planungsfragen: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Wie groß muss der Trinkwarmwasser-Speicher sein? — drei Verfahren im Vergleich (DIN 4708, profilbasiert/wärmepumpengerecht, Faustwert), mit Empfehlung und Warnhinweisen.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Wie groß muss der Heizungs-Pufferspeicher sein? — vier Kriterien im Vergleich (Abtauung, Taktung, EVU-Sperrzeit, Lastgang-Simulation), ergänzt um eine Betriebs-Simulation im Zweipunktbetrieb (Ladezyklen, Taktverhalten).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Grundlage aller Verfahren ist ein stündlicher Jahres-Lastgang, der wahlweise synthetisch erzeugt (VDI 4655 für Wohnen, BDEW für Gewerbe, DWD-Testreferenzjahre) oder aus Messdaten importiert wird. Ergebnisse werden als formatierter Excel-Bericht mit Diagrammen exportiert.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Alle Berechnungen laufen vollständig lokal; es werden keine Daten an Dritte übertragen.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A.2 Datengrundlagen und Softwarebasis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Quelle 1 —</w:t>
      </w:r>
      <w:r>
        <w:rPr>
          <w:rFonts w:ascii="Calibri" w:cs="Calibri" w:eastAsia="Calibri" w:hAnsi="Calibri"/>
          <w:sz w:val="22"/>
          <w:szCs w:val="22"/>
        </w:rPr>
        <w:t xml:space="preserve"> lpagg (github.com/jnettels/lpagg, MIT-Lizenz): DIN-4708-Berechnungsmodul (byte-identisch übernommen) und DWD-TRY-2010-Wetterdaten für 15 Klimaregionen.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Quelle 2 —</w:t>
      </w:r>
      <w:r>
        <w:rPr>
          <w:rFonts w:ascii="Calibri" w:cs="Calibri" w:eastAsia="Calibri" w:hAnsi="Calibri"/>
          <w:sz w:val="22"/>
          <w:szCs w:val="22"/>
        </w:rPr>
        <w:t xml:space="preserve"> demandlib (github.com/oemof/demandlib, MIT-Lizenz, Version 0.2.2): VDI-4655-Referenzlastprofile (Wohnen) und BDEW-Standardlastprofile Gas (GHD). Hinweis: lpagg selbst nutzt mit use_demandlib=True dieselbe Implementierung.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Quelle 3 —</w:t>
      </w:r>
      <w:r>
        <w:rPr>
          <w:rFonts w:ascii="Calibri" w:cs="Calibri" w:eastAsia="Calibri" w:hAnsi="Calibri"/>
          <w:sz w:val="22"/>
          <w:szCs w:val="22"/>
        </w:rPr>
        <w:t xml:space="preserve"> Normen/Richtlinien: DIN 4708, DIN V 18599-10, VDI 4655, VDI 6002, BDEW-Praxisinformation Lastprofile Gas, DVGW W 551.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Quelle 4 —</w:t>
      </w:r>
      <w:r>
        <w:rPr>
          <w:rFonts w:ascii="Calibri" w:cs="Calibri" w:eastAsia="Calibri" w:hAnsi="Calibri"/>
          <w:sz w:val="22"/>
          <w:szCs w:val="22"/>
        </w:rPr>
        <w:t xml:space="preserve"> SWSG-Lastgangauswertung (INEKON): validierte Referenz für die Zweipunkt-Betriebslogik (siehe C.7).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A.3 Installation und Start (Windows)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Python 3.10 oder neuer installieren (python.org); bei der Installation „Add python to PATH“ anhaken.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Programmordner Waermespeicher-Tool an beliebigen Ort entpacken (lokal empfohlen, nicht auf Netzlaufwerk — schnellerer Start).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Doppelklick auf start_tool.bat. Beim ersten Start wird automatisch eine lokale Python-Umgebung (.venv) angelegt und alle Pakete werden installiert (einige Minuten, Internet nötig).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Das Tool öffnet sich im Browser unter http://localhost:8501. Fenster schließen beendet die Oberfläche; das schwarze Konsolenfenster beendet den Server.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Bei Update des Tools: start_tool.bat update erzwingt die Neuinstallation der Pakete.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A.4 Projekt speichern und laden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In der Seitenleiste lässt sich der komplette Bearbeitungsstand (Gebäudetabelle, Wetterwahl, alle TWW- und Puffer-Parameter, Sperrzeiten) als JSON-Datei herunterladen und später wieder laden. Empfehlung: je Projekt eine JSON-Datei neben dem Excel-Bericht ablegen. Im Ordner examples/ liegt ein Beispielprojekt (beispiel_projekt.json) und ein Beispiel-Lastgang (beispiel_lastgang.csv, 8.760 h, 611 MWh/a, Spitze 125 kW).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</w:rPr>
        <w:t xml:space="preserve">Teil B — Bedienungsanleitung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B.1 Reiter „Gebäude &amp; Profil“ — Lastgang bereitstellen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B.1.1 Weg 1: Synthetisches Profil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Profilquelle „synthetisch“ wählen.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Gebäudetabelle ausfüllen (Zeile je Gebäude bzw. Gebäudetyp). Bedeutung der Spalten siehe Tabelle unten; über „Copies“ werden identische Gebäude vervielfacht.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TRY-Klimaregion (1–15, mit Referenzstation) und Jahr wählen. Schaltjahre sind ausgeblendet (Einschränkung der Profilbibliothek).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Auflösung wählen: 1 h (Standard, schnell) oder 15 min (feiner, langsamer; für die Gleichzeitigkeitsstreuung sigma erforderlich).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„Profil erzeugen“ klicken. Danach erscheinen Jahressummen-Kontrolle (Soll/Ist), Jahresgang und Beispielwoche.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3360"/>
      </w:tblGrid>
      <w:tr>
        <w:trPr>
          <w:tblHeader/>
        </w:trPr>
        <w:tc>
          <w:tcPr>
            <w:tcW w:type="dxa" w:w="17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Spalte</w:t>
            </w:r>
          </w:p>
        </w:tc>
        <w:tc>
          <w:tcPr>
            <w:tcW w:type="dxa" w:w="43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Bedeutung</w:t>
            </w:r>
          </w:p>
        </w:tc>
        <w:tc>
          <w:tcPr>
            <w:tcW w:type="dxa" w:w="336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Hinweis/Standard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Freie Bezeichnung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Kategorie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EFH / MFH / GHD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steuert Profiltyp (VDI 4655 bzw. BDEW)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Wohneinheiten je Gebäude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EFH: 1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Personen je WE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mittlere Belegung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2,2–2,5 üblich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Q_Heiz [kWh/a]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Jahres-Raumheizwärmebedarf je Gebäude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aus Verbrauch/Bedarfsausweis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Q_TWW [kWh/a]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Jahres-TWW-Bedarf; leer = automatisch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leer → 500 kWh/(Person·a)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Copies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Anzahl identischer Gebäude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sigma [min]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Zeitversatz-Streuung (Gleichzeitigkeit)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4; wirkt erst bei 15-min-Auflösung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BDEW-Branche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nur GHD: Branchenprofil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z. B. Büro (GKO), Handel (GHA)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TWW-Anteil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nur GHD: Anteil TWW an Gesamtwärme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0,10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B.1.2 Weg 2: Gemessener Lastgang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Profilquelle „gemessen“ wählen und Datei hochladen (CSV, XLSX oder XLSM; bei Excel ggf. Tabellenblatt wählen).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In der Vorschau Zeitstempel-Spalte und Wert-Spalte zuordnen; Einheit angeben: kW (Momentan-/Stundenmittelleistung) oder kWh je Intervall; Dezimaltrennzeichen prüfen (Standard Komma).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Optional TWW-Abtrennung aktivieren: entweder eine separate TWW-Spalte zuordnen oder den Sommer-Baseline-Split nutzen (Monate und Faktor einstellbar, siehe C.3).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„Profil importieren“ klicken. Der Importbericht zeigt erkannte Auflösung, Duplikate, Lücken (kleiner 6 h automatisch interpoliert) und Warnungen.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B.2 Reiter „Analyse“ — Lastgang verstehen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Dieser Reiter dient der Plausibilisierung und der Erzeugerdimensionierung: Die Jahresdauerlinie (JDL) zeigt, welche Leistung wie viele Stunden im Jahr überschritten wird; die Markierungen „P bei 90/95/99 % der Jahresarbeit“ sind direkte Hilfen für die Wahl des Bivalenzpunkts einer Wärmepumpe (siehe C.4). Daneben: Top-20-Spitzen mit Zeitstempel, mittlere Tagesprofile (Werktag/Samstag/Sonntag, je Monat wählbar), Wochenlastgang-Heatmap und Kennzahlentabelle (Jahresarbeit, Spitzenlasten, Volllaststunden, TWW-Anteil, Gleichzeitigkeitsfaktor).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B.3 Reiter „TWW-Speicher“ — Trinkwarmwasser-Speicher auslegen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Wohnungszahl und Personen je WE prüfen (bei synthetischer Quelle aus der Gebäudetabelle vorbelegt).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Parameter setzen — siehe Tabelle. Wichtigster Wert ist die WP-Ladeleistung: die thermische Leistung, die die Wärmepumpe im TWW-Betrieb (bei hoher Vorlauftemperatur!) tatsächlich liefert.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„Berechnen“ klicken. Die drei Verfahren erscheinen nebeneinander; das größte anwendbare Ergebnis bestimmt die Empfehlung (auf marktübliche Größe gerundet). Warnungen und der Rechenweg stehen in den Aufklappern.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456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Bedeutung</w:t>
            </w:r>
          </w:p>
        </w:tc>
        <w:tc>
          <w:tcPr>
            <w:tcW w:type="dxa" w:w="24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Speichertemperatur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Solltemperatur im Speicher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 °C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Kaltwassertemperatur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Zulauf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°C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Nutzbarer Anteil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Schichtung/Totvolumen des Speichers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0,8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WP-Ladeleistung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therm. Leistung im TWW-Betrieb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projektabhängig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Zirkulationsverlust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Dauerverlust der Zirkulation [kW]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 (falls unbekannt)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Zuschlag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Sicherheits-/Bereitschaftszuschlag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15 %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Interpretation: DIN 4708 und das profilbasierte Verfahren liegen typischerweise nahe beieinander und sind maßgeblich; der Faustwert dient als grobe Kontrolle und wird bei großen Anlagen automatisch mit Warnung relativiert (siehe C.5). Bei Empfehlung &gt; 400 l erscheint der Hygienehinweis (60 °C / Frischwasserstation).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B.4 Reiter „Pufferspeicher“ — Puffer auslegen und Betrieb prüfen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Erzeugerdaten eingeben: WP-Heizleistung am Auslegungspunkt, minimale Modulationsleistung, ggf. Leistung des zweiten Erzeugers (bivalent).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Speicher-/Netzparameter: nutzbare Spreizung des Puffers (ΔT, üblich 5–15 K), Mindestlaufzeit je Start, Abtau-Kennwert (l/kW; 0 bei Sole/Wasser), EVU-Sperrzeiten (bis zu 3 Fenster je Tag, Start + Dauer).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„Berechnen“ klicken: Die vier Kriterien erscheinen als Kennzahlen, das maßgebende ist markiert; der SOC-Verlauf der kältesten Woche zeigt das Simulationsergebnis.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Betriebs-Simulation (Aufklapper „Zweipunkt, wie SWSG-Excel“): gewähltes Volumen und Mindestfüllstand (Standard 20 %) eingeben → Ladezyklen/Jahr, mittlere Laufzeit je Zyklus, Unterdeckung und Deckungsgrad; Warnung bei Kurztaktung (&lt; 1 h Laufzeit).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Interpretation: Abtauung und Taktung liefern die technischen Mindestvolumina (meist einige 100 l). Das Sperrzeit-Kriterium und die Lastgang-Simulation können bei großen Netzen sehr große Volumina ergeben — das ist die physikalisch korrekte Antwort auf „volle Überbrückung ohne Unterdeckung“, praktisch wird dann über Bivalenz oder zugelassene Teildeckung gelöst; das Tool markiert Ergebnisse über 100 m³ entsprechend.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B.5 Reiter „Export“ — Excel-Bericht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Erzeugt eine formatierte Excel-Mappe mit sieben Blättern: Eingaben (alle Parameter und Gebäude), Lastgang (8.760 Stundenwerte), JDL und Tagesprofile (jeweils mit Diagramm), TWW-Auslegung, Puffer-Auslegung (inkl. Betriebs-Simulation, falls gerechnet) und Kennzahlen. Der Dateiname enthält Projektname und Datum. Der Bericht ist eigenständig lesbar und als Anlage für Planungsunterlagen gedacht.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</w:rPr>
        <w:t xml:space="preserve">Teil C — Methodik und Verfahren im Detail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C.1 Konventionen und Grundgrößen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Alle Zeitreihen sind stündliche (bzw. 15-min-) Leistungsreihen in kW; die Energie je Zeitschritt ist Leistung × Schrittweite. Volumen und Kapazität eines Wasserspeichers sind über die Wärmekapazität des Wassers verknüpft:</w:t>
      </w:r>
    </w:p>
    <w:p>
      <w:pPr>
        <w:shd w:fill="F2F6FA" w:val="clear"/>
        <w:spacing w:after="60" w:before="60"/>
        <w:ind w:left="720"/>
      </w:pPr>
      <w:r>
        <w:rPr>
          <w:rFonts w:ascii="Cambria Math" w:cs="Cambria Math" w:eastAsia="Cambria Math" w:hAnsi="Cambria Math"/>
          <w:sz w:val="24"/>
          <w:szCs w:val="24"/>
        </w:rPr>
        <w:t xml:space="preserve">V [l] = Q [kWh] · 1000 / (1,163 · ΔT [K])      mit c_w = 1,163 Wh/(l·K)</w:t>
      </w:r>
    </w:p>
    <w:p>
      <w:pPr>
        <w:spacing w:after="140"/>
        <w:ind w:left="7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Beispiel: 10 kWh bei ΔT = 10 K entsprechen 860 l; 79,1 kWh bei ΔT = 35 K entsprechen 2.000 l (typischer 2.000-l-Puffer zwischen 55 und 90 °C, wie in der SWSG-Excel — dort mit temperaturabhängiger Dichte ρ ≈ 0,972 kg/l gerechnet, Differenz &lt; 3 %).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C.2 Synthetische Lastprofile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C.2.1 Wohngebäude — VDI 4655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Die VDI 4655 stellt für Ein- und Mehrfamilienhäuser Referenzlastprofile für Heizung, Trinkwarmwasser und Strom bereit. Das Jahr wird aus zehn Typtag-Kategorien zusammengesetzt (Übergangs-/Winter-/Sommertag × Werktag/Sonntag × heiter/bedeckt); welche Kategorie ein Kalendertag erhält, bestimmen Tagesmitteltemperatur und Bewölkungsgrad des gewählten DWD-Testreferenzjahres (TRY 2010, 15 Klimaregionen, Referenzstationen z. B. Potsdam für Region 4). Je Typtag liefern normierte Tagesprofile in Minuten- bzw. 15-min-Auflösung die Form, tagesspezifische Energiefaktoren die Höhe. Das Tool skaliert abschließend exakt auf die vorgegebenen Jahresbedarfe (Energieerhaltung ±0).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Gleichzeitigkeit: Mehrere identische Gebäude (Copies) werden mit einem zufälligen, normalverteilten Zeitversatz (Streuung sigma, Standard 4 min) überlagert — bei 1-h-Auflösung wirkt dieser Versatz praktisch nicht (Kopien addieren sich profilgleich), bei 15-min-Auflösung glättet er die Summenspitze realistisch. Für die Belastbarkeit synthetischer Spitzen siehe C.8.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Fehlender TWW-Bedarf wird mit 500 kWh je Person und Jahr angesetzt (VDI 4655; entspricht der Größenordnung von DIN V 18599-10 für Wohnen).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C.2.2 Gewerbe — BDEW-Standardlastprofile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Für GHD-Gebäude nutzt das Tool die BDEW-Gas-Standardlastprofile (Sigmoid-Verfahren): Der Tagesenergiebedarf folgt einer branchenspezifischen Sigmoidfunktion der Tagesmitteltemperatur (h-Wert-Verfahren) mit Wochentagsfaktoren; Stundenprofile je Temperaturklasse verteilen die Tagesenergie über den Tag. Der Heizanteil wird über das reine Heizprofil (ohne Warmwasser-Sockel), der TWW-Anteil über das Warmwasser-Grundband des Profils abgebildet; die Aufteilung steuert der Parameter „TWW-Anteil“ (Standard 10 %). Unterstützte Branchen u. a.: GHD gesamt, Metall/Kfz (GMK), Handel (GHA), Büro/Gebietskörperschaft (GKO), Backstube (GBA), Gaststätte (GGA), Beherbergung (GBH), Wäscherei (GWA), Papier/Druck (GPD), haushaltsähnlich (GMF).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C.3 Import gemessener Lastgänge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Der Import verarbeitet CSV- und Excel-Dateien mit einer Zeitstempel- und einer Wertspalte. Verfahrensschritte: (1) Zahlkonvertierung inkl. deutschem Dezimalkomma und Tausenderpunkt; (2) Auflösungserkennung über den Median der Zeitstempel-Abstände; (3) Einheitenumrechnung kWh je Intervall → kW (Division durch Schrittweite); (4) Duplikate werden gemittelt, das Raster vervollständigt; (5) Lücken unter 6 h werden linear interpoliert, größere mit 0 gefüllt und im Importbericht ausgewiesen; (6) energieerhaltendes Resampling auf 1 h.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Sommer-Baseline-Split (wenn nur der Gesamtwärme-Lastgang vorliegt): Die mittlere Last der Sommermonate (Standard Juni–August, nur Stunden mit Last &gt; 0) wird als ganzjährig konstantes TWW-und-Zirkulations-Band angesetzt — im Sommer läuft praktisch keine Heizung, die verbleibende Grundlast ist Warmwasser samt Verteilverlusten. Das Band wird je Stunde auf die tatsächliche Gesamtlast gedeckelt; der Rest ist Heizung. Ein Korrekturfaktor (Standard 1,0) erlaubt saisonale Anpassung. Beim Beispiel-Lastgang ergibt der Split 22,6 % TWW-Anteil — plausibel für MFH-Bestand mit Zirkulation.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C.4 Analyse-Kennzahlen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Jahresdauerlinie (JDL):</w:t>
      </w:r>
      <w:r>
        <w:rPr>
          <w:rFonts w:ascii="Calibri" w:cs="Calibri" w:eastAsia="Calibri" w:hAnsi="Calibri"/>
          <w:sz w:val="22"/>
          <w:szCs w:val="22"/>
        </w:rPr>
        <w:t xml:space="preserve"> Sortierung aller 8.760 Stundenwerte absteigend. Fläche unter der Kurve = Jahresarbeit.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Volllaststunden:</w:t>
      </w:r>
      <w:r>
        <w:rPr>
          <w:rFonts w:ascii="Calibri" w:cs="Calibri" w:eastAsia="Calibri" w:hAnsi="Calibri"/>
          <w:sz w:val="22"/>
          <w:szCs w:val="22"/>
        </w:rPr>
        <w:t xml:space="preserve"> Q_Jahr / P_max. Werte um 1.800–2.400 h sind typisch für reine Bedarfsprofile; deutlich höhere Werte (z. B. 4.900 h beim SWSG-Lastgang) zeigen eine erzeugerseitig gekappte Messung.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 bei x % der Jahresarbeit (Bivalenzpunkt-Hilfe):</w:t>
      </w:r>
      <w:r>
        <w:rPr>
          <w:rFonts w:ascii="Calibri" w:cs="Calibri" w:eastAsia="Calibri" w:hAnsi="Calibri"/>
          <w:sz w:val="22"/>
          <w:szCs w:val="22"/>
        </w:rPr>
        <w:t xml:space="preserve"> kleinste Leistung P, für die die Jahresarbeit von min(Last, P) mindestens x % der Gesamtarbeit erreicht (Bisektion). Eine auf diesen Punkt ausgelegte Wärmepumpe deckt x % der Jahresarbeit; der Rest entfällt auf Spitzenlasterzeuger oder Speicher. Ausgewiesen für 90/95/99 %.</w:t>
      </w:r>
    </w:p>
    <w:p>
      <w:pPr>
        <w:shd w:fill="F2F6FA" w:val="clear"/>
        <w:spacing w:after="60" w:before="60"/>
        <w:ind w:left="720"/>
      </w:pPr>
      <w:r>
        <w:rPr>
          <w:rFonts w:ascii="Cambria Math" w:cs="Cambria Math" w:eastAsia="Cambria Math" w:hAnsi="Cambria Math"/>
          <w:sz w:val="24"/>
          <w:szCs w:val="24"/>
        </w:rPr>
        <w:t xml:space="preserve">GLF(N) = W_z(1) / W_z(N)</w:t>
      </w:r>
    </w:p>
    <w:p>
      <w:pPr>
        <w:spacing w:after="140"/>
        <w:ind w:left="7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Gleichzeitigkeitsfaktor nach DIN-4708-Systematik: Verhältnis des Spitzenwärmebedarfs einer Referenzwohnung zu dem von N Wohnungen. Beispiel: GLF(30) = 0,186.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C.5 Trinkwarmwasser-Speicher — Verfahren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C.5.1 Verfahren 1: DIN 4708 (Bedarfskennzahl)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Die DIN 4708 bemisst zentrale Wassererwärmungsanlagen über die Bedarfskennzahl N: den Bedarf des Gebäudes ausgedrückt in „Einheitswohnungen“ (Referenzwohnung: 3,5 Personen, Normalausstattung, Wanne). Das Tool verwendet die Näherung</w:t>
      </w:r>
    </w:p>
    <w:p>
      <w:pPr>
        <w:shd w:fill="F2F6FA" w:val="clear"/>
        <w:spacing w:after="60" w:before="60"/>
        <w:ind w:left="720"/>
      </w:pPr>
      <w:r>
        <w:rPr>
          <w:rFonts w:ascii="Cambria Math" w:cs="Cambria Math" w:eastAsia="Cambria Math" w:hAnsi="Cambria Math"/>
          <w:sz w:val="24"/>
          <w:szCs w:val="24"/>
        </w:rPr>
        <w:t xml:space="preserve">N = (Anzahl WE · Personen je WE) / 3,5</w:t>
      </w:r>
    </w:p>
    <w:p>
      <w:pPr>
        <w:spacing w:after="140"/>
        <w:ind w:left="7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Vereinfachung: Die Zapfstellen-Wertigkeiten v und Belegungs-/Wohnungswertigkeiten der DIN 4708-2 werden mit 1 angesetzt. Bei gehobener Sanitärausstattung ist N höher — dann N manuell prüfen.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Der Spitzen-Wärmebedarf während der Bedarfsdauer z (Standard z = 1/6 h, „Badewannenspitze“) folgt aus dem Wahrscheinlichkeitsansatz der Norm:</w:t>
      </w:r>
    </w:p>
    <w:p>
      <w:pPr>
        <w:shd w:fill="F2F6FA" w:val="clear"/>
        <w:spacing w:after="60" w:before="60"/>
        <w:ind w:left="720"/>
      </w:pPr>
      <w:r>
        <w:rPr>
          <w:rFonts w:ascii="Cambria Math" w:cs="Cambria Math" w:eastAsia="Cambria Math" w:hAnsi="Cambria Math"/>
          <w:sz w:val="24"/>
          <w:szCs w:val="24"/>
        </w:rPr>
        <w:t xml:space="preserve">W_z(N) = 5820 Wh · [ N·K(u₁) + √N·K(u₂) ]   mit   u₁ = 0,244·z·(1+√N)/√N,   u₂ = 3,599·z·(1+√N)/√N</w:t>
      </w:r>
    </w:p>
    <w:p>
      <w:pPr>
        <w:spacing w:after="140"/>
        <w:ind w:left="7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K(u) ist das Gauß-Fehlerintegral (K(u) = erf(u), gedeckelt auf 1). 5.820 Wh ist der Normbedarf der Einheitswohnung. Implementierung byte-identisch aus lpagg übernommen; W_z(1) = 5,83 kWh.</w:t>
      </w:r>
    </w:p>
    <w:p>
      <w:pPr>
        <w:shd w:fill="F2F6FA" w:val="clear"/>
        <w:spacing w:after="60" w:before="60"/>
        <w:ind w:left="720"/>
      </w:pPr>
      <w:r>
        <w:rPr>
          <w:rFonts w:ascii="Cambria Math" w:cs="Cambria Math" w:eastAsia="Cambria Math" w:hAnsi="Cambria Math"/>
          <w:sz w:val="24"/>
          <w:szCs w:val="24"/>
        </w:rPr>
        <w:t xml:space="preserve">V_DIN = W_z(N) / (1,163 · (T_Sp − T_KW)) / f_nutz</w:t>
      </w:r>
    </w:p>
    <w:p>
      <w:pPr>
        <w:spacing w:after="140"/>
        <w:ind w:left="7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Umrechnung des Zapfperioden-Bedarfs in ein Speichervolumen bei Spreizung Speicher-/Kaltwassertemperatur und nutzbarem Anteil f_nutz (Standard 0,8). Zusätzlich weist das Tool aus: „Speicher mit Leistungskennzahl N_L ≥ N wählen“ — der Abgleich erfolgt mit dem Herstellerdatenblatt (z. B. Logalux-Reihe).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C.5.2 Verfahren 2: Profilbasiert (wärmepumpengerecht)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Die DIN 4708 unterstellt eine schnelle Nachheizung, wie sie Kessel liefern; Wärmepumpen laden mit begrenzter Leistung. Das profilbasierte Verfahren bestimmt deshalb direkt aus dem TWW-Lastprofil q(t), welches Speichervolumen die Zapfspitzen bei konstanter Ladeleistung P_L überbrückt:</w:t>
      </w:r>
    </w:p>
    <w:p>
      <w:pPr>
        <w:shd w:fill="F2F6FA" w:val="clear"/>
        <w:spacing w:after="60" w:before="60"/>
        <w:ind w:left="720"/>
      </w:pPr>
      <w:r>
        <w:rPr>
          <w:rFonts w:ascii="Cambria Math" w:cs="Cambria Math" w:eastAsia="Cambria Math" w:hAnsi="Cambria Math"/>
          <w:sz w:val="24"/>
          <w:szCs w:val="24"/>
        </w:rPr>
        <w:t xml:space="preserve">D_max = max über alle Zeiträume [t₁,t₂] von  Σ (q(t) + P_Zirk − P_L) · Δt</w:t>
      </w:r>
    </w:p>
    <w:p>
      <w:pPr>
        <w:spacing w:after="140"/>
        <w:ind w:left="7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Größtes kumuliertes Defizit (Lindley-Rekursion / maximaler Drawdown der SOC-Bilanz bei vollem Start). Die Zirkulationsleistung wirkt als ganzjährige Zusatzlast.</w:t>
      </w:r>
    </w:p>
    <w:p>
      <w:pPr>
        <w:shd w:fill="F2F6FA" w:val="clear"/>
        <w:spacing w:after="60" w:before="60"/>
        <w:ind w:left="720"/>
      </w:pPr>
      <w:r>
        <w:rPr>
          <w:rFonts w:ascii="Cambria Math" w:cs="Cambria Math" w:eastAsia="Cambria Math" w:hAnsi="Cambria Math"/>
          <w:sz w:val="24"/>
          <w:szCs w:val="24"/>
        </w:rPr>
        <w:t xml:space="preserve">V_Profil = D_max · 1000 / (1,163 · ΔT_nutz) / f_nutz · (1 + Zuschlag)</w:t>
      </w:r>
    </w:p>
    <w:p>
      <w:pPr>
        <w:spacing w:after="140"/>
        <w:ind w:left="7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ΔT_nutz = T_Speicher − T_Kaltwasser. Zusätzlich prüft das Tool P_L · 24 h gegen den größten Tagesbedarf und warnt, wenn die Ladeleistung grundsätzlich nicht ausreicht.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C.5.3 Verfahren 3: Faustwert</w:t>
      </w:r>
    </w:p>
    <w:p>
      <w:pPr>
        <w:shd w:fill="F2F6FA" w:val="clear"/>
        <w:spacing w:after="60" w:before="60"/>
        <w:ind w:left="720"/>
      </w:pPr>
      <w:r>
        <w:rPr>
          <w:rFonts w:ascii="Cambria Math" w:cs="Cambria Math" w:eastAsia="Cambria Math" w:hAnsi="Cambria Math"/>
          <w:sz w:val="24"/>
          <w:szCs w:val="24"/>
        </w:rPr>
        <w:t xml:space="preserve">V_Faust = WE · Personen · 35 l/(P·d) · (60−10)/(T_Sp−T_KW) · (1 + Zuschlag)</w:t>
      </w:r>
    </w:p>
    <w:p>
      <w:pPr>
        <w:spacing w:after="140"/>
        <w:ind w:left="7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35 l je Person und Tag bezogen auf 60 °C (Bandbreite 30–45). Achtung: unterstellt eine Speicherladung pro Tag. Bei großen Anlagen (viele Ladezyklen möglich) wird der Faustwert unrealistisch groß — das Tool warnt ab Faktor 3 Abweichung zu den anderen Verfahren und weist die mögliche Zyklenzahl aus.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C.5.4 Empfehlung und Hygiene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Die Empfehlung ist das Maximum der anwendbaren Verfahren, aufgerundet auf marktübliche Speichergrößen (100/150/200/300/400/500/800/1.000/1.500/2.000/3.000/5.000 l …). Ab 400 l gilt die Anlage nach DVGW W 551 als Großanlage: Speichertemperatur 60 °C, Zirkulationsrücklauf ≥ 55 °C — alternativ Frischwasserstation mit kleinem Puffervolumen; das Tool blendet den entsprechenden Hinweis ein.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C.6 Heizungs-Pufferspeicher — Kriterien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C.6.1 Abtauung (Luft/Wasser-WP)</w:t>
      </w:r>
    </w:p>
    <w:p>
      <w:pPr>
        <w:shd w:fill="F2F6FA" w:val="clear"/>
        <w:spacing w:after="60" w:before="60"/>
        <w:ind w:left="720"/>
      </w:pPr>
      <w:r>
        <w:rPr>
          <w:rFonts w:ascii="Cambria Math" w:cs="Cambria Math" w:eastAsia="Cambria Math" w:hAnsi="Cambria Math"/>
          <w:sz w:val="24"/>
          <w:szCs w:val="24"/>
        </w:rPr>
        <w:t xml:space="preserve">V_Abtau = v_spez · P_WP      mit v_spez = 20 l/kW (15–35)</w:t>
      </w:r>
    </w:p>
    <w:p>
      <w:pPr>
        <w:spacing w:after="140"/>
        <w:ind w:left="7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Für die Umkehr-Abtauung muss dem Heiznetz kurzfristig Wärme entnommen werden können, ohne dass die Vorlauftemperatur einbricht. Bei Sole/Wasser-WP: 0 setzen.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C.6.2 Taktung / Mindestlaufzeit</w:t>
      </w:r>
    </w:p>
    <w:p>
      <w:pPr>
        <w:shd w:fill="F2F6FA" w:val="clear"/>
        <w:spacing w:after="60" w:before="60"/>
        <w:ind w:left="720"/>
      </w:pPr>
      <w:r>
        <w:rPr>
          <w:rFonts w:ascii="Cambria Math" w:cs="Cambria Math" w:eastAsia="Cambria Math" w:hAnsi="Cambria Math"/>
          <w:sz w:val="24"/>
          <w:szCs w:val="24"/>
        </w:rPr>
        <w:t xml:space="preserve">V_Takt = P_WP,min · t_min / (1,163 · ΔT_Puffer) · 1000</w:t>
      </w:r>
    </w:p>
    <w:p>
      <w:pPr>
        <w:spacing w:after="140"/>
        <w:ind w:left="7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Der Puffer muss die kleinste Modulationsstufe über die Mindestlaufzeit aufnehmen können, wenn das Netz gerade nichts abnimmt (z. B. alle Thermostatventile zu). Standard: 10 min, ΔT 10 K. Beispiel: 15 kW × 10 min / (1,163 · 10 K) = 215 l.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C.6.3 EVU-Sperrzeit</w:t>
      </w:r>
    </w:p>
    <w:p>
      <w:pPr>
        <w:shd w:fill="F2F6FA" w:val="clear"/>
        <w:spacing w:after="60" w:before="60"/>
        <w:ind w:left="720"/>
      </w:pPr>
      <w:r>
        <w:rPr>
          <w:rFonts w:ascii="Cambria Math" w:cs="Cambria Math" w:eastAsia="Cambria Math" w:hAnsi="Cambria Math"/>
          <w:sz w:val="24"/>
          <w:szCs w:val="24"/>
        </w:rPr>
        <w:t xml:space="preserve">V_Sperr = Q̄_sperr · t_sperr · 1000 / (1,163 · ΔT_Puffer)</w:t>
      </w:r>
    </w:p>
    <w:p>
      <w:pPr>
        <w:spacing w:after="140"/>
        <w:ind w:left="7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Q̄_sperr ist die ungünstigste mittlere Last über die Sperrdauer — ermittelt als Maximum des rollierenden Mittels über den gesamten Lastgang (konservativ; unabhängig von der Tageslage des Fensters). Bei mehreren Fenstern zählt das größte Ergebnis. Volle Überbrückung ist bei großen Netzen oft unwirtschaftlich — Teildeckung während der Sperrzeit ist üblich; das Tool weist darauf hin.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C.6.4 Lastgang-Simulation (Auslegung)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Die Durchlauf-Simulation bilanziert den Speicher über das ganze Jahr: Der Erzeuger (P_WP + P_bivalent, während Sperrzeiten 0) deckt die Last; Überschuss lädt den Speicher bis zur Kapazität C, Defizit entlädt ihn; was der leere Speicher nicht liefern kann, ist Unterdeckung:</w:t>
      </w:r>
    </w:p>
    <w:p>
      <w:pPr>
        <w:shd w:fill="F2F6FA" w:val="clear"/>
        <w:spacing w:after="60" w:before="60"/>
        <w:ind w:left="720"/>
      </w:pPr>
      <w:r>
        <w:rPr>
          <w:rFonts w:ascii="Cambria Math" w:cs="Cambria Math" w:eastAsia="Cambria Math" w:hAnsi="Cambria Math"/>
          <w:sz w:val="24"/>
          <w:szCs w:val="24"/>
        </w:rPr>
        <w:t xml:space="preserve">SOC(t+1) = clip( SOC(t) + (P_verf(t) − Q_Last(t)) · Δt , 0 , C )</w:t>
      </w:r>
    </w:p>
    <w:p>
      <w:pPr>
        <w:spacing w:after="140"/>
        <w:ind w:left="7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Eine Bisektion über C findet die kleinste Kapazität, die den Ziel-Deckungsgrad (Standard 100 %) erreicht (Toleranz 1 kWh). Die Kapazität wird über ΔT_Puffer in Liter umgerechnet. Verifiziert gegen analytisch konstruierte Lastfälle (exakte Übereinstimmung).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Einordnung: Ist der Erzeuger kleiner als die Spitzenlast und keine Unterdeckung zugelassen, wächst das Ergebnis schnell in Saisonalspeicher-Dimensionen. Das Tool markiert Ergebnisse über 100 m³ als praktisch nicht umsetzbar und nennt die Auswege (Erzeuger vergrößern, Bivalenz, Ziel-Deckungsgrad &lt; 100 %, Teildeckung Sperrzeit). Sobald der Erzeuger die Spitzenlast deckt, fallen Simulations- und Sperrzeitkriterium rechnerisch zusammen — eine eingebaute Gegenprobe.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C.6.5 Betriebs-Simulation Zweipunktbetrieb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Ergänzend zur Auslegung simuliert das Tool das Betriebsverhalten eines gewählten Speichers im Zweipunktbetrieb (Hysterese-Regelung, wie sie Kessel- und viele WP-Regelungen fahren). Zustandslogik je Zeitschritt: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Zustand Laden:</w:t>
      </w:r>
      <w:r>
        <w:rPr>
          <w:rFonts w:ascii="Calibri" w:cs="Calibri" w:eastAsia="Calibri" w:hAnsi="Calibri"/>
          <w:sz w:val="22"/>
          <w:szCs w:val="22"/>
        </w:rPr>
        <w:t xml:space="preserve"> Erzeuger deckt die Last und lädt zusätzlich den Speicher, P = min(Q_Last + (C − SOC)/Δt, P_max). Erreicht der Speicher C, schaltet der Erzeuger ab (→ Entladen ab Folgeschritt).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Zustand Entladen:</w:t>
      </w:r>
      <w:r>
        <w:rPr>
          <w:rFonts w:ascii="Calibri" w:cs="Calibri" w:eastAsia="Calibri" w:hAnsi="Calibri"/>
          <w:sz w:val="22"/>
          <w:szCs w:val="22"/>
        </w:rPr>
        <w:t xml:space="preserve"> Erzeuger aus; die Last wird allein aus dem Speicher gedeckt. Würde der Mindestfüllstand (Standard 20 % von C) unterschritten, wird noch im selben Zeitschritt auf Laden umgeschaltet.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Unterdeckung:</w:t>
      </w:r>
      <w:r>
        <w:rPr>
          <w:rFonts w:ascii="Calibri" w:cs="Calibri" w:eastAsia="Calibri" w:hAnsi="Calibri"/>
          <w:sz w:val="22"/>
          <w:szCs w:val="22"/>
        </w:rPr>
        <w:t xml:space="preserve"> tritt nur im Ladebetrieb auf, wenn Last + Nachladung die Maximalleistung übersteigen; der SOC wird auf dem Mindestfüllstand gehalten, der Rest ist Unterdeckung.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Ergebnisse: Ladezyklen pro Jahr (= Starts des Erzeugers → Taktbeanspruchung), mittlere Laufzeit je Zyklus, Unterdeckung (kWh, h) und Deckungsgrad. Ein größerer Speicher senkt die Zyklenzahl näherungsweise umgekehrt proportional zur nutzbaren Kapazität.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C.7 Validierung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Die Zweipunkt-Logik wurde Zeile für Zeile gegen die bestehende SWSG-Lastgangauswertung (Excel) abgeglichen — mit deren Originaldaten und Parametern (2.000-l-Speicher, ΔT 35 K → C = 79,08 kWh, Mindestfüllstand 20 %, P_max = 100,08 kW = 80 % der Jahresspitze 125,1 kW, Booster-Entzugsleistung als Zusatzlast):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00"/>
        <w:gridCol w:w="3060"/>
      </w:tblGrid>
      <w:tr>
        <w:trPr>
          <w:tblHeader/>
        </w:trPr>
        <w:tc>
          <w:tcPr>
            <w:tcW w:type="dxa" w:w="32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Kennwert</w:t>
            </w:r>
          </w:p>
        </w:tc>
        <w:tc>
          <w:tcPr>
            <w:tcW w:type="dxa" w:w="31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SWSG-Excel</w:t>
            </w:r>
          </w:p>
        </w:tc>
        <w:tc>
          <w:tcPr>
            <w:tcW w:type="dxa" w:w="306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Tool-Logik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Füllstand, alle 8.760 h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Referenz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identisch (0 Abweichungen &gt; 10⁻⁶)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Unterdeckung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67,86 kWh in 11 h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67,86 kWh in 11 h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Ladezyklen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911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911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Darüber hinaus sichern 146 automatisierte Tests das Tool ab: Handrechnungs-Vergleiche jeder Formel, unabhängige Zweitimplementierungen (DIN-4708-K(u) gegen Fehlerfunktion; Simulationen gegen naive Referenzschleifen mit 500 Zufallsfällen), Energiebilanz-Schlussproben (Residuum &lt; 10⁻⁶ kWh/Jahr), 45 Grenzfälle sowie der maschinelle Abgleich des Excel-Exports gegen die Berechnungsergebnisse.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C.8 Grenzen der Verfahren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Synthetische Spitzen ≠ Messspitzen.</w:t>
      </w:r>
      <w:r>
        <w:rPr>
          <w:rFonts w:ascii="Calibri" w:cs="Calibri" w:eastAsia="Calibri" w:hAnsi="Calibri"/>
          <w:sz w:val="22"/>
          <w:szCs w:val="22"/>
        </w:rPr>
        <w:t xml:space="preserve"> Synthetische Profile bilden den Bedarf bei voller Gleichzeitigkeit ab. Referenzfall 611 MWh/a: synthetische Spitze ≈ 298 kW, gemessene Erzeugerspitze 125 kW (Faktor 2,4) — die Messung ist durch Kesselleistung, Regelung, Puffer und Gebäudeträgheit gekappt; bemerkenswert: die Messspitze entspricht fast exakt dem P-90-%-Punkt der synthetischen JDL. Konsequenz: Erzeugerleistung nicht nach der synthetischen Spitze wählen, sondern nach Bivalenzpunkt/JDL — oder nach Messdaten, wo vorhanden.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DIN 4708 vereinfacht.</w:t>
      </w:r>
      <w:r>
        <w:rPr>
          <w:rFonts w:ascii="Calibri" w:cs="Calibri" w:eastAsia="Calibri" w:hAnsi="Calibri"/>
          <w:sz w:val="22"/>
          <w:szCs w:val="22"/>
        </w:rPr>
        <w:t xml:space="preserve"> Ohne die v-/w-Wertigkeiten der DIN 4708-2 ist N bei gehobener Ausstattung zu klein; der N_L-Abgleich mit dem konkreten Speicher bleibt Planeraufgabe.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Gültigkeitsbereiche.</w:t>
      </w:r>
      <w:r>
        <w:rPr>
          <w:rFonts w:ascii="Calibri" w:cs="Calibri" w:eastAsia="Calibri" w:hAnsi="Calibri"/>
          <w:sz w:val="22"/>
          <w:szCs w:val="22"/>
        </w:rPr>
        <w:t xml:space="preserve"> VDI-4655-Profile: keine Schaltjahre (Bibliotheksgrenze); MFH &gt; 40 WE bzw. EFH &gt; 12 Personen extrapolieren die Normfaktoren (Warnung; ggf. auf mehrere Zeilen/Copies aufteilen).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Modellvereinfachungen.</w:t>
      </w:r>
      <w:r>
        <w:rPr>
          <w:rFonts w:ascii="Calibri" w:cs="Calibri" w:eastAsia="Calibri" w:hAnsi="Calibri"/>
          <w:sz w:val="22"/>
          <w:szCs w:val="22"/>
        </w:rPr>
        <w:t xml:space="preserve"> Die Speichermodelle sind Energiebilanzen ohne Temperaturschichtung und ohne Speicherverluste; Bereitschaftsverluste sind über Zuschläge/Zirkulationsleistung abzubilden. Hydraulik, reale Nutzvolumina und Herstellerangaben sind gesondert zu prüfen — das Tool ist eine Planungshilfe, kein Ersatz für die Fachplanung.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</w:rPr>
        <w:t xml:space="preserve">Anhang — Projektstruktur und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Pfad</w:t>
            </w:r>
          </w:p>
        </w:tc>
        <w:tc>
          <w:tcPr>
            <w:tcW w:type="dxa" w:w="576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app.py / start_tool.bat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Oberfläche und Windows-Starter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wsp/models.py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Datenmodelle, Einheiten, Umrechnungen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wsp/profiles_synthetic.py, weather.py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VDI-4655-/BDEW-Profile, TRY-Wetter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wsp/profiles_measured.py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Messdaten-Import, Sommer-Baseline-Split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wsp/analysis.py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JDL, Tagesprofile, Kennzahlen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wsp/storage_sim.py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Durchlauf- und Zweipunkt-Simulation, Bisektion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wsp/sizing_dhw.py, sizing_buffer.py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Auslegungsverfahren TWW / Puffer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wsp/export_excel.py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Excel-Bericht (7 Blätter, Diagramme)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vendor/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din4708.py + TRY-Wetterdaten aus lpagg (MIT)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examples/, tests/, DESIGN.md, README.md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Beispiele, 146 Tests, Konzept, Kurzanleitung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Testausführung: python -m pytest tests (in der aktivierten .venv). Stand 28.07.2026: 146 Tests, alle bestanden.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2026-07-28T20:52:49.483Z</dcterms:created>
  <dcterms:modified xsi:type="dcterms:W3CDTF">2026-07-28T20:52:49.483Z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