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Calibri" w:cs="Calibri" w:eastAsia="Calibri" w:hAnsi="Calibri"/>
          <w:b/>
          <w:bCs/>
          <w:color w:val="1F3864"/>
          <w:sz w:val="40"/>
          <w:szCs w:val="40"/>
        </w:rPr>
        <w:t xml:space="preserve">EPOS-Plan — Entwicklerhandbuch: Administration und Support</w:t>
      </w:r>
    </w:p>
    <w:p>
      <w:pPr>
        <w:pBdr>
          <w:bottom w:val="single" w:color="1F3864" w:sz="8" w:space="4"/>
        </w:pBdr>
        <w:spacing w:after="240"/>
      </w:pPr>
      <w:r>
        <w:rPr>
          <w:color w:val="595959"/>
          <w:sz w:val="22"/>
          <w:szCs w:val="22"/>
        </w:rPr>
        <w:t xml:space="preserve">Stand 11.10.2026 (Konzeptstand) · INEKON, nur für Entwicklung und Support</w:t>
      </w:r>
    </w:p>
    <w:sdt>
      <w:sdtPr>
        <w:alias w:val="Inhalt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ageBreakBefore/>
      </w:pPr>
    </w:p>
    <w:p>
      <w:pPr>
        <w:spacing w:after="120"/>
      </w:pPr>
      <w:r>
        <w:rPr>
          <w:b/>
          <w:bCs/>
          <w:i w:val="false"/>
          <w:iCs w:val="false"/>
        </w:rPr>
        <w:t xml:space="preserve">Für wen.</w:t>
      </w:r>
      <w:r>
        <w:rPr>
          <w:b w:val="false"/>
          <w:bCs w:val="false"/>
          <w:i w:val="false"/>
          <w:iCs w:val="false"/>
        </w:rPr>
        <w:t xml:space="preserve"> INEKON — Entwicklung und Support. Nicht für Anwender; nichts aus diesem Handbuch kommt ins Wiki, und die Entwicklerbereiche werden in der Anwenderdokumentation nicht erwähnt.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Stand.</w:t>
      </w:r>
      <w:r>
        <w:rPr>
          <w:b w:val="false"/>
          <w:bCs w:val="false"/>
          <w:i w:val="false"/>
          <w:iCs w:val="false"/>
        </w:rPr>
        <w:t xml:space="preserve"> 11.10.2026, Konzeptstand nach den Anwenderentscheiden AS-Q1 bis AS-Q10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0"/>
          <w:szCs w:val="20"/>
        </w:rPr>
        <w:t xml:space="preserve">Konzept_Administration_Support_EPOS-Plan.md</w:t>
      </w:r>
      <w:r>
        <w:rPr>
          <w:b w:val="false"/>
          <w:bCs w:val="false"/>
          <w:i w:val="false"/>
          <w:iCs w:val="false"/>
        </w:rPr>
        <w:t xml:space="preserve">). Jeder Abschnitt trägt die Stufe, ab der er gilt: </w:t>
      </w:r>
      <w:r>
        <w:rPr>
          <w:b/>
          <w:bCs/>
          <w:i w:val="false"/>
          <w:iCs w:val="false"/>
        </w:rPr>
        <w:t xml:space="preserve">[heute]</w:t>
      </w:r>
      <w:r>
        <w:rPr>
          <w:b w:val="false"/>
          <w:bCs w:val="false"/>
          <w:i w:val="false"/>
          <w:iCs w:val="false"/>
        </w:rPr>
        <w:t xml:space="preserve"> vorhanden, </w:t>
      </w:r>
      <w:r>
        <w:rPr>
          <w:b/>
          <w:bCs/>
          <w:i w:val="false"/>
          <w:iCs w:val="false"/>
        </w:rPr>
        <w:t xml:space="preserve">[Stufe 1]</w:t>
      </w:r>
      <w:r>
        <w:rPr>
          <w:b w:val="false"/>
          <w:bCs w:val="false"/>
          <w:i w:val="false"/>
          <w:iCs w:val="false"/>
        </w:rPr>
        <w:t xml:space="preserve"> Entwicklermodus, </w:t>
      </w:r>
      <w:r>
        <w:rPr>
          <w:b/>
          <w:bCs/>
          <w:i w:val="false"/>
          <w:iCs w:val="false"/>
        </w:rPr>
        <w:t xml:space="preserve">[Stufe 2]</w:t>
      </w:r>
      <w:r>
        <w:rPr>
          <w:b w:val="false"/>
          <w:bCs w:val="false"/>
          <w:i w:val="false"/>
          <w:iCs w:val="false"/>
        </w:rPr>
        <w:t xml:space="preserve"> Fernwartung, </w:t>
      </w:r>
      <w:r>
        <w:rPr>
          <w:b/>
          <w:bCs/>
          <w:i w:val="false"/>
          <w:iCs w:val="false"/>
        </w:rPr>
        <w:t xml:space="preserve">[Stufe 3]</w:t>
      </w:r>
      <w:r>
        <w:rPr>
          <w:b w:val="false"/>
          <w:bCs w:val="false"/>
          <w:i w:val="false"/>
          <w:iCs w:val="false"/>
        </w:rPr>
        <w:t xml:space="preserve"> Dialog „Über EPOS-Plan" und Diagnosedaten. Wer eine Stufe umsetzt, zieht dieses Handbuch und die Word-Fassung daneben nach (Abschnitt 8).</w:t>
      </w:r>
    </w:p>
    <w:p>
      <w:pPr>
        <w:spacing w:after="120"/>
      </w:pPr>
      <w:r>
        <w:rPr>
          <w:b/>
          <w:bCs/>
          <w:i w:val="false"/>
          <w:iCs w:val="false"/>
        </w:rPr>
        <w:t xml:space="preserve">Quelle und Word-Fassung.</w:t>
      </w:r>
      <w:r>
        <w:rPr>
          <w:b w:val="false"/>
          <w:bCs w:val="false"/>
          <w:i w:val="false"/>
          <w:iCs w:val="false"/>
        </w:rPr>
        <w:t xml:space="preserve"> Diese Markdown-Datei ist die Quelle; die Datei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0"/>
          <w:szCs w:val="20"/>
        </w:rPr>
        <w:t xml:space="preserve">Entwicklerhandbuch_Administration_Support_EPOS-Plan.docx</w:t>
      </w:r>
      <w:r>
        <w:rPr>
          <w:b w:val="false"/>
          <w:bCs w:val="false"/>
          <w:i w:val="false"/>
          <w:iCs w:val="false"/>
        </w:rPr>
        <w:t xml:space="preserve"> im selben Ordner ist daraus erzeugt und wird mit jeder Änderung neu erzeugt (Abschnitt 8).</w:t>
      </w:r>
    </w:p>
    <w:p>
      <w:pPr>
        <w:pStyle w:val="Heading1"/>
      </w:pPr>
      <w:r>
        <w:rPr>
          <w:b w:val="false"/>
          <w:bCs w:val="false"/>
          <w:i w:val="false"/>
          <w:iCs w:val="false"/>
        </w:rPr>
        <w:t xml:space="preserve">1 Entwicklermodus ein- und ausschalten [Stufe 1]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Der Entwicklermodus ist eine Sichtbarkeitsstufe, kein Rechtemodell: Er zeigt Bereiche, die ein Anwender nicht sieht. Was er zeigt, steht in Abschnitt 2.</w:t>
      </w:r>
    </w:p>
    <w:p>
      <w:pPr>
        <w:pStyle w:val="Heading2"/>
      </w:pPr>
      <w:r>
        <w:rPr>
          <w:b w:val="false"/>
          <w:bCs w:val="false"/>
          <w:i w:val="false"/>
          <w:iCs w:val="false"/>
        </w:rPr>
        <w:t xml:space="preserve">1.1 Die vier Wege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1737"/>
        <w:gridCol w:w="4912"/>
        <w:gridCol w:w="1414"/>
      </w:tblGrid>
      <w:tr>
        <w:trPr>
          <w:cantSplit/>
          <w:tblHeader/>
        </w:trPr>
        <w:tc>
          <w:tcPr>
            <w:tcW w:type="dxa" w:w="15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Weg</w:t>
            </w:r>
          </w:p>
        </w:tc>
        <w:tc>
          <w:tcPr>
            <w:tcW w:type="dxa" w:w="17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Wann</w:t>
            </w:r>
          </w:p>
        </w:tc>
        <w:tc>
          <w:tcPr>
            <w:tcW w:type="dxa" w:w="49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So geht es</w:t>
            </w:r>
          </w:p>
        </w:tc>
        <w:tc>
          <w:tcPr>
            <w:tcW w:type="dxa" w:w="14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Wieder aus</w:t>
            </w:r>
          </w:p>
        </w:tc>
      </w:tr>
      <w:tr>
        <w:trPr>
          <w:cantSplit/>
          <w:tblHeader w:val="false"/>
        </w:trPr>
        <w:tc>
          <w:tcPr>
            <w:tcW w:type="dxa" w:w="15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Tastenfolge</w:t>
            </w:r>
          </w:p>
        </w:tc>
        <w:tc>
          <w:tcPr>
            <w:tcW w:type="dxa" w:w="17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am Kundenrechner oder am eigenen Rechner, dauerhaft</w:t>
            </w:r>
          </w:p>
        </w:tc>
        <w:tc>
          <w:tcPr>
            <w:tcW w:type="dxa" w:w="49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/>
                <w:iCs/>
                <w:sz w:val="20"/>
                <w:szCs w:val="20"/>
              </w:rPr>
              <w:t xml:space="preserve">Hilfe → Version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öffnen (ab Stufe 3 heißt der Dialog „Über EPOS-Plan"), dann </w:t>
            </w: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Strg + Umschalt + Alt + E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Rückfrage „Entwicklermodus einschalten? Er gilt bis zum Ausschalten." bestätigen. iPad: fünfmal auf die Versionszeile tippen.</w:t>
            </w:r>
          </w:p>
        </w:tc>
        <w:tc>
          <w:tcPr>
            <w:tcW w:type="dxa" w:w="14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Menü </w:t>
            </w:r>
            <w:r>
              <w:rPr>
                <w:b w:val="false"/>
                <w:bCs w:val="false"/>
                <w:i/>
                <w:iCs/>
                <w:sz w:val="20"/>
                <w:szCs w:val="20"/>
              </w:rPr>
              <w:t xml:space="preserve">Entwicklung → Entwicklermodus ausschalten</w:t>
            </w:r>
          </w:p>
        </w:tc>
      </w:tr>
      <w:tr>
        <w:trPr>
          <w:cantSplit/>
          <w:tblHeader w:val="false"/>
        </w:trPr>
        <w:tc>
          <w:tcPr>
            <w:tcW w:type="dxa" w:w="15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Startargument</w:t>
            </w:r>
          </w:p>
        </w:tc>
        <w:tc>
          <w:tcPr>
            <w:tcW w:type="dxa" w:w="17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ein einzelner Lauf, Vorführung, Fehlersuche in einer Fernwartungssitzung</w:t>
            </w:r>
          </w:p>
        </w:tc>
        <w:tc>
          <w:tcPr>
            <w:tcW w:type="dxa" w:w="49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EPOS_Plan.exe --entwickler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 Praktisch: eine Verknüpfung „EPOS-Plan (Entwickler)" mit diesem Ziel selbst anlegen; das Setup legt sie absichtlich nicht an. Nur Windows.</w:t>
            </w:r>
          </w:p>
        </w:tc>
        <w:tc>
          <w:tcPr>
            <w:tcW w:type="dxa" w:w="14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nächster Start ohne Argument</w:t>
            </w:r>
          </w:p>
        </w:tc>
      </w:tr>
      <w:tr>
        <w:trPr>
          <w:cantSplit/>
          <w:tblHeader w:val="false"/>
        </w:trPr>
        <w:tc>
          <w:tcPr>
            <w:tcW w:type="dxa" w:w="15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Umgebungsvariable</w:t>
            </w:r>
          </w:p>
        </w:tc>
        <w:tc>
          <w:tcPr>
            <w:tcW w:type="dxa" w:w="17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Entwicklerrechner dauerhaft, CI, Rasterprobe, Referenzlauf, iOS-Simulator</w:t>
            </w:r>
          </w:p>
        </w:tc>
        <w:tc>
          <w:tcPr>
            <w:tcW w:type="dxa" w:w="49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EPOS_ENTWICKLER=1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als Benutzer- oder Systemvariable. iOS-Simulator wie beim Prüfmodus: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SIMCTL_CHILD_EPOS_ENTWICKLER=1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</w:t>
            </w:r>
          </w:p>
        </w:tc>
        <w:tc>
          <w:tcPr>
            <w:tcW w:type="dxa" w:w="14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Variable entfernen</w:t>
            </w:r>
          </w:p>
        </w:tc>
      </w:tr>
      <w:tr>
        <w:trPr>
          <w:cantSplit/>
          <w:tblHeader w:val="false"/>
        </w:trPr>
        <w:tc>
          <w:tcPr>
            <w:tcW w:type="dxa" w:w="157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Sperre des Administrators</w:t>
            </w:r>
          </w:p>
        </w:tc>
        <w:tc>
          <w:tcPr>
            <w:tcW w:type="dxa" w:w="17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Kundeninstallation, deren Verwaltung den Modus verbietet</w:t>
            </w:r>
          </w:p>
        </w:tc>
        <w:tc>
          <w:tcPr>
            <w:tcW w:type="dxa" w:w="491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Registrywert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HKLM\SOFTWARE\wp-plan\EntwicklermodusGesperrt = 1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(in beiden Registry-Sichten gelesen, wie der KI-Abschalter). Die Sperre schlägt alle drei anderen Wege.</w:t>
            </w:r>
          </w:p>
        </w:tc>
        <w:tc>
          <w:tcPr>
            <w:tcW w:type="dxa" w:w="14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Wert löschen; aus der Anwendung heraus nie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Rangfolge beim Start: erst die Sperre, dann Umgebungsvariable, Startargument, Einstellung. Die Einstellung der Tastenfolge liegt unter Windows in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0"/>
          <w:szCs w:val="20"/>
        </w:rPr>
        <w:t xml:space="preserve">HKCU\Software\wp-plan\Entwicklermodus</w:t>
      </w:r>
      <w:r>
        <w:rPr>
          <w:b w:val="false"/>
          <w:bCs w:val="false"/>
          <w:i w:val="false"/>
          <w:iCs w:val="false"/>
        </w:rPr>
        <w:t xml:space="preserve"> (Wert 1) und auf iOS in den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0"/>
          <w:szCs w:val="20"/>
        </w:rPr>
        <w:t xml:space="preserve">Preferences</w:t>
      </w:r>
      <w:r>
        <w:rPr>
          <w:b w:val="false"/>
          <w:bCs w:val="false"/>
          <w:i w:val="false"/>
          <w:iCs w:val="false"/>
        </w:rPr>
        <w:t xml:space="preserve"> unter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0"/>
          <w:szCs w:val="20"/>
        </w:rPr>
        <w:t xml:space="preserve">wp-plan.Entwicklermodus</w:t>
      </w:r>
      <w:r>
        <w:rPr>
          <w:b w:val="false"/>
          <w:bCs w:val="false"/>
          <w:i w:val="false"/>
          <w:iCs w:val="false"/>
        </w:rPr>
        <w:t xml:space="preserve">. Der Kern-Baustein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0"/>
          <w:szCs w:val="20"/>
        </w:rPr>
        <w:t xml:space="preserve">Entwicklermodus</w:t>
      </w:r>
      <w:r>
        <w:rPr>
          <w:b w:val="false"/>
          <w:bCs w:val="false"/>
          <w:i w:val="false"/>
          <w:iCs w:val="false"/>
        </w:rPr>
        <w:t xml:space="preserve">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0"/>
          <w:szCs w:val="20"/>
        </w:rPr>
        <w:t xml:space="preserve">EPOS.Kern/Allgemein/Freigabe/</w:t>
      </w:r>
      <w:r>
        <w:rPr>
          <w:b w:val="false"/>
          <w:bCs w:val="false"/>
          <w:i w:val="false"/>
          <w:iCs w:val="false"/>
        </w:rPr>
        <w:t xml:space="preserve">) liest alles einmal beim Start und bietet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0"/>
          <w:szCs w:val="20"/>
        </w:rPr>
        <w:t xml:space="preserve">Stufe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0"/>
          <w:szCs w:val="20"/>
        </w:rPr>
        <w:t xml:space="preserve">Aktiv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0"/>
          <w:szCs w:val="20"/>
        </w:rPr>
        <w:t xml:space="preserve">Quelle</w:t>
      </w:r>
      <w:r>
        <w:rPr>
          <w:b w:val="false"/>
          <w:bCs w:val="false"/>
          <w:i w:val="false"/>
          <w:iCs w:val="false"/>
        </w:rPr>
        <w:t xml:space="preserve"> und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0"/>
          <w:szCs w:val="20"/>
        </w:rPr>
        <w:t xml:space="preserve">Gesperrt</w:t>
      </w:r>
      <w:r>
        <w:rPr>
          <w:b w:val="false"/>
          <w:bCs w:val="false"/>
          <w:i w:val="false"/>
          <w:iCs w:val="false"/>
        </w:rPr>
        <w:t xml:space="preserve">; niemand sonst liest Registry, Umgebung oder Startzeile.</w:t>
      </w:r>
    </w:p>
    <w:p>
      <w:pPr>
        <w:pStyle w:val="Heading2"/>
      </w:pPr>
      <w:r>
        <w:rPr>
          <w:b w:val="false"/>
          <w:bCs w:val="false"/>
          <w:i w:val="false"/>
          <w:iCs w:val="false"/>
        </w:rPr>
        <w:t xml:space="preserve">1.2 Woran man den Modus erkennt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Die Kopfleiste trägt rechts neben der Versionsnummer die Marke </w:t>
      </w:r>
      <w:r>
        <w:rPr>
          <w:b/>
          <w:bCs/>
          <w:i w:val="false"/>
          <w:iCs w:val="false"/>
        </w:rPr>
        <w:t xml:space="preserve">„Entwickler"</w:t>
      </w:r>
      <w:r>
        <w:rPr>
          <w:b w:val="false"/>
          <w:bCs w:val="false"/>
          <w:i w:val="false"/>
          <w:iCs w:val="false"/>
        </w:rPr>
        <w:t xml:space="preserve"> in der Warnfarbe; der Tooltip nennt die Quelle (Einstellung, Startargument, Umgebung).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Der Fenstertitel trägt den Zusatz „(Entwicklermodus)".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Vor dem Menükopf </w:t>
      </w:r>
      <w:r>
        <w:rPr>
          <w:b w:val="false"/>
          <w:bCs w:val="false"/>
          <w:i/>
          <w:iCs/>
        </w:rPr>
        <w:t xml:space="preserve">Sprache</w:t>
      </w:r>
      <w:r>
        <w:rPr>
          <w:b w:val="false"/>
          <w:bCs w:val="false"/>
          <w:i w:val="false"/>
          <w:iCs w:val="false"/>
        </w:rPr>
        <w:t xml:space="preserve"> steht der Kopf </w:t>
      </w:r>
      <w:r>
        <w:rPr>
          <w:b/>
          <w:bCs/>
          <w:i w:val="false"/>
          <w:iCs w:val="false"/>
        </w:rPr>
        <w:t xml:space="preserve">„Entwicklung"</w:t>
      </w:r>
      <w:r>
        <w:rPr>
          <w:b w:val="false"/>
          <w:bCs w:val="false"/>
          <w:i w:val="false"/>
          <w:iCs w:val="false"/>
        </w:rPr>
        <w:t xml:space="preserve"> (Abschnitt 2.2).</w:t>
      </w:r>
    </w:p>
    <w:p>
      <w:pPr>
        <w:pStyle w:val="Heading2"/>
      </w:pPr>
      <w:r>
        <w:rPr>
          <w:b w:val="false"/>
          <w:bCs w:val="false"/>
          <w:i w:val="false"/>
          <w:iCs w:val="false"/>
        </w:rPr>
        <w:t xml:space="preserve">1.3 Ausschalten</w:t>
      </w:r>
    </w:p>
    <w:p>
      <w:pPr>
        <w:spacing w:after="120"/>
      </w:pPr>
      <w:r>
        <w:rPr>
          <w:b w:val="false"/>
          <w:bCs w:val="false"/>
          <w:i/>
          <w:iCs/>
        </w:rPr>
        <w:t xml:space="preserve">Entwicklung → Entwicklermodus ausschalten</w:t>
      </w:r>
      <w:r>
        <w:rPr>
          <w:b w:val="false"/>
          <w:bCs w:val="false"/>
          <w:i w:val="false"/>
          <w:iCs w:val="false"/>
        </w:rPr>
        <w:t xml:space="preserve"> löscht die Einstellung. Läuft der Modus über Startargument oder Umgebungsvariable, sagt der Punkt das und tut nichts: dann ohne Argument neu starten beziehungsweise die Variable entfernen.</w:t>
      </w:r>
    </w:p>
    <w:p>
      <w:pPr>
        <w:pStyle w:val="Heading2"/>
      </w:pPr>
      <w:r>
        <w:rPr>
          <w:b w:val="false"/>
          <w:bCs w:val="false"/>
          <w:i w:val="false"/>
          <w:iCs w:val="false"/>
        </w:rPr>
        <w:t xml:space="preserve">1.4 Regeln am Kundenrechner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Vor dem Verlassen eines Kundenrechners den Modus ausschalten und die Marke prüfen. Eine Kundeninstallation läuft nie unbemerkt im Entwicklermodus.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Die Sperre des Administrators wird nicht umgangen. Braucht der Support den Modus dort, klärt er es mit der Verwaltung des Kunden.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Was im Modus angelegt wird (Projektdatei-Importe, Profile aus einer Projektdatei), bleibt ohne Modus lesbar und trägt seine Herkunft; nur das Anlegen neuer Importe ist dann verborgen (AS-Q5).</w:t>
      </w:r>
    </w:p>
    <w:p>
      <w:pPr>
        <w:pStyle w:val="Heading1"/>
      </w:pPr>
      <w:r>
        <w:rPr>
          <w:b w:val="false"/>
          <w:bCs w:val="false"/>
          <w:i w:val="false"/>
          <w:iCs w:val="false"/>
        </w:rPr>
        <w:t xml:space="preserve">2 Die Entwicklerbereiche [Stufe 1]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Das Register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0"/>
          <w:szCs w:val="20"/>
        </w:rPr>
        <w:t xml:space="preserve">Entwicklerbereiche.Alle</w:t>
      </w:r>
      <w:r>
        <w:rPr>
          <w:b w:val="false"/>
          <w:bCs w:val="false"/>
          <w:i w:val="false"/>
          <w:iCs w:val="false"/>
        </w:rPr>
        <w:t xml:space="preserve"> im Kern führt jeden Bereich mit einem Schlüssel; die Wache (Abschnitt 5) prüft, dass jeder Schlüssel eine Fundstelle hat und dass der Anwenderbaum keinen davon enthält.</w:t>
      </w:r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2"/>
      </w:pPr>
      <w:r>
        <w:rPr>
          <w:b w:val="false"/>
          <w:bCs w:val="false"/>
          <w:i w:val="false"/>
          <w:iCs w:val="false"/>
        </w:rPr>
        <w:t xml:space="preserve">2.1 Die Liste</w:t>
      </w:r>
    </w:p>
    <w:tbl>
      <w:tblPr>
        <w:tblW w:type="dxa" w:w="145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76"/>
        <w:gridCol w:w="4909"/>
        <w:gridCol w:w="4928"/>
        <w:gridCol w:w="2257"/>
      </w:tblGrid>
      <w:tr>
        <w:trPr>
          <w:cantSplit/>
          <w:tblHeader/>
        </w:trPr>
        <w:tc>
          <w:tcPr>
            <w:tcW w:type="dxa" w:w="2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Schlüssel</w:t>
            </w:r>
          </w:p>
        </w:tc>
        <w:tc>
          <w:tcPr>
            <w:tcW w:type="dxa" w:w="49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Bereich</w:t>
            </w:r>
          </w:p>
        </w:tc>
        <w:tc>
          <w:tcPr>
            <w:tcW w:type="dxa" w:w="4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Wo</w:t>
            </w:r>
          </w:p>
        </w:tc>
        <w:tc>
          <w:tcPr>
            <w:tcW w:type="dxa" w:w="22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Wozu</w:t>
            </w:r>
          </w:p>
        </w:tc>
      </w:tr>
      <w:tr>
        <w:trPr>
          <w:cantSplit/>
          <w:tblHeader w:val="false"/>
        </w:trPr>
        <w:tc>
          <w:tcPr>
            <w:tcW w:type="dxa" w:w="2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PROJEKTDATEI_IMPORT</w:t>
            </w:r>
          </w:p>
        </w:tc>
        <w:tc>
          <w:tcPr>
            <w:tcW w:type="dxa" w:w="49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Projektdatei des CAD-Programms (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.sqproj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 im Gebäudeimport: Quellenwahl „Format mit Projektdatei" und „nur Projektdatei", Knopf „Projektdatei dazuladen (.sqproj)…", „Projektdatei entfernen", Zonierungswahl DIN/Simulation</w:t>
            </w:r>
          </w:p>
        </w:tc>
        <w:tc>
          <w:tcPr>
            <w:tcW w:type="dxa" w:w="4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EPOS.UI/Dialoge/Import/GebaeudeImportDialog.razor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Hülle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EPOS.UI.Daten/Bedarf/GebaeudeImportHuelle.cs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Kern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EPOS.Kern/Allgemein/Import/Sqproj/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(Datenaustauschkonzept Kapitel 16)</w:t>
            </w:r>
          </w:p>
        </w:tc>
        <w:tc>
          <w:tcPr>
            <w:tcW w:type="dxa" w:w="22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Zonen, Nutzung, Ganglinien und Kalender aus HottCAD zur IFC-Datei dazuladen</w:t>
            </w:r>
          </w:p>
        </w:tc>
      </w:tr>
      <w:tr>
        <w:trPr>
          <w:cantSplit/>
          <w:tblHeader w:val="false"/>
        </w:trPr>
        <w:tc>
          <w:tcPr>
            <w:tcW w:type="dxa" w:w="2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PROJEKTDATEI_PROFILE</w:t>
            </w:r>
          </w:p>
        </w:tc>
        <w:tc>
          <w:tcPr>
            <w:tcW w:type="dxa" w:w="49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„Aus Projektdatei…" im Blatt Nutzungsprofile und „Nutzungsprofile der Datei übernehmen…" im Import</w:t>
            </w:r>
          </w:p>
        </w:tc>
        <w:tc>
          <w:tcPr>
            <w:tcW w:type="dxa" w:w="4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EPOS.UI/Dialoge/Bedarf/ProjektdateiProfile.razor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Wirt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RaumnutzungBlatt.razor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Hülle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ProjektdateiProfileHuelle.cs</w:t>
            </w:r>
          </w:p>
        </w:tc>
        <w:tc>
          <w:tcPr>
            <w:tcW w:type="dxa" w:w="22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Profile je DIN-Nummer in einer eigenen Katalogkategorie anlegen</w:t>
            </w:r>
          </w:p>
        </w:tc>
      </w:tr>
      <w:tr>
        <w:trPr>
          <w:cantSplit/>
          <w:tblHeader w:val="false"/>
        </w:trPr>
        <w:tc>
          <w:tcPr>
            <w:tcW w:type="dxa" w:w="2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PROJEKTDATEI_IOS</w:t>
            </w:r>
          </w:p>
        </w:tc>
        <w:tc>
          <w:tcPr>
            <w:tcW w:type="dxa" w:w="49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Dateiendung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.sqproj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in der iOS-Dateiwahl</w:t>
            </w:r>
          </w:p>
        </w:tc>
        <w:tc>
          <w:tcPr>
            <w:tcW w:type="dxa" w:w="4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EPOS.iOS/Dienste/Dateifilter.cs</w:t>
            </w:r>
          </w:p>
        </w:tc>
        <w:tc>
          <w:tcPr>
            <w:tcW w:type="dxa" w:w="22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nur im Modus wählbar</w:t>
            </w:r>
          </w:p>
        </w:tc>
      </w:tr>
      <w:tr>
        <w:trPr>
          <w:cantSplit/>
          <w:tblHeader w:val="false"/>
        </w:trPr>
        <w:tc>
          <w:tcPr>
            <w:tcW w:type="dxa" w:w="2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PROJEKTDATEI_KI</w:t>
            </w:r>
          </w:p>
        </w:tc>
        <w:tc>
          <w:tcPr>
            <w:tcW w:type="dxa" w:w="49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Feldkarten und Aktionen der Projektdatei für den Hilfe-Assistenten</w:t>
            </w:r>
          </w:p>
        </w:tc>
        <w:tc>
          <w:tcPr>
            <w:tcW w:type="dxa" w:w="4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EPOS.Kern/Allgemein/KI/Dialoge/KiDialoge.cs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Kennzeichen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nurEntwickler</w:t>
            </w:r>
          </w:p>
        </w:tc>
        <w:tc>
          <w:tcPr>
            <w:tcW w:type="dxa" w:w="22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ohne Modus benannte Absage des Assistenten</w:t>
            </w:r>
          </w:p>
        </w:tc>
      </w:tr>
      <w:tr>
        <w:trPr>
          <w:cantSplit/>
          <w:tblHeader w:val="false"/>
        </w:trPr>
        <w:tc>
          <w:tcPr>
            <w:tcW w:type="dxa" w:w="2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KATALOG_WIEDERHERSTELLEN</w:t>
            </w:r>
          </w:p>
        </w:tc>
        <w:tc>
          <w:tcPr>
            <w:tcW w:type="dxa" w:w="49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„Auslieferungsstand wiederherstellen…" des Katalogabgleichs</w:t>
            </w:r>
          </w:p>
        </w:tc>
        <w:tc>
          <w:tcPr>
            <w:tcW w:type="dxa" w:w="4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KatalogabgleichDialog.razor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Kern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Katalogabgleich.Wiederherstellen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im Modus über </w:t>
            </w:r>
            <w:r>
              <w:rPr>
                <w:b w:val="false"/>
                <w:bCs w:val="false"/>
                <w:i/>
                <w:iCs/>
                <w:sz w:val="20"/>
                <w:szCs w:val="20"/>
              </w:rPr>
              <w:t xml:space="preserve">Entwicklung</w:t>
            </w:r>
          </w:p>
        </w:tc>
        <w:tc>
          <w:tcPr>
            <w:tcW w:type="dxa" w:w="22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Reparatur eines behaltenen Katalogsatzes</w:t>
            </w:r>
          </w:p>
        </w:tc>
      </w:tr>
      <w:tr>
        <w:trPr>
          <w:cantSplit/>
          <w:tblHeader w:val="false"/>
        </w:trPr>
        <w:tc>
          <w:tcPr>
            <w:tcW w:type="dxa" w:w="2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KI_WERKZEUGE</w:t>
            </w:r>
          </w:p>
        </w:tc>
        <w:tc>
          <w:tcPr>
            <w:tcW w:type="dxa" w:w="49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KI-Chat: „Werkzeuge…", „Protokoll anzeigen", Modellwahl und „Weg B" in den KI-Einstellungen</w:t>
            </w:r>
          </w:p>
        </w:tc>
        <w:tc>
          <w:tcPr>
            <w:tcW w:type="dxa" w:w="4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EPOS.UI/Dialoge/Hilfe/KiChatDialog.razor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KiEinstellungenDialog.razor</w:t>
            </w:r>
          </w:p>
        </w:tc>
        <w:tc>
          <w:tcPr>
            <w:tcW w:type="dxa" w:w="22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Prüf- und Fehlersuchwerkzeuge des Assistenten; „Was wird gesendet?" bleibt für alle</w:t>
            </w:r>
          </w:p>
        </w:tc>
      </w:tr>
      <w:tr>
        <w:trPr>
          <w:cantSplit/>
          <w:tblHeader w:val="false"/>
        </w:trPr>
        <w:tc>
          <w:tcPr>
            <w:tcW w:type="dxa" w:w="2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EXPORT_IDS</w:t>
            </w:r>
          </w:p>
        </w:tc>
        <w:tc>
          <w:tcPr>
            <w:tcW w:type="dxa" w:w="49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„Exportzusage (IDS) öffnen…" im Gebäudeexport</w:t>
            </w:r>
          </w:p>
        </w:tc>
        <w:tc>
          <w:tcPr>
            <w:tcW w:type="dxa" w:w="4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EPOS.UI/Dialoge/Export/GebaeudeExportDialog.razor</w:t>
            </w:r>
          </w:p>
        </w:tc>
        <w:tc>
          <w:tcPr>
            <w:tcW w:type="dxa" w:w="22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Prüfartefakt des IFC-Exports</w:t>
            </w:r>
          </w:p>
        </w:tc>
      </w:tr>
      <w:tr>
        <w:trPr>
          <w:cantSplit/>
          <w:tblHeader w:val="false"/>
        </w:trPr>
        <w:tc>
          <w:tcPr>
            <w:tcW w:type="dxa" w:w="2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ZAPFPROFIL_VORGABEN</w:t>
            </w:r>
          </w:p>
        </w:tc>
        <w:tc>
          <w:tcPr>
            <w:tcW w:type="dxa" w:w="49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Rubrik „Entwicklung" im Einstellungsdialog mit den fünf Rechenvorgaben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Zapfprofil.Anzeigetemperatur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Zapfprofil.Stundenschwelle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Zapfprofil.Nenninhalte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Zapfprofil.Katalogordner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Zapfprofil.Importordner</w:t>
            </w:r>
          </w:p>
        </w:tc>
        <w:tc>
          <w:tcPr>
            <w:tcW w:type="dxa" w:w="4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EinstellungenDialog.razor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gelesen in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ZapfprofilCtrl.Eingang.cs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ZapfprofilCtrl.Auslegung.cs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ZapfprofilHuelle.*</w:t>
            </w:r>
          </w:p>
        </w:tc>
        <w:tc>
          <w:tcPr>
            <w:tcW w:type="dxa" w:w="22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heute nur per Registry setzbar; ungültige Werte werden mit Hinweis verworfen</w:t>
            </w:r>
          </w:p>
        </w:tc>
      </w:tr>
      <w:tr>
        <w:trPr>
          <w:cantSplit/>
          <w:tblHeader w:val="false"/>
        </w:trPr>
        <w:tc>
          <w:tcPr>
            <w:tcW w:type="dxa" w:w="2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WEBVIEW_WERKZEUGE</w:t>
            </w:r>
          </w:p>
        </w:tc>
        <w:tc>
          <w:tcPr>
            <w:tcW w:type="dxa" w:w="490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Entwicklerwerkzeuge der WebView2 (Strg + Umschalt + I)</w:t>
            </w:r>
          </w:p>
        </w:tc>
        <w:tc>
          <w:tcPr>
            <w:tcW w:type="dxa" w:w="4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WindowsFormsApplication1/Allgemein/Blazor/BlazorDienste.cs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AddBlazorWebViewDeveloperTools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heute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#if DEBUG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</w:t>
            </w:r>
          </w:p>
        </w:tc>
        <w:tc>
          <w:tcPr>
            <w:tcW w:type="dxa" w:w="22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DOM, Stilblatt, Konsole, Netz der Razor-Oberfläche im Release beim Kunden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Bewusst </w:t>
      </w:r>
      <w:r>
        <w:rPr>
          <w:b/>
          <w:bCs/>
          <w:i w:val="false"/>
          <w:iCs w:val="false"/>
        </w:rPr>
        <w:t xml:space="preserve">kein</w:t>
      </w:r>
      <w:r>
        <w:rPr>
          <w:b w:val="false"/>
          <w:bCs w:val="false"/>
          <w:i w:val="false"/>
          <w:iCs w:val="false"/>
        </w:rPr>
        <w:t xml:space="preserve"> Entwicklerbereich: Katalog-Dublettensuche, Schloss eines Auslieferungssatzes, Zapfprofil-Stufe „Experte", Gebäude-Rechenweg „Tagesbilanz", „Was wird gesendet?" im KI-Chat. Bewusst </w:t>
      </w:r>
      <w:r>
        <w:rPr>
          <w:b/>
          <w:bCs/>
          <w:i w:val="false"/>
          <w:iCs w:val="false"/>
        </w:rPr>
        <w:t xml:space="preserve">Build-Schalter</w:t>
      </w:r>
      <w:r>
        <w:rPr>
          <w:b w:val="false"/>
          <w:bCs w:val="false"/>
          <w:i w:val="false"/>
          <w:iCs w:val="false"/>
        </w:rPr>
        <w:t xml:space="preserve"> bleiben die elf Prüfhaken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0"/>
          <w:szCs w:val="20"/>
        </w:rPr>
        <w:t xml:space="preserve">#if DEBUG</w:t>
      </w:r>
      <w:r>
        <w:rPr>
          <w:b w:val="false"/>
          <w:bCs w:val="false"/>
          <w:i w:val="false"/>
          <w:iCs w:val="false"/>
        </w:rPr>
        <w:t xml:space="preserve"> unter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0"/>
          <w:szCs w:val="20"/>
        </w:rPr>
        <w:t xml:space="preserve">EPOS.Kern/Allgemein/Simulation/</w:t>
      </w:r>
      <w:r>
        <w:rPr>
          <w:b w:val="false"/>
          <w:bCs w:val="false"/>
          <w:i w:val="false"/>
          <w:iCs w:val="false"/>
        </w:rPr>
        <w:t xml:space="preserve"> (sie verändern den Rechenweg).</w:t>
      </w:r>
    </w:p>
    <w:p>
      <w:pPr>
        <w:sectPr>
          <w:headerReference w:type="default" r:id="rId9"/>
          <w:footerReference w:type="default" r:id="rId10"/>
          <w:pgSz w:w="16838" w:h="11906" w:orient="landscape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2"/>
      </w:pPr>
      <w:r>
        <w:rPr>
          <w:b w:val="false"/>
          <w:bCs w:val="false"/>
          <w:i w:val="false"/>
          <w:iCs w:val="false"/>
        </w:rPr>
        <w:t xml:space="preserve">2.2 Der Menükopf „Entwicklung"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1"/>
        <w:gridCol w:w="3354"/>
        <w:gridCol w:w="3823"/>
      </w:tblGrid>
      <w:tr>
        <w:trPr>
          <w:cantSplit/>
          <w:tblHeader/>
        </w:trPr>
        <w:tc>
          <w:tcPr>
            <w:tcW w:type="dxa" w:w="2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Punkt</w:t>
            </w:r>
          </w:p>
        </w:tc>
        <w:tc>
          <w:tcPr>
            <w:tcW w:type="dxa" w:w="33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Tut</w:t>
            </w:r>
          </w:p>
        </w:tc>
        <w:tc>
          <w:tcPr>
            <w:tcW w:type="dxa" w:w="38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Hinweis</w:t>
            </w:r>
          </w:p>
        </w:tc>
      </w:tr>
      <w:tr>
        <w:trPr>
          <w:cantSplit/>
          <w:tblHeader w:val="false"/>
        </w:trPr>
        <w:tc>
          <w:tcPr>
            <w:tcW w:type="dxa" w:w="2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Ausnahmeprotokoll öffnen</w:t>
            </w:r>
          </w:p>
        </w:tc>
        <w:tc>
          <w:tcPr>
            <w:tcW w:type="dxa" w:w="33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öffnet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Logs\Ausnahmen.txt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mit dem Standardprogramm</w:t>
            </w:r>
          </w:p>
        </w:tc>
        <w:tc>
          <w:tcPr>
            <w:tcW w:type="dxa" w:w="38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erster Handgriff bei einem wortlosen Absturz (Abschnitt 3.2)</w:t>
            </w:r>
          </w:p>
        </w:tc>
      </w:tr>
      <w:tr>
        <w:trPr>
          <w:cantSplit/>
          <w:tblHeader w:val="false"/>
        </w:trPr>
        <w:tc>
          <w:tcPr>
            <w:tcW w:type="dxa" w:w="2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Protokollordner öffnen</w:t>
            </w:r>
          </w:p>
        </w:tc>
        <w:tc>
          <w:tcPr>
            <w:tcW w:type="dxa" w:w="33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Explorer auf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Logs\</w:t>
            </w:r>
          </w:p>
        </w:tc>
        <w:tc>
          <w:tcPr>
            <w:tcW w:type="dxa" w:w="38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Ausnahmen, Migration, KI-Aktionen</w:t>
            </w:r>
          </w:p>
        </w:tc>
      </w:tr>
      <w:tr>
        <w:trPr>
          <w:cantSplit/>
          <w:tblHeader w:val="false"/>
        </w:trPr>
        <w:tc>
          <w:tcPr>
            <w:tcW w:type="dxa" w:w="2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Datenbankordner öffnen</w:t>
            </w:r>
          </w:p>
        </w:tc>
        <w:tc>
          <w:tcPr>
            <w:tcW w:type="dxa" w:w="33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Explorer auf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%ProgramData%\EPOS_PLAN</w:t>
            </w:r>
          </w:p>
        </w:tc>
        <w:tc>
          <w:tcPr>
            <w:tcW w:type="dxa" w:w="38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Datenbank,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DB-Backup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Vorlage</w:t>
            </w:r>
          </w:p>
        </w:tc>
      </w:tr>
      <w:tr>
        <w:trPr>
          <w:cantSplit/>
          <w:tblHeader w:val="false"/>
        </w:trPr>
        <w:tc>
          <w:tcPr>
            <w:tcW w:type="dxa" w:w="2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Diagnosedaten kopieren</w:t>
            </w:r>
          </w:p>
        </w:tc>
        <w:tc>
          <w:tcPr>
            <w:tcW w:type="dxa" w:w="33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Textblock aus Abschnitt 3.3 in die Zwischenablage</w:t>
            </w:r>
          </w:p>
        </w:tc>
        <w:tc>
          <w:tcPr>
            <w:tcW w:type="dxa" w:w="38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derselbe Block wie im Dialog „Über EPOS-Plan"</w:t>
            </w:r>
          </w:p>
        </w:tc>
      </w:tr>
      <w:tr>
        <w:trPr>
          <w:cantSplit/>
          <w:tblHeader w:val="false"/>
        </w:trPr>
        <w:tc>
          <w:tcPr>
            <w:tcW w:type="dxa" w:w="2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Entwicklerwerkzeuge der Oberfläche</w:t>
            </w:r>
          </w:p>
        </w:tc>
        <w:tc>
          <w:tcPr>
            <w:tcW w:type="dxa" w:w="33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WebView2-Entwicklerwerkzeuge</w:t>
            </w:r>
          </w:p>
        </w:tc>
        <w:tc>
          <w:tcPr>
            <w:tcW w:type="dxa" w:w="38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ersetzt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#if DEBUG</w:t>
            </w:r>
          </w:p>
        </w:tc>
      </w:tr>
      <w:tr>
        <w:trPr>
          <w:cantSplit/>
          <w:tblHeader w:val="false"/>
        </w:trPr>
        <w:tc>
          <w:tcPr>
            <w:tcW w:type="dxa" w:w="2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Auslieferungsstand wiederherstellen…</w:t>
            </w:r>
          </w:p>
        </w:tc>
        <w:tc>
          <w:tcPr>
            <w:tcW w:type="dxa" w:w="33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Reparaturzweig des Katalogabgleichs</w:t>
            </w:r>
          </w:p>
        </w:tc>
        <w:tc>
          <w:tcPr>
            <w:tcW w:type="dxa" w:w="38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aus </w:t>
            </w:r>
            <w:r>
              <w:rPr>
                <w:b w:val="false"/>
                <w:bCs w:val="false"/>
                <w:i/>
                <w:iCs/>
                <w:sz w:val="20"/>
                <w:szCs w:val="20"/>
              </w:rPr>
              <w:t xml:space="preserve">Daten &amp; Import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hierher verlegt</w:t>
            </w:r>
          </w:p>
        </w:tc>
      </w:tr>
      <w:tr>
        <w:trPr>
          <w:cantSplit/>
          <w:tblHeader w:val="false"/>
        </w:trPr>
        <w:tc>
          <w:tcPr>
            <w:tcW w:type="dxa" w:w="24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Entwicklermodus ausschalten</w:t>
            </w:r>
          </w:p>
        </w:tc>
        <w:tc>
          <w:tcPr>
            <w:tcW w:type="dxa" w:w="33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löscht die Einstellung</w:t>
            </w:r>
          </w:p>
        </w:tc>
        <w:tc>
          <w:tcPr>
            <w:tcW w:type="dxa" w:w="382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bei Startargument oder Umgebung benannte Absage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b w:val="false"/>
          <w:bCs w:val="false"/>
          <w:i w:val="false"/>
          <w:iCs w:val="false"/>
        </w:rPr>
        <w:t xml:space="preserve">2.3 Einen neuen Entwicklerbereich anlegen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  <w:i w:val="false"/>
          <w:iCs w:val="false"/>
        </w:rPr>
        <w:t xml:space="preserve">Schlüssel in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0"/>
          <w:szCs w:val="20"/>
        </w:rPr>
        <w:t xml:space="preserve">Entwicklerbereiche.Alle</w:t>
      </w:r>
      <w:r>
        <w:rPr>
          <w:b w:val="false"/>
          <w:bCs w:val="false"/>
          <w:i w:val="false"/>
          <w:iCs w:val="false"/>
        </w:rPr>
        <w:t xml:space="preserve"> eintragen, mit einem Satz, wozu der Bereich dient.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  <w:i w:val="false"/>
          <w:iCs w:val="false"/>
        </w:rPr>
        <w:t xml:space="preserve">Menüpunkt: Zeile in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0"/>
          <w:szCs w:val="20"/>
        </w:rPr>
        <w:t xml:space="preserve">Menuetabelle.cs</w:t>
      </w:r>
      <w:r>
        <w:rPr>
          <w:b w:val="false"/>
          <w:bCs w:val="false"/>
          <w:i w:val="false"/>
          <w:iCs w:val="false"/>
        </w:rPr>
        <w:t xml:space="preserve"> mit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0"/>
          <w:szCs w:val="20"/>
        </w:rPr>
        <w:t xml:space="preserve">stufe: Freigabestufe.Entwickler</w:t>
      </w:r>
      <w:r>
        <w:rPr>
          <w:b w:val="false"/>
          <w:bCs w:val="false"/>
          <w:i w:val="false"/>
          <w:iCs w:val="false"/>
        </w:rPr>
        <w:t xml:space="preserve">. Knopf oder Feld in einem Dialog: Kennzeichen in den Gaben der Hülle (Muster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0"/>
          <w:szCs w:val="20"/>
        </w:rPr>
        <w:t xml:space="preserve">GebaeudeImportGaben.ProjektdateiFreigegeben</w:t>
      </w:r>
      <w:r>
        <w:rPr>
          <w:b w:val="false"/>
          <w:bCs w:val="false"/>
          <w:i w:val="false"/>
          <w:iCs w:val="false"/>
        </w:rPr>
        <w:t xml:space="preserve">, gesetzt aus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0"/>
          <w:szCs w:val="20"/>
        </w:rPr>
        <w:t xml:space="preserve">Entwicklermodus.Aktiv</w:t>
      </w:r>
      <w:r>
        <w:rPr>
          <w:b w:val="false"/>
          <w:bCs w:val="false"/>
          <w:i w:val="false"/>
          <w:iCs w:val="false"/>
        </w:rPr>
        <w:t xml:space="preserve">), im Razor nur dann rendern, Element mit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0"/>
          <w:szCs w:val="20"/>
        </w:rPr>
        <w:t xml:space="preserve">data-stufe="entwickler"</w:t>
      </w:r>
      <w:r>
        <w:rPr>
          <w:b w:val="false"/>
          <w:bCs w:val="false"/>
          <w:i w:val="false"/>
          <w:iCs w:val="false"/>
        </w:rPr>
        <w:t xml:space="preserve"> kennzeichnen. Keine Razor-Komponente fragt den Kern selbst (Regel S‑2).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  <w:i w:val="false"/>
          <w:iCs w:val="false"/>
        </w:rPr>
        <w:t xml:space="preserve">Hat der Bereich eine Feldkarte oder Aktion des Hilfe-Assistenten: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0"/>
          <w:szCs w:val="20"/>
        </w:rPr>
        <w:t xml:space="preserve">nurEntwickler</w:t>
      </w:r>
      <w:r>
        <w:rPr>
          <w:b w:val="false"/>
          <w:bCs w:val="false"/>
          <w:i w:val="false"/>
          <w:iCs w:val="false"/>
        </w:rPr>
        <w:t xml:space="preserve"> setzen.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  <w:i w:val="false"/>
          <w:iCs w:val="false"/>
        </w:rPr>
        <w:t xml:space="preserve">iOS: Ziel in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0"/>
          <w:szCs w:val="20"/>
        </w:rPr>
        <w:t xml:space="preserve">AppWurzel.FuehrtZiel</w:t>
      </w:r>
      <w:r>
        <w:rPr>
          <w:b w:val="false"/>
          <w:bCs w:val="false"/>
          <w:i w:val="false"/>
          <w:iCs w:val="false"/>
        </w:rPr>
        <w:t xml:space="preserve"> nur im Modus; Dateiendungen in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0"/>
          <w:szCs w:val="20"/>
        </w:rPr>
        <w:t xml:space="preserve">Dateifilter</w:t>
      </w:r>
      <w:r>
        <w:rPr>
          <w:b w:val="false"/>
          <w:bCs w:val="false"/>
          <w:i w:val="false"/>
          <w:iCs w:val="false"/>
        </w:rPr>
        <w:t xml:space="preserve"> je Stufe.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 w:val="false"/>
          <w:bCs w:val="false"/>
          <w:i w:val="false"/>
          <w:iCs w:val="false"/>
        </w:rPr>
        <w:t xml:space="preserve">Wache laufen lassen (Abschnitt 5). Kein Wiki-Eintrag, kein Logbuch.</w:t>
      </w:r>
    </w:p>
    <w:p>
      <w:pPr>
        <w:pStyle w:val="Heading1"/>
      </w:pPr>
      <w:r>
        <w:rPr>
          <w:b w:val="false"/>
          <w:bCs w:val="false"/>
          <w:i w:val="false"/>
          <w:iCs w:val="false"/>
        </w:rPr>
        <w:t xml:space="preserve">3 Protokolle und Diagnose</w:t>
      </w:r>
    </w:p>
    <w:p>
      <w:pPr>
        <w:pStyle w:val="Heading2"/>
      </w:pPr>
      <w:r>
        <w:rPr>
          <w:b w:val="false"/>
          <w:bCs w:val="false"/>
          <w:i w:val="false"/>
          <w:iCs w:val="false"/>
        </w:rPr>
        <w:t xml:space="preserve">3.1 Die Dateien [heute]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37"/>
        <w:gridCol w:w="2567"/>
        <w:gridCol w:w="4834"/>
      </w:tblGrid>
      <w:tr>
        <w:trPr>
          <w:cantSplit/>
          <w:tblHeader/>
        </w:trPr>
        <w:tc>
          <w:tcPr>
            <w:tcW w:type="dxa" w:w="2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Datei oder Tabelle</w:t>
            </w:r>
          </w:p>
        </w:tc>
        <w:tc>
          <w:tcPr>
            <w:tcW w:type="dxa" w:w="25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Ort</w:t>
            </w:r>
          </w:p>
        </w:tc>
        <w:tc>
          <w:tcPr>
            <w:tcW w:type="dxa" w:w="48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Verhalten</w:t>
            </w:r>
          </w:p>
        </w:tc>
      </w:tr>
      <w:tr>
        <w:trPr>
          <w:cantSplit/>
          <w:tblHeader w:val="false"/>
        </w:trPr>
        <w:tc>
          <w:tcPr>
            <w:tcW w:type="dxa" w:w="2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Ausnahmen.txt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Ausnahmen.alt.txt</w:t>
            </w:r>
          </w:p>
        </w:tc>
        <w:tc>
          <w:tcPr>
            <w:tcW w:type="dxa" w:w="25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%ProgramData%\EPOS_PLAN\Logs\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(Rückfall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%TEMP%\EPOS_PLAN\Logs\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</w:t>
            </w:r>
          </w:p>
        </w:tc>
        <w:tc>
          <w:tcPr>
            <w:tcW w:type="dxa" w:w="48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jede ausgelöste .NET-Ausnahme sofort mit Aufrufstapel (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AppDomain.FirstChanceException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), dazu unbehandelte Ausnahmen und unbeobachtete Aufgaben; höchstens 20 Einträge je Sekunde, Wechsel bei 200 KB, nie mehr als zwei Dateien; Kopfzeile je Lauf mit Version und Prozess-Id. Nur Windows (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Program.Main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).</w:t>
            </w:r>
          </w:p>
        </w:tc>
      </w:tr>
      <w:tr>
        <w:trPr>
          <w:cantSplit/>
          <w:tblHeader w:val="false"/>
        </w:trPr>
        <w:tc>
          <w:tcPr>
            <w:tcW w:type="dxa" w:w="2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migration_protokoll.txt</w:t>
            </w:r>
          </w:p>
        </w:tc>
        <w:tc>
          <w:tcPr>
            <w:tcW w:type="dxa" w:w="25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neben der Datenbank</w:t>
            </w:r>
          </w:p>
        </w:tc>
        <w:tc>
          <w:tcPr>
            <w:tcW w:type="dxa" w:w="48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je Start überschrieben; bei Fehlschlag nennt die Startmeldung den Pfad</w:t>
            </w:r>
          </w:p>
        </w:tc>
      </w:tr>
      <w:tr>
        <w:trPr>
          <w:cantSplit/>
          <w:tblHeader w:val="false"/>
        </w:trPr>
        <w:tc>
          <w:tcPr>
            <w:tcW w:type="dxa" w:w="2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ki_aktionen.txt</w:t>
            </w:r>
          </w:p>
        </w:tc>
        <w:tc>
          <w:tcPr>
            <w:tcW w:type="dxa" w:w="25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neben der Datenbank, ab Stufe 3 in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Logs\</w:t>
            </w:r>
          </w:p>
        </w:tc>
        <w:tc>
          <w:tcPr>
            <w:tcW w:type="dxa" w:w="48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Aktionen des Hilfe-Assistenten, wächst ohne Rotation</w:t>
            </w:r>
          </w:p>
        </w:tc>
      </w:tr>
      <w:tr>
        <w:trPr>
          <w:cantSplit/>
          <w:tblHeader w:val="false"/>
        </w:trPr>
        <w:tc>
          <w:tcPr>
            <w:tcW w:type="dxa" w:w="2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Tab_Katalogabgleich</w:t>
            </w:r>
          </w:p>
        </w:tc>
        <w:tc>
          <w:tcPr>
            <w:tcW w:type="dxa" w:w="25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in der Datenbank</w:t>
            </w:r>
          </w:p>
        </w:tc>
        <w:tc>
          <w:tcPr>
            <w:tcW w:type="dxa" w:w="48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eine Zeile je Abgleichaktion</w:t>
            </w:r>
          </w:p>
        </w:tc>
      </w:tr>
      <w:tr>
        <w:trPr>
          <w:cantSplit/>
          <w:tblHeader w:val="false"/>
        </w:trPr>
        <w:tc>
          <w:tcPr>
            <w:tcW w:type="dxa" w:w="223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&lt;paket&gt;.importbericht.txt</w:t>
            </w:r>
          </w:p>
        </w:tc>
        <w:tc>
          <w:tcPr>
            <w:tcW w:type="dxa" w:w="256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neben dem Projektpaket</w:t>
            </w:r>
          </w:p>
        </w:tc>
        <w:tc>
          <w:tcPr>
            <w:tcW w:type="dxa" w:w="48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nur beim Projektimport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b w:val="false"/>
          <w:bCs w:val="false"/>
          <w:i w:val="false"/>
          <w:iCs w:val="false"/>
        </w:rPr>
        <w:t xml:space="preserve">3.2 Absturz ohne Meldung [heute]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Ereignisanzeige mit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0"/>
          <w:szCs w:val="20"/>
        </w:rPr>
        <w:t xml:space="preserve">KERNELBASE.dll</w:t>
      </w:r>
      <w:r>
        <w:rPr>
          <w:b w:val="false"/>
          <w:bCs w:val="false"/>
          <w:i w:val="false"/>
          <w:iCs w:val="false"/>
        </w:rPr>
        <w:t xml:space="preserve"> und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0"/>
          <w:szCs w:val="20"/>
        </w:rPr>
        <w:t xml:space="preserve">0xc000041d</w:t>
      </w:r>
      <w:r>
        <w:rPr>
          <w:b w:val="false"/>
          <w:bCs w:val="false"/>
          <w:i w:val="false"/>
          <w:iCs w:val="false"/>
        </w:rPr>
        <w:t xml:space="preserve">: Eine Ausnahme ist aus einem Rückruf der WebView2 herausgelaufen. Die Ursache steht in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0"/>
          <w:szCs w:val="20"/>
        </w:rPr>
        <w:t xml:space="preserve">Logs\Ausnahmen.txt</w:t>
      </w:r>
      <w:r>
        <w:rPr>
          <w:b w:val="false"/>
          <w:bCs w:val="false"/>
          <w:i w:val="false"/>
          <w:iCs w:val="false"/>
        </w:rPr>
        <w:t xml:space="preserve"> — der letzte Eintrag vor dem Kopf des nächsten Laufs. Diese Datei anfordern, nicht den Weg raten (Fallstricke in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0"/>
          <w:szCs w:val="20"/>
        </w:rPr>
        <w:t xml:space="preserve">WindowsFormsApplication1/CLAUDE.md</w:t>
      </w:r>
      <w:r>
        <w:rPr>
          <w:b w:val="false"/>
          <w:bCs w:val="false"/>
          <w:i w:val="false"/>
          <w:iCs w:val="false"/>
        </w:rPr>
        <w:t xml:space="preserve">).</w:t>
      </w:r>
    </w:p>
    <w:p>
      <w:pPr>
        <w:pStyle w:val="Heading2"/>
      </w:pPr>
      <w:r>
        <w:rPr>
          <w:b w:val="false"/>
          <w:bCs w:val="false"/>
          <w:i w:val="false"/>
          <w:iCs w:val="false"/>
        </w:rPr>
        <w:t xml:space="preserve">3.3 Diagnosedaten und Supportpaket [Stufe 3]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Der Dialog „Über EPOS-Plan" (</w:t>
      </w:r>
      <w:r>
        <w:rPr>
          <w:b w:val="false"/>
          <w:bCs w:val="false"/>
          <w:i/>
          <w:iCs/>
        </w:rPr>
        <w:t xml:space="preserve">Hilfe → Version</w:t>
      </w:r>
      <w:r>
        <w:rPr>
          <w:b w:val="false"/>
          <w:bCs w:val="false"/>
          <w:i w:val="false"/>
          <w:iCs w:val="false"/>
        </w:rPr>
        <w:t xml:space="preserve">) zeigt den Diagnoseblock aus dem Kern-Baustein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0"/>
          <w:szCs w:val="20"/>
        </w:rPr>
        <w:t xml:space="preserve">Diagnosedaten</w:t>
      </w:r>
      <w:r>
        <w:rPr>
          <w:b w:val="false"/>
          <w:bCs w:val="false"/>
          <w:i w:val="false"/>
          <w:iCs w:val="false"/>
        </w:rPr>
        <w:t xml:space="preserve">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0"/>
          <w:szCs w:val="20"/>
        </w:rPr>
        <w:t xml:space="preserve">EPOS.Kern/Allgemein/Diagnose/</w:t>
      </w:r>
      <w:r>
        <w:rPr>
          <w:b w:val="false"/>
          <w:bCs w:val="false"/>
          <w:i w:val="false"/>
          <w:iCs w:val="false"/>
        </w:rPr>
        <w:t xml:space="preserve">): Programmversion und Baudatum, Plattform und Betriebssystemfassung, Sprache, Datenbankpfad, Schemastand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0"/>
          <w:szCs w:val="20"/>
        </w:rPr>
        <w:t xml:space="preserve">Tab_Applikation.SchemaVersion</w:t>
      </w:r>
      <w:r>
        <w:rPr>
          <w:b w:val="false"/>
          <w:bCs w:val="false"/>
          <w:i w:val="false"/>
          <w:iCs w:val="false"/>
        </w:rPr>
        <w:t xml:space="preserve"> gegen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0"/>
          <w:szCs w:val="20"/>
        </w:rPr>
        <w:t xml:space="preserve">SchemaStand.Zielversion</w:t>
      </w:r>
      <w:r>
        <w:rPr>
          <w:b w:val="false"/>
          <w:bCs w:val="false"/>
          <w:i w:val="false"/>
          <w:iCs w:val="false"/>
        </w:rPr>
        <w:t xml:space="preserve">), Katalogfassung, Lizenztyp, Lizenznummer, Firma, Status, gültig bis, Gerätekennung-Kurzform (erste acht Zeichen des Abdrucks), Protokollordner, Entwicklermodus mit Quelle. Knöpfe: „Diagnosedaten kopieren", „Protokollordner öffnen", „Supportpaket speichern…", „Fernwartung…".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Das Supportpaket ist eine ZIP-Datei mit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0"/>
          <w:szCs w:val="20"/>
        </w:rPr>
        <w:t xml:space="preserve">Diagnosedaten.txt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0"/>
          <w:szCs w:val="20"/>
        </w:rPr>
        <w:t xml:space="preserve">Ausnahmen.txt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0"/>
          <w:szCs w:val="20"/>
        </w:rPr>
        <w:t xml:space="preserve">Ausnahmen.alt.txt</w:t>
      </w:r>
      <w:r>
        <w:rPr>
          <w:b w:val="false"/>
          <w:bCs w:val="false"/>
          <w:i w:val="false"/>
          <w:iCs w:val="false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0"/>
          <w:szCs w:val="20"/>
        </w:rPr>
        <w:t xml:space="preserve">migration_protokoll.txt</w:t>
      </w:r>
      <w:r>
        <w:rPr>
          <w:b w:val="false"/>
          <w:bCs w:val="false"/>
          <w:i w:val="false"/>
          <w:iCs w:val="false"/>
        </w:rPr>
        <w:t xml:space="preserve"> und dem Auszug aus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0"/>
          <w:szCs w:val="20"/>
        </w:rPr>
        <w:t xml:space="preserve">Tab_Katalogabgleich</w:t>
      </w:r>
      <w:r>
        <w:rPr>
          <w:b w:val="false"/>
          <w:bCs w:val="false"/>
          <w:i w:val="false"/>
          <w:iCs w:val="false"/>
        </w:rPr>
        <w:t xml:space="preserve"> — ohne Projektdaten;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0"/>
          <w:szCs w:val="20"/>
        </w:rPr>
        <w:t xml:space="preserve">ki_aktionen.txt</w:t>
      </w:r>
      <w:r>
        <w:rPr>
          <w:b w:val="false"/>
          <w:bCs w:val="false"/>
          <w:i w:val="false"/>
          <w:iCs w:val="false"/>
        </w:rPr>
        <w:t xml:space="preserve"> nur mit eigenem Haken, weil es Eingaben des Anwenders enthalten kann. Der Anwender hängt die Datei an seine E-Mail. Das ist der Supportweg ohne Fernwartung und steht auch der Testversion offen.</w:t>
      </w:r>
    </w:p>
    <w:p>
      <w:pPr>
        <w:pStyle w:val="Heading2"/>
      </w:pPr>
      <w:r>
        <w:rPr>
          <w:b w:val="false"/>
          <w:bCs w:val="false"/>
          <w:i w:val="false"/>
          <w:iCs w:val="false"/>
        </w:rPr>
        <w:t xml:space="preserve">3.4 Wo der Support sonst nachsieht [heute]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76"/>
        <w:gridCol w:w="6162"/>
      </w:tblGrid>
      <w:tr>
        <w:trPr>
          <w:cantSplit/>
          <w:tblHeader/>
        </w:trPr>
        <w:tc>
          <w:tcPr>
            <w:tcW w:type="dxa" w:w="3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Ort</w:t>
            </w:r>
          </w:p>
        </w:tc>
        <w:tc>
          <w:tcPr>
            <w:tcW w:type="dxa" w:w="61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Inhalt</w:t>
            </w:r>
          </w:p>
        </w:tc>
      </w:tr>
      <w:tr>
        <w:trPr>
          <w:cantSplit/>
          <w:tblHeader w:val="false"/>
        </w:trPr>
        <w:tc>
          <w:tcPr>
            <w:tcW w:type="dxa" w:w="3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HKLM\SOFTWARE\INEKON\EPOS-Plan</w:t>
            </w:r>
          </w:p>
        </w:tc>
        <w:tc>
          <w:tcPr>
            <w:tcW w:type="dxa" w:w="61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InstallDir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Version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(vom Setup)</w:t>
            </w:r>
          </w:p>
        </w:tc>
      </w:tr>
      <w:tr>
        <w:trPr>
          <w:cantSplit/>
          <w:tblHeader w:val="false"/>
        </w:trPr>
        <w:tc>
          <w:tcPr>
            <w:tcW w:type="dxa" w:w="3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HKCU\Software\wp-plan</w:t>
            </w:r>
          </w:p>
        </w:tc>
        <w:tc>
          <w:tcPr>
            <w:tcW w:type="dxa" w:w="61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Sprache, KI-Werte, Einwilligung, Lizenzanker, ab Stufe 1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Entwicklermodus</w:t>
            </w:r>
          </w:p>
        </w:tc>
      </w:tr>
      <w:tr>
        <w:trPr>
          <w:cantSplit/>
          <w:tblHeader w:val="false"/>
        </w:trPr>
        <w:tc>
          <w:tcPr>
            <w:tcW w:type="dxa" w:w="3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HKLM\SOFTWARE\wp-plan</w:t>
            </w:r>
          </w:p>
        </w:tc>
        <w:tc>
          <w:tcPr>
            <w:tcW w:type="dxa" w:w="61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maschinenweite Sperren: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KiDeaktiviert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ab Stufe 1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EntwicklermodusGesperrt</w:t>
            </w:r>
          </w:p>
        </w:tc>
      </w:tr>
      <w:tr>
        <w:trPr>
          <w:cantSplit/>
          <w:tblHeader w:val="false"/>
        </w:trPr>
        <w:tc>
          <w:tcPr>
            <w:tcW w:type="dxa" w:w="3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user.config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der Anwendung</w:t>
            </w:r>
          </w:p>
        </w:tc>
        <w:tc>
          <w:tcPr>
            <w:tcW w:type="dxa" w:w="61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DBPath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DBName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Web-Adressen, Pfade (Einstellungsdialog)</w:t>
            </w:r>
          </w:p>
        </w:tc>
      </w:tr>
      <w:tr>
        <w:trPr>
          <w:cantSplit/>
          <w:tblHeader w:val="false"/>
        </w:trPr>
        <w:tc>
          <w:tcPr>
            <w:tcW w:type="dxa" w:w="3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%APPDATA%\wp-plan\</w:t>
            </w:r>
          </w:p>
        </w:tc>
        <w:tc>
          <w:tcPr>
            <w:tcW w:type="dxa" w:w="61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lizenz.dat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lizenz-zeit.dat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ki-schluessel.dat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(DPAPI)</w:t>
            </w:r>
          </w:p>
        </w:tc>
      </w:tr>
      <w:tr>
        <w:trPr>
          <w:cantSplit/>
          <w:tblHeader w:val="false"/>
        </w:trPr>
        <w:tc>
          <w:tcPr>
            <w:tcW w:type="dxa" w:w="3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%ProgramData%\EPOS_PLAN\</w:t>
            </w:r>
          </w:p>
        </w:tc>
        <w:tc>
          <w:tcPr>
            <w:tcW w:type="dxa" w:w="61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Kenndaten.sqlite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DB-Backup\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Logs\</w:t>
            </w:r>
          </w:p>
        </w:tc>
      </w:tr>
      <w:tr>
        <w:trPr>
          <w:cantSplit/>
          <w:tblHeader w:val="false"/>
        </w:trPr>
        <w:tc>
          <w:tcPr>
            <w:tcW w:type="dxa" w:w="347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%LOCALAPPDATA%\WP-Plan\WebView2</w:t>
            </w:r>
          </w:p>
        </w:tc>
        <w:tc>
          <w:tcPr>
            <w:tcW w:type="dxa" w:w="616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Daten der WebView2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Nachstellen eines Falls ohne Fernwartung: Projektpaket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0"/>
          <w:szCs w:val="20"/>
        </w:rPr>
        <w:t xml:space="preserve">.wpx</w:t>
      </w:r>
      <w:r>
        <w:rPr>
          <w:b w:val="false"/>
          <w:bCs w:val="false"/>
          <w:i w:val="false"/>
          <w:iCs w:val="false"/>
        </w:rPr>
        <w:t xml:space="preserve">) vom Kunden erbitten, bei INEKON importieren, mit dem Referenzlauf rechnen.</w:t>
      </w:r>
    </w:p>
    <w:p>
      <w:pPr>
        <w:pStyle w:val="Heading1"/>
      </w:pPr>
      <w:r>
        <w:rPr>
          <w:b w:val="false"/>
          <w:bCs w:val="false"/>
          <w:i w:val="false"/>
          <w:iCs w:val="false"/>
        </w:rPr>
        <w:t xml:space="preserve">4 Fernwartung aus Supportsicht [Stufe 2]</w:t>
      </w:r>
    </w:p>
    <w:p>
      <w:pPr>
        <w:pStyle w:val="Heading2"/>
      </w:pPr>
      <w:r>
        <w:rPr>
          <w:b w:val="false"/>
          <w:bCs w:val="false"/>
          <w:i w:val="false"/>
          <w:iCs w:val="false"/>
        </w:rPr>
        <w:t xml:space="preserve">4.1 Das Werkzeug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RustDesk mit einem Vermittlungsserver, den INEKON selbst betreibt (Entscheid AS-Q7). Platzhalter in diesem Handbuch: Server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0"/>
          <w:szCs w:val="20"/>
        </w:rPr>
        <w:t xml:space="preserve">fernwartung.epos-plan.de</w:t>
      </w:r>
      <w:r>
        <w:rPr>
          <w:b w:val="false"/>
          <w:bCs w:val="false"/>
          <w:i w:val="false"/>
          <w:iCs w:val="false"/>
        </w:rPr>
        <w:t xml:space="preserve">, Fernwartungsseite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0"/>
          <w:szCs w:val="20"/>
        </w:rPr>
        <w:t xml:space="preserve">https://epos-plan.de/support/fernwartung</w:t>
      </w:r>
      <w:r>
        <w:rPr>
          <w:b w:val="false"/>
          <w:bCs w:val="false"/>
          <w:i w:val="false"/>
          <w:iCs w:val="false"/>
        </w:rPr>
        <w:t xml:space="preserve">, Client-Datei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0"/>
          <w:szCs w:val="20"/>
        </w:rPr>
        <w:t xml:space="preserve">EPOS-Plan-Fernwartung.exe</w:t>
      </w:r>
      <w:r>
        <w:rPr>
          <w:b w:val="false"/>
          <w:bCs w:val="false"/>
          <w:i w:val="false"/>
          <w:iCs w:val="false"/>
        </w:rPr>
        <w:t xml:space="preserve">. Die echten Werte, den Serverschlüssel und die Zugangsdaten der Web-Konsole verwahrt INEKON außerhalb des Repositoriums; sie stehen nie in diesem Handbuch und nie im Quelltext.</w:t>
      </w:r>
    </w:p>
    <w:p>
      <w:pPr>
        <w:pStyle w:val="Heading2"/>
      </w:pPr>
      <w:r>
        <w:rPr>
          <w:b w:val="false"/>
          <w:bCs w:val="false"/>
          <w:i w:val="false"/>
          <w:iCs w:val="false"/>
        </w:rPr>
        <w:t xml:space="preserve">4.2 Was der Anwender tut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 w:val="false"/>
          <w:bCs w:val="false"/>
          <w:i/>
          <w:iCs/>
        </w:rPr>
        <w:t xml:space="preserve">Hilfe → Fernwartung…</w:t>
      </w:r>
      <w:r>
        <w:rPr>
          <w:b w:val="false"/>
          <w:bCs w:val="false"/>
          <w:i w:val="false"/>
          <w:iCs w:val="false"/>
        </w:rPr>
        <w:t xml:space="preserve"> öffnet den Dialog: Kontakt, die Angaben für den Support (Abschnitt 3.3), der Erklärtext und der Knopf „Fernwartungsseite öffnen". Ohne bezahlte Lizenz ist der Knopf gesperrt, der Grund steht dabei (Abschnitt 4.4).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 w:val="false"/>
          <w:bCs w:val="false"/>
          <w:i w:val="false"/>
          <w:iCs w:val="false"/>
        </w:rPr>
        <w:t xml:space="preserve">Auf der Fernwartungsseite lädt er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0"/>
          <w:szCs w:val="20"/>
        </w:rPr>
        <w:t xml:space="preserve">EPOS-Plan-Fernwartung.exe</w:t>
      </w:r>
      <w:r>
        <w:rPr>
          <w:b w:val="false"/>
          <w:bCs w:val="false"/>
          <w:i w:val="false"/>
          <w:iCs w:val="false"/>
        </w:rPr>
        <w:t xml:space="preserve"> und startet sie; keine Installation, keine Administratorrechte. Bis INEKON ein Codesignaturzertifikat hat, erscheint der SmartScreen-Hinweis „Unbekannter Herausgeber"; die Seite erklärt „Weitere Informationen → Trotzdem ausführen".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 w:val="false"/>
          <w:bCs w:val="false"/>
          <w:i w:val="false"/>
          <w:iCs w:val="false"/>
        </w:rPr>
        <w:t xml:space="preserve">Das Programm zeigt eine Kennung und ein Einmalkennwort. Der Anwender nennt beides dem Support am Telefon und nimmt die eingehende Verbindung im Programm an.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 w:val="false"/>
          <w:bCs w:val="false"/>
          <w:i w:val="false"/>
          <w:iCs w:val="false"/>
        </w:rPr>
        <w:t xml:space="preserve">Er beendet die Sitzung im Programm oder schließt es. Es bleibt nichts installiert.</w:t>
      </w:r>
    </w:p>
    <w:p>
      <w:pPr>
        <w:pStyle w:val="Heading2"/>
      </w:pPr>
      <w:r>
        <w:rPr>
          <w:b w:val="false"/>
          <w:bCs w:val="false"/>
          <w:i w:val="false"/>
          <w:iCs w:val="false"/>
        </w:rPr>
        <w:t xml:space="preserve">4.3 Was der Support tut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 w:val="false"/>
          <w:bCs w:val="false"/>
          <w:i w:val="false"/>
          <w:iCs w:val="false"/>
        </w:rPr>
        <w:t xml:space="preserve">RustDesk in der Vollfassung am Support-Arbeitsplatz, auf INEKONs Server eingestellt; Kennung des Kunden eingeben, Einmalkennwort eintragen, auf die Annahme warten.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 w:val="false"/>
          <w:bCs w:val="false"/>
          <w:i w:val="false"/>
          <w:iCs w:val="false"/>
        </w:rPr>
        <w:t xml:space="preserve">In der Sitzung bei Bedarf den Entwicklermodus einschalten: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0"/>
          <w:szCs w:val="20"/>
        </w:rPr>
        <w:t xml:space="preserve">--entwickler</w:t>
      </w:r>
      <w:r>
        <w:rPr>
          <w:b w:val="false"/>
          <w:bCs w:val="false"/>
          <w:i w:val="false"/>
          <w:iCs w:val="false"/>
        </w:rPr>
        <w:t xml:space="preserve"> über eine Verknüpfung oder die Tastenfolge aus Abschnitt 1.1. </w:t>
      </w:r>
      <w:r>
        <w:rPr>
          <w:b/>
          <w:bCs/>
          <w:i w:val="false"/>
          <w:iCs w:val="false"/>
        </w:rPr>
        <w:t xml:space="preserve">Vor dem Ende der Sitzung wieder ausschalten.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 w:val="false"/>
          <w:bCs w:val="false"/>
          <w:i w:val="false"/>
          <w:iCs w:val="false"/>
        </w:rPr>
        <w:t xml:space="preserve">Soll ein Update eingespielt werden, braucht das Setup Administratorrechte. Die Windows-Abfrage sieht der Support nur, wenn der Fernwartungs-Client mit Administratorrechten läuft; sonst muss der Anwender sie selbst bestätigen. Vorher mit dem Anwender absprechen.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 w:val="false"/>
          <w:bCs w:val="false"/>
          <w:i w:val="false"/>
          <w:iCs w:val="false"/>
        </w:rPr>
        <w:t xml:space="preserve">Nach der Sitzung: kein Eintrag in EPOS-Plan; das Sitzungsprotokoll der Web-Konsole (wer wann mit wem) ist die einzige Aufzeichnung.</w:t>
      </w:r>
    </w:p>
    <w:p>
      <w:pPr>
        <w:pStyle w:val="Heading2"/>
      </w:pPr>
      <w:r>
        <w:rPr>
          <w:b w:val="false"/>
          <w:bCs w:val="false"/>
          <w:i w:val="false"/>
          <w:iCs w:val="false"/>
        </w:rPr>
        <w:t xml:space="preserve">4.4 Die Lizenzbedingung (AS-Q8, Lesart b)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Der Knopf ist frei, wenn ein Lizenz-Token vom Typ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0"/>
          <w:szCs w:val="20"/>
        </w:rPr>
        <w:t xml:space="preserve">person</w:t>
      </w:r>
      <w:r>
        <w:rPr>
          <w:b w:val="false"/>
          <w:bCs w:val="false"/>
          <w:i w:val="false"/>
          <w:iCs w:val="false"/>
        </w:rPr>
        <w:t xml:space="preserve"> oder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0"/>
          <w:szCs w:val="20"/>
        </w:rPr>
        <w:t xml:space="preserve">firma</w:t>
      </w:r>
      <w:r>
        <w:rPr>
          <w:b w:val="false"/>
          <w:bCs w:val="false"/>
          <w:i w:val="false"/>
          <w:iCs w:val="false"/>
        </w:rPr>
        <w:t xml:space="preserve"> vorhanden ist — gleich ob gültig, in Kulanz oder abgelaufen (Lesemodus). Gesperrt bleibt er in der Testversion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0"/>
          <w:szCs w:val="20"/>
        </w:rPr>
        <w:t xml:space="preserve">demo</w:t>
      </w:r>
      <w:r>
        <w:rPr>
          <w:b w:val="false"/>
          <w:bCs w:val="false"/>
          <w:i w:val="false"/>
          <w:iCs w:val="false"/>
        </w:rPr>
        <w:t xml:space="preserve">), ohne Aktivierung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0"/>
          <w:szCs w:val="20"/>
        </w:rPr>
        <w:t xml:space="preserve">NichtAktiviert</w:t>
      </w:r>
      <w:r>
        <w:rPr>
          <w:b w:val="false"/>
          <w:bCs w:val="false"/>
          <w:i w:val="false"/>
          <w:iCs w:val="false"/>
        </w:rPr>
        <w:t xml:space="preserve">) und bei manipulierter Uhr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0"/>
          <w:szCs w:val="20"/>
        </w:rPr>
        <w:t xml:space="preserve">UhrManipuliert</w:t>
      </w:r>
      <w:r>
        <w:rPr>
          <w:b w:val="false"/>
          <w:bCs w:val="false"/>
          <w:i w:val="false"/>
          <w:iCs w:val="false"/>
        </w:rPr>
        <w:t xml:space="preserve">). Für diese Fälle gilt Telefon und E-Mail mit Diagnosedaten; eine Testversion bekommt keine Fernwartung. Die Frage stellt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0"/>
          <w:szCs w:val="20"/>
        </w:rPr>
        <w:t xml:space="preserve">LizenzCtrl.FernwartungErlaubt(LizenzLage)</w:t>
      </w:r>
      <w:r>
        <w:rPr>
          <w:b w:val="false"/>
          <w:bCs w:val="false"/>
          <w:i w:val="false"/>
          <w:iCs w:val="false"/>
        </w:rPr>
        <w:t xml:space="preserve">; ein Supportvertrag im Token (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0"/>
          <w:szCs w:val="20"/>
        </w:rPr>
        <w:t xml:space="preserve">support_bis</w:t>
      </w:r>
      <w:r>
        <w:rPr>
          <w:b w:val="false"/>
          <w:bCs w:val="false"/>
          <w:i w:val="false"/>
          <w:iCs w:val="false"/>
        </w:rPr>
        <w:t xml:space="preserve">) ist Stufe 4 und ändert die Regel erst dann.</w:t>
      </w:r>
    </w:p>
    <w:p>
      <w:pPr>
        <w:pStyle w:val="Heading2"/>
      </w:pPr>
      <w:r>
        <w:rPr>
          <w:b w:val="false"/>
          <w:bCs w:val="false"/>
          <w:i w:val="false"/>
          <w:iCs w:val="false"/>
        </w:rPr>
        <w:t xml:space="preserve">4.5 iPad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Zurückgestellt (Anwender 11.10.2026: „wird später bearbeitet"). Stufe 2 baut die Fernwartung für Windows; auf dem iPad gibt es weder Menüpunkt noch Dialog, bis der iPad-Weg entschieden ist. Befund für dann: Ein iPad lässt sich mit RustDesk weder fernsteuern noch ansehen. Der Supportweg vom iPad ist bis dahin Telefon und E-Mail.</w:t>
      </w:r>
    </w:p>
    <w:p>
      <w:pPr>
        <w:pStyle w:val="Heading2"/>
      </w:pPr>
      <w:r>
        <w:rPr>
          <w:b w:val="false"/>
          <w:bCs w:val="false"/>
          <w:i w:val="false"/>
          <w:iCs w:val="false"/>
        </w:rPr>
        <w:t xml:space="preserve">4.6 Betrieb bei INEKON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4"/>
        <w:gridCol w:w="8214"/>
      </w:tblGrid>
      <w:tr>
        <w:trPr>
          <w:cantSplit/>
          <w:tblHeader/>
        </w:trPr>
        <w:tc>
          <w:tcPr>
            <w:tcW w:type="dxa" w:w="14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Aufgabe</w:t>
            </w:r>
          </w:p>
        </w:tc>
        <w:tc>
          <w:tcPr>
            <w:tcW w:type="dxa" w:w="82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Wie</w:t>
            </w:r>
          </w:p>
        </w:tc>
      </w:tr>
      <w:tr>
        <w:trPr>
          <w:cantSplit/>
          <w:tblHeader w:val="false"/>
        </w:trPr>
        <w:tc>
          <w:tcPr>
            <w:tcW w:type="dxa" w:w="14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Server prüfen</w:t>
            </w:r>
          </w:p>
        </w:tc>
        <w:tc>
          <w:tcPr>
            <w:tcW w:type="dxa" w:w="82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hbbs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und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hbbr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laufen (Docker), Ports 21115 bis 21119 TCP und 21116 UDP erreichbar; nach einem Serverupdate eine Probesitzung zwischen zwei INEKON-Rechnern</w:t>
            </w:r>
          </w:p>
        </w:tc>
      </w:tr>
      <w:tr>
        <w:trPr>
          <w:cantSplit/>
          <w:tblHeader w:val="false"/>
        </w:trPr>
        <w:tc>
          <w:tcPr>
            <w:tcW w:type="dxa" w:w="14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Clientfassung tauschen</w:t>
            </w:r>
          </w:p>
        </w:tc>
        <w:tc>
          <w:tcPr>
            <w:tcW w:type="dxa" w:w="82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neuen Client im Generator der Web-Konsole bauen, mit INEKONs Zertifikat signieren, Datei auf epos-plan.de ersetzen, Fernwartungsseite prüfen; der alte Client auf Kundenrechnern ist eine Einzeldatei und wird beim nächsten Fall neu geladen</w:t>
            </w:r>
          </w:p>
        </w:tc>
      </w:tr>
      <w:tr>
        <w:trPr>
          <w:cantSplit/>
          <w:tblHeader w:val="false"/>
        </w:trPr>
        <w:tc>
          <w:tcPr>
            <w:tcW w:type="dxa" w:w="14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Schlüssel oder Servername ändern</w:t>
            </w:r>
          </w:p>
        </w:tc>
        <w:tc>
          <w:tcPr>
            <w:tcW w:type="dxa" w:w="82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neuer Client nötig (Server und Schlüssel sind fest eingebaut); alte Clients verbinden sich dann nicht mehr</w:t>
            </w:r>
          </w:p>
        </w:tc>
      </w:tr>
      <w:tr>
        <w:trPr>
          <w:cantSplit/>
          <w:tblHeader w:val="false"/>
        </w:trPr>
        <w:tc>
          <w:tcPr>
            <w:tcW w:type="dxa" w:w="14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Ohne Pro-Tarif</w:t>
            </w:r>
          </w:p>
        </w:tc>
        <w:tc>
          <w:tcPr>
            <w:tcW w:type="dxa" w:w="821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quelloffener Client mit Serverangabe im Dateinamen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rustdesk-host=&lt;server&gt;,key=&lt;schlüssel&gt;.exe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oder Startargument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--config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ohne Logo, Adressbuch und Sitzungsprotokoll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b w:val="false"/>
          <w:bCs w:val="false"/>
          <w:i w:val="false"/>
          <w:iCs w:val="false"/>
        </w:rPr>
        <w:t xml:space="preserve">5 Wachen und Tests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3"/>
        <w:gridCol w:w="5556"/>
        <w:gridCol w:w="969"/>
      </w:tblGrid>
      <w:tr>
        <w:trPr>
          <w:cantSplit/>
          <w:tblHeader/>
        </w:trPr>
        <w:tc>
          <w:tcPr>
            <w:tcW w:type="dxa" w:w="31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Wache</w:t>
            </w:r>
          </w:p>
        </w:tc>
        <w:tc>
          <w:tcPr>
            <w:tcW w:type="dxa" w:w="55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Hält</w:t>
            </w:r>
          </w:p>
        </w:tc>
        <w:tc>
          <w:tcPr>
            <w:tcW w:type="dxa" w:w="9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Stufe</w:t>
            </w:r>
          </w:p>
        </w:tc>
      </w:tr>
      <w:tr>
        <w:trPr>
          <w:cantSplit/>
          <w:tblHeader w:val="false"/>
        </w:trPr>
        <w:tc>
          <w:tcPr>
            <w:tcW w:type="dxa" w:w="31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EPOS.UI.Tests/EntwicklerbereicheWacheTests</w:t>
            </w:r>
          </w:p>
        </w:tc>
        <w:tc>
          <w:tcPr>
            <w:tcW w:type="dxa" w:w="55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Anwenderbaum ohne Entwicklerpunkt, keine leeren Untermenüs, keine doppelten Trenner; jeder Schlüssel des Registers hat eine Fundstelle; jedes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data-stufe="entwickler"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hängt an einem Gaben-Kennzeichen</w:t>
            </w:r>
          </w:p>
        </w:tc>
        <w:tc>
          <w:tcPr>
            <w:tcW w:type="dxa" w:w="9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31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MenuebandTests</w:t>
            </w:r>
          </w:p>
        </w:tc>
        <w:tc>
          <w:tcPr>
            <w:tcW w:type="dxa" w:w="55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Zählungen beider Bäume, Regel „kein Untermenü mit nur einem Punkt"</w:t>
            </w:r>
          </w:p>
        </w:tc>
        <w:tc>
          <w:tcPr>
            <w:tcW w:type="dxa" w:w="9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31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bunit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GebaeudeImportDialog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RaumnutzungBlatt</w:t>
            </w:r>
          </w:p>
        </w:tc>
        <w:tc>
          <w:tcPr>
            <w:tcW w:type="dxa" w:w="55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ohne Kennzeichen kein Projektdatei-Element, mit Kennzeichen alle</w:t>
            </w:r>
          </w:p>
        </w:tc>
        <w:tc>
          <w:tcPr>
            <w:tcW w:type="dxa" w:w="9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31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EntwicklermodusTests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(Kern)</w:t>
            </w:r>
          </w:p>
        </w:tc>
        <w:tc>
          <w:tcPr>
            <w:tcW w:type="dxa" w:w="55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Sperre schlägt alles; Quelle richtig benannt</w:t>
            </w:r>
          </w:p>
        </w:tc>
        <w:tc>
          <w:tcPr>
            <w:tcW w:type="dxa" w:w="9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31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LizenzCtrlTests</w:t>
            </w:r>
          </w:p>
        </w:tc>
        <w:tc>
          <w:tcPr>
            <w:tcW w:type="dxa" w:w="55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FernwartungErlaubt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für die vier Lesarten</w:t>
            </w:r>
          </w:p>
        </w:tc>
        <w:tc>
          <w:tcPr>
            <w:tcW w:type="dxa" w:w="9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31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bunit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FernwartungDialog</w:t>
            </w:r>
          </w:p>
        </w:tc>
        <w:tc>
          <w:tcPr>
            <w:tcW w:type="dxa" w:w="55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gesperrt und frei; Knopf ruft die Adresse</w:t>
            </w:r>
          </w:p>
        </w:tc>
        <w:tc>
          <w:tcPr>
            <w:tcW w:type="dxa" w:w="9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311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DiagnosedatenTests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bunit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UeberDialog</w:t>
            </w:r>
          </w:p>
        </w:tc>
        <w:tc>
          <w:tcPr>
            <w:tcW w:type="dxa" w:w="555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Textblock vollständig; Geste schaltet</w:t>
            </w:r>
          </w:p>
        </w:tc>
        <w:tc>
          <w:tcPr>
            <w:tcW w:type="dxa" w:w="969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Laufen wie üblich über den Kern-Filter:</w:t>
      </w:r>
    </w:p>
    <w:p>
      <w:pPr>
        <w:shd w:fill="F2F2F2" w:color="auto" w:val="clear"/>
        <w:spacing w:after="0" w:before="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dotnet build WP-Plan.Kern.slnf -c Release -nologo -v q -clp:ErrorsOnly</w:t>
      </w:r>
    </w:p>
    <w:p>
      <w:pPr>
        <w:shd w:fill="F2F2F2" w:color="auto" w:val="clear"/>
        <w:spacing w:after="120" w:before="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dotnet test  WP-Plan.Kern.slnf -c Release --no-build --filter "FullyQualifiedName~Entwicklerbereiche" -- xUnit.ParallelizeTestCollections=false xUnit.MaxParallelThreads=2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Die Windows-Schale (Startargument, Fenster, Explorer-Hüllen) baut auch auf Linux:</w:t>
      </w:r>
    </w:p>
    <w:p>
      <w:pPr>
        <w:shd w:fill="F2F2F2" w:color="auto" w:val="clear"/>
        <w:spacing w:after="120" w:before="60"/>
        <w:ind w:left="120" w:right="120"/>
      </w:pPr>
      <w:r>
        <w:rPr>
          <w:rFonts w:ascii="Consolas" w:cs="Consolas" w:eastAsia="Consolas" w:hAnsi="Consolas"/>
          <w:sz w:val="18"/>
          <w:szCs w:val="18"/>
        </w:rPr>
        <w:t xml:space="preserve">dotnet build WindowsFormsApplication1/WindowsFormsApplication1.csproj -c Debug -p:Platform=x64 -p:EnableWindowsTargeting=true</w:t>
      </w:r>
    </w:p>
    <w:p>
      <w:pPr>
        <w:pStyle w:val="Heading1"/>
      </w:pPr>
      <w:r>
        <w:rPr>
          <w:b w:val="false"/>
          <w:bCs w:val="false"/>
          <w:i w:val="false"/>
          <w:iCs w:val="false"/>
        </w:rPr>
        <w:t xml:space="preserve">6 Fundstellen im Code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5"/>
        <w:gridCol w:w="6525"/>
        <w:gridCol w:w="1058"/>
      </w:tblGrid>
      <w:tr>
        <w:trPr>
          <w:cantSplit/>
          <w:tblHeader/>
        </w:trPr>
        <w:tc>
          <w:tcPr>
            <w:tcW w:type="dxa" w:w="2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Baustein</w:t>
            </w:r>
          </w:p>
        </w:tc>
        <w:tc>
          <w:tcPr>
            <w:tcW w:type="dxa" w:w="65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Pfad</w:t>
            </w:r>
          </w:p>
        </w:tc>
        <w:tc>
          <w:tcPr>
            <w:tcW w:type="dxa" w:w="10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Stufe</w:t>
            </w:r>
          </w:p>
        </w:tc>
      </w:tr>
      <w:tr>
        <w:trPr>
          <w:cantSplit/>
          <w:tblHeader w:val="false"/>
        </w:trPr>
        <w:tc>
          <w:tcPr>
            <w:tcW w:type="dxa" w:w="2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Entwicklermodus, Freigabestufe, Register</w:t>
            </w:r>
          </w:p>
        </w:tc>
        <w:tc>
          <w:tcPr>
            <w:tcW w:type="dxa" w:w="65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EPOS.Kern/Allgemein/Freigabe/Entwicklermodus.cs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Entwicklerbereiche.cs</w:t>
            </w:r>
          </w:p>
        </w:tc>
        <w:tc>
          <w:tcPr>
            <w:tcW w:type="dxa" w:w="10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2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Menüzeile mit Stufe, Zuschnitt</w:t>
            </w:r>
          </w:p>
        </w:tc>
        <w:tc>
          <w:tcPr>
            <w:tcW w:type="dxa" w:w="65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EPOS.UI/Bausteine/Menuepunkt.cs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Menuetabelle.cs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Sichtbar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</w:t>
            </w:r>
          </w:p>
        </w:tc>
        <w:tc>
          <w:tcPr>
            <w:tcW w:type="dxa" w:w="10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2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Marke und Fenstertitel</w:t>
            </w:r>
          </w:p>
        </w:tc>
        <w:tc>
          <w:tcPr>
            <w:tcW w:type="dxa" w:w="65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EPOS.UI/Seiten/Hauptfenster.razor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WindowsFormsApplication1/Views/Hauptformular/</w:t>
            </w:r>
          </w:p>
        </w:tc>
        <w:tc>
          <w:tcPr>
            <w:tcW w:type="dxa" w:w="10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2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Startargument</w:t>
            </w:r>
          </w:p>
        </w:tc>
        <w:tc>
          <w:tcPr>
            <w:tcW w:type="dxa" w:w="65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WindowsFormsApplication1/Program.cs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Main(string[] args)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</w:t>
            </w:r>
          </w:p>
        </w:tc>
        <w:tc>
          <w:tcPr>
            <w:tcW w:type="dxa" w:w="10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2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Projektdatei-Einstiege</w:t>
            </w:r>
          </w:p>
        </w:tc>
        <w:tc>
          <w:tcPr>
            <w:tcW w:type="dxa" w:w="65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siehe Abschnitt 2.1</w:t>
            </w:r>
          </w:p>
        </w:tc>
        <w:tc>
          <w:tcPr>
            <w:tcW w:type="dxa" w:w="10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2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Ausnahmeprotokoll</w:t>
            </w:r>
          </w:p>
        </w:tc>
        <w:tc>
          <w:tcPr>
            <w:tcW w:type="dxa" w:w="65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EPOS.Kern/Allgemein/Diagnose/Ausnahmeprotokoll.cs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eingeschaltet in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Program.Main</w:t>
            </w:r>
          </w:p>
        </w:tc>
        <w:tc>
          <w:tcPr>
            <w:tcW w:type="dxa" w:w="10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2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Lizenzstand</w:t>
            </w:r>
          </w:p>
        </w:tc>
        <w:tc>
          <w:tcPr>
            <w:tcW w:type="dxa" w:w="65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EPOS.Kern/Allgemein/Lizenz/LizenzManager.cs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LizenzStatus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LizenzToken.cs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Typ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EPOS.Kern/Controller/LizenzCtrl.cs</w:t>
            </w:r>
          </w:p>
        </w:tc>
        <w:tc>
          <w:tcPr>
            <w:tcW w:type="dxa" w:w="10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2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Adresse öffnen</w:t>
            </w:r>
          </w:p>
        </w:tc>
        <w:tc>
          <w:tcPr>
            <w:tcW w:type="dxa" w:w="65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EPOS.Kern/Allgemein/Dienste/IDateiDienst.cs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AdresseOeffnen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WindowsFormsApplication1/Dienste/WindowsDateiDienst.cs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; der iOS-Adapter liefert heute die Vorgabe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false</w:t>
            </w:r>
          </w:p>
        </w:tc>
        <w:tc>
          <w:tcPr>
            <w:tcW w:type="dxa" w:w="10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2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Fernwartungsdialog</w:t>
            </w:r>
          </w:p>
        </w:tc>
        <w:tc>
          <w:tcPr>
            <w:tcW w:type="dxa" w:w="65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EPOS.UI/Dialoge/Hilfe/FernwartungDialog.razor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Hülle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EPOS.UI.Daten/Hilfe/FernwartungHuelle.cs</w:t>
            </w:r>
          </w:p>
        </w:tc>
        <w:tc>
          <w:tcPr>
            <w:tcW w:type="dxa" w:w="10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2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Über-Dialog, Diagnosedaten</w:t>
            </w:r>
          </w:p>
        </w:tc>
        <w:tc>
          <w:tcPr>
            <w:tcW w:type="dxa" w:w="65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EPOS.UI/Dialoge/Hilfe/UeberDialog.razor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EPOS.Kern/Allgemein/Diagnose/Diagnosedaten.cs</w:t>
            </w:r>
          </w:p>
        </w:tc>
        <w:tc>
          <w:tcPr>
            <w:tcW w:type="dxa" w:w="10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205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Maschinenweite Werte</w:t>
            </w:r>
          </w:p>
        </w:tc>
        <w:tc>
          <w:tcPr>
            <w:tcW w:type="dxa" w:w="65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EPOS.Kern/Allgemein/Dienste/IEinstellungen.cs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(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LiesMaschine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), 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WindowsFormsApplication1/Dienste/RegistryEinstellungen.cs</w:t>
            </w:r>
          </w:p>
        </w:tc>
        <w:tc>
          <w:tcPr>
            <w:tcW w:type="dxa" w:w="10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heute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b w:val="false"/>
          <w:bCs w:val="false"/>
          <w:i w:val="false"/>
          <w:iCs w:val="false"/>
        </w:rPr>
        <w:t xml:space="preserve">7 Stufenstand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26"/>
        <w:gridCol w:w="6987"/>
        <w:gridCol w:w="1525"/>
      </w:tblGrid>
      <w:tr>
        <w:trPr>
          <w:cantSplit/>
          <w:tblHeader/>
        </w:trPr>
        <w:tc>
          <w:tcPr>
            <w:tcW w:type="dxa" w:w="11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Stufe</w:t>
            </w:r>
          </w:p>
        </w:tc>
        <w:tc>
          <w:tcPr>
            <w:tcW w:type="dxa" w:w="6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Inhalt</w:t>
            </w:r>
          </w:p>
        </w:tc>
        <w:tc>
          <w:tcPr>
            <w:tcW w:type="dxa" w:w="15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i w:val="false"/>
                <w:iCs w:val="false"/>
                <w:sz w:val="20"/>
                <w:szCs w:val="20"/>
              </w:rPr>
              <w:t xml:space="preserve">Stand</w:t>
            </w:r>
          </w:p>
        </w:tc>
      </w:tr>
      <w:tr>
        <w:trPr>
          <w:cantSplit/>
          <w:tblHeader w:val="false"/>
        </w:trPr>
        <w:tc>
          <w:tcPr>
            <w:tcW w:type="dxa" w:w="11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6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Entwicklermodus, Entwicklerbereiche, Menükopf „Entwicklung", Projektdatei verborgen</w:t>
            </w:r>
          </w:p>
        </w:tc>
        <w:tc>
          <w:tcPr>
            <w:tcW w:type="dxa" w:w="15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offen (Konzept entschieden 11.10.2026)</w:t>
            </w:r>
          </w:p>
        </w:tc>
      </w:tr>
      <w:tr>
        <w:trPr>
          <w:cantSplit/>
          <w:tblHeader w:val="false"/>
        </w:trPr>
        <w:tc>
          <w:tcPr>
            <w:tcW w:type="dxa" w:w="11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6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Fernwartung unter Windows: Menüpunkt, Dialog, Lizenzbedingung, Fernwartungsseite; Zuarbeit INEKON: Server, Client, Seite, Signatur. Das iPad ist zurückgestellt</w:t>
            </w:r>
          </w:p>
        </w:tc>
        <w:tc>
          <w:tcPr>
            <w:tcW w:type="dxa" w:w="15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offen</w:t>
            </w:r>
          </w:p>
        </w:tc>
      </w:tr>
      <w:tr>
        <w:trPr>
          <w:cantSplit/>
          <w:tblHeader w:val="false"/>
        </w:trPr>
        <w:tc>
          <w:tcPr>
            <w:tcW w:type="dxa" w:w="11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6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Dialog „Über EPOS-Plan", Diagnosedaten, Supportpaket</w:t>
            </w:r>
          </w:p>
        </w:tc>
        <w:tc>
          <w:tcPr>
            <w:tcW w:type="dxa" w:w="15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offen</w:t>
            </w:r>
          </w:p>
        </w:tc>
      </w:tr>
      <w:tr>
        <w:trPr>
          <w:cantSplit/>
          <w:tblHeader w:val="false"/>
        </w:trPr>
        <w:tc>
          <w:tcPr>
            <w:tcW w:type="dxa" w:w="11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698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Supportvertrag im Lizenz-Token (</w:t>
            </w:r>
            <w:r>
              <w:rPr>
                <w:rFonts w:ascii="Consolas" w:cs="Consolas" w:eastAsia="Consolas" w:hAnsi="Consolas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support_bis</w:t>
            </w: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)</w:t>
            </w:r>
          </w:p>
        </w:tc>
        <w:tc>
          <w:tcPr>
            <w:tcW w:type="dxa" w:w="1525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offen, auf Zuruf</w:t>
            </w:r>
          </w:p>
        </w:tc>
      </w:tr>
    </w:tbl>
    <w:p>
      <w:pPr>
        <w:spacing w:after="60"/>
      </w:pPr>
    </w:p>
    <w:p>
      <w:pPr>
        <w:pStyle w:val="Heading1"/>
      </w:pPr>
      <w:r>
        <w:rPr>
          <w:b w:val="false"/>
          <w:bCs w:val="false"/>
          <w:i w:val="false"/>
          <w:iCs w:val="false"/>
        </w:rPr>
        <w:t xml:space="preserve">8 Pflege dieses Handbuchs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Die Markdown-Datei ist die Quelle. Wer eine Stufe umsetzt, trägt die Stufe in Abschnitt 7 als umgesetzt ein, ersetzt in den betroffenen Abschnitten „[Stufe n]" durch „[heute]" und berichtigt Namen und Pfade nach dem gebauten Stand.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Danach wird die Word-Fassung neu erzeugt (Agent mit dem docx-Skill, Vorlage: dieses Dokument, A4, Überschriften und Tabellen wie hier) und im selben Commit abgelegt.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 w:val="false"/>
          <w:bCs w:val="false"/>
          <w:i w:val="false"/>
          <w:iCs w:val="false"/>
        </w:rPr>
        <w:t xml:space="preserve">Nichts aus diesem Handbuch wird ins Wiki übernommen; die Anwenderseite der Fernwartung steht in den Wiki-Quellen unter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sz w:val="20"/>
          <w:szCs w:val="20"/>
        </w:rPr>
        <w:t xml:space="preserve">Projekte/Wiki/</w:t>
      </w:r>
      <w:r>
        <w:rPr>
          <w:b w:val="false"/>
          <w:bCs w:val="false"/>
          <w:i w:val="false"/>
          <w:iCs w:val="false"/>
        </w:rPr>
        <w:t xml:space="preserve"> ohne Produktnamen.</w:t>
      </w:r>
    </w:p>
    <w:sectPr>
      <w:headerReference w:type="default" r:id="rId11"/>
      <w:footerReference w:type="default" r:id="rId12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8"/>
        <w:szCs w:val="18"/>
      </w:rPr>
      <w:t xml:space="preserve">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8"/>
        <w:szCs w:val="18"/>
      </w:rPr>
      <w:t xml:space="preserve">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95959"/>
        <w:sz w:val="18"/>
        <w:szCs w:val="18"/>
      </w:rPr>
      <w:t xml:space="preserve">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jc w:val="right"/>
    </w:pPr>
    <w:r>
      <w:rPr>
        <w:color w:val="595959"/>
        <w:sz w:val="18"/>
        <w:szCs w:val="18"/>
      </w:rPr>
      <w:t xml:space="preserve">EPOS-Plan · Entwicklerhandbuch Administration und Support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jc w:val="right"/>
    </w:pPr>
    <w:r>
      <w:rPr>
        <w:color w:val="595959"/>
        <w:sz w:val="18"/>
        <w:szCs w:val="18"/>
      </w:rPr>
      <w:t xml:space="preserve">EPOS-Plan · Entwicklerhandbuch Administration und Support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jc w:val="right"/>
    </w:pPr>
    <w:r>
      <w:rPr>
        <w:color w:val="595959"/>
        <w:sz w:val="18"/>
        <w:szCs w:val="18"/>
      </w:rPr>
      <w:t xml:space="preserve">EPOS-Plan · Entwicklerhandbuch Administration und Support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  <w:lang w:val="de-DE" w:eastAsia="de-DE" w:bidi="ar-S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Calibri" w:cs="Calibri" w:eastAsia="Calibri" w:hAnsi="Calibri"/>
      <w:b/>
      <w:b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EPOS-Plan — Entwicklerhandbuch: Administration und Support</dc:title>
  <dc:creator>INEKON</dc:creator>
  <cp:lastModifiedBy>Un-named</cp:lastModifiedBy>
  <cp:revision>1</cp:revision>
  <dcterms:created xsi:type="dcterms:W3CDTF">2026-10-11T08:37:02.938Z</dcterms:created>
  <dcterms:modified xsi:type="dcterms:W3CDTF">2026-10-11T08:37:02.938Z</dcterms:modified>
  <dc:language>de-DE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