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pPr>
      <w:r>
        <w:rPr>
          <w:b/>
          <w:bCs/>
          <w:color w:val="1F3864"/>
          <w:sz w:val="44"/>
          <w:szCs w:val="44"/>
        </w:rPr>
        <w:t xml:space="preserve">EPOS-Plan — Entwicklerhandbuch: Administration und Support</w:t>
      </w:r>
    </w:p>
    <w:p>
      <w:pPr>
        <w:pBdr>
          <w:bottom w:val="single" w:color="1F3864" w:sz="8" w:space="6"/>
        </w:pBdr>
        <w:spacing w:after="480"/>
      </w:pPr>
      <w:r>
        <w:rPr>
          <w:color w:val="595959"/>
          <w:sz w:val="22"/>
          <w:szCs w:val="22"/>
        </w:rPr>
        <w:t xml:space="preserve">Stand 11.10.2026 (Stufe 1 umgesetzt, Nachzug Zapfprofil-Vorgaben offen) · INEKON, nur für Entwicklung und Support</w:t>
      </w:r>
    </w:p>
    <w:p>
      <w:pPr>
        <w:spacing w:after="120"/>
      </w:pPr>
      <w:r>
        <w:rPr>
          <w:b/>
          <w:bCs/>
          <w:color w:val="1F3864"/>
          <w:sz w:val="28"/>
          <w:szCs w:val="28"/>
        </w:rPr>
        <w:t xml:space="preserve">Inhaltsverzeichnis</w:t>
      </w:r>
    </w:p>
    <w:sdt>
      <w:sdtPr>
        <w:alias w:val="Inhaltsverzeichnis"/>
      </w:sdtPr>
      <w:sdtContent>
        <w:p>
          <w:r>
            <w:fldChar w:fldCharType="begin" w:dirty="true"/>
            <w:instrText xml:space="preserve">TOC \h \o "1-2"</w:instrText>
            <w:fldChar w:fldCharType="separate"/>
          </w:r>
        </w:p>
        <w:p>
          <w:r>
            <w:fldChar w:fldCharType="end"/>
          </w:r>
        </w:p>
      </w:sdtContent>
    </w:sdt>
    <w:p>
      <w:r>
        <w:br w:type="page"/>
      </w:r>
    </w:p>
    <w:p>
      <w:pPr>
        <w:spacing w:after="120"/>
      </w:pPr>
      <w:r>
        <w:rPr>
          <w:b/>
          <w:bCs/>
        </w:rPr>
        <w:t xml:space="preserve">Für wen.</w:t>
      </w:r>
      <w:r>
        <w:t xml:space="preserve"> INEKON — Entwicklung und Support. Nicht für Anwender; nichts aus diesem Handbuch kommt ins Wiki, und die Entwicklerbereiche werden in der Anwenderdokumentation nicht erwähnt.</w:t>
      </w:r>
    </w:p>
    <w:p>
      <w:pPr>
        <w:spacing w:after="120"/>
      </w:pPr>
      <w:r>
        <w:rPr>
          <w:b/>
          <w:bCs/>
        </w:rPr>
        <w:t xml:space="preserve">Stand.</w:t>
      </w:r>
      <w:r>
        <w:t xml:space="preserve"> 11.10.2026, Stufen 1 und 2 umgesetzt (11.10.2026, #974 und #985), Stufe 3 (3a Über und Diagnose, 3b Supportpaket) umgesetzt (11.10.2026, #987), Nachzug Zapfprofil-Rubrik umgesetzt (11.10.2026, #986); Konzeptstand nach den Anwenderentscheiden AS-Q1 bis AS-Q10 (</w:t>
      </w:r>
      <w:r>
        <w:rPr>
          <w:rFonts w:ascii="Consolas" w:cs="Consolas" w:eastAsia="Consolas" w:hAnsi="Consolas"/>
          <w:sz w:val="20"/>
          <w:szCs w:val="20"/>
        </w:rPr>
        <w:t xml:space="preserve">Konzept_Administration_Support_EPOS-Plan.md</w:t>
      </w:r>
      <w:r>
        <w:t xml:space="preserve">). Jeder Abschnitt trägt die Stufe, ab der er gilt: </w:t>
      </w:r>
      <w:r>
        <w:rPr>
          <w:b/>
          <w:bCs/>
        </w:rPr>
        <w:t xml:space="preserve">[heute]</w:t>
      </w:r>
      <w:r>
        <w:t xml:space="preserve"> vorhanden, </w:t>
      </w:r>
      <w:r>
        <w:rPr>
          <w:b/>
          <w:bCs/>
        </w:rPr>
        <w:t xml:space="preserve">[Stufe 1]</w:t>
      </w:r>
      <w:r>
        <w:t xml:space="preserve"> Entwicklermodus, </w:t>
      </w:r>
      <w:r>
        <w:rPr>
          <w:b/>
          <w:bCs/>
        </w:rPr>
        <w:t xml:space="preserve">[Stufe 2]</w:t>
      </w:r>
      <w:r>
        <w:t xml:space="preserve"> Fernwartung, </w:t>
      </w:r>
      <w:r>
        <w:rPr>
          <w:b/>
          <w:bCs/>
        </w:rPr>
        <w:t xml:space="preserve">[Stufe 3]</w:t>
      </w:r>
      <w:r>
        <w:t xml:space="preserve"> Dialog „Über EPOS-Plan" und Diagnosedaten. Wer eine Stufe umsetzt, zieht dieses Handbuch und die Word-Fassung daneben nach (Abschnitt 8).</w:t>
      </w:r>
    </w:p>
    <w:p>
      <w:pPr>
        <w:spacing w:after="120"/>
      </w:pPr>
      <w:r>
        <w:rPr>
          <w:b/>
          <w:bCs/>
        </w:rPr>
        <w:t xml:space="preserve">Quelle und Word-Fassung.</w:t>
      </w:r>
      <w:r>
        <w:t xml:space="preserve"> Diese Markdown-Datei ist die Quelle; die Datei </w:t>
      </w:r>
      <w:r>
        <w:rPr>
          <w:rFonts w:ascii="Consolas" w:cs="Consolas" w:eastAsia="Consolas" w:hAnsi="Consolas"/>
          <w:sz w:val="20"/>
          <w:szCs w:val="20"/>
        </w:rPr>
        <w:t xml:space="preserve">Entwicklerhandbuch_Administration_Support_EPOS-Plan.docx</w:t>
      </w:r>
      <w:r>
        <w:t xml:space="preserve"> im selben Ordner ist daraus erzeugt und wird mit jeder Änderung neu erzeugt (Abschnitt 8).</w:t>
      </w:r>
    </w:p>
    <w:p>
      <w:pPr>
        <w:pStyle w:val="Heading1"/>
      </w:pPr>
      <w:r>
        <w:t xml:space="preserve">1 Entwicklermodus ein- und ausschalten [heute]</w:t>
      </w:r>
    </w:p>
    <w:p>
      <w:pPr>
        <w:spacing w:after="120"/>
      </w:pPr>
      <w:r>
        <w:t xml:space="preserve">Der Entwicklermodus ist eine Sichtbarkeitsstufe, kein Rechtemodell: Er zeigt Bereiche, die ein Anwender nicht sieht. Was er zeigt, steht in Abschnitt 2.</w:t>
      </w:r>
    </w:p>
    <w:p>
      <w:pPr>
        <w:pStyle w:val="Heading2"/>
      </w:pPr>
      <w:r>
        <w:t xml:space="preserve">1.1 Die vier Wege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75"/>
        <w:gridCol w:w="2820"/>
        <w:gridCol w:w="2820"/>
        <w:gridCol w:w="2823"/>
      </w:tblGrid>
      <w:tr>
        <w:trPr>
          <w:cantSplit/>
          <w:tblHeader/>
        </w:trPr>
        <w:tc>
          <w:tcPr>
            <w:tcW w:type="dxa" w:w="1175"/>
            <w:tcBorders>
              <w:top w:val="single" w:color="A6A6A6" w:sz="4"/>
              <w:left w:val="single" w:color="A6A6A6" w:sz="4"/>
              <w:bottom w:val="single" w:color="A6A6A6" w:sz="4"/>
              <w:right w:val="single" w:color="A6A6A6" w:sz="4"/>
            </w:tcBorders>
            <w:shd w:fill="D9D9D9" w:color="auto" w:val="clear"/>
            <w:tcMar>
              <w:top w:type="dxa" w:w="50"/>
              <w:left w:type="dxa" w:w="90"/>
              <w:bottom w:type="dxa" w:w="50"/>
              <w:right w:type="dxa" w:w="90"/>
            </w:tcMar>
          </w:tcPr>
          <w:p>
            <w:pPr>
              <w:spacing w:after="0"/>
            </w:pPr>
            <w:r>
              <w:rPr>
                <w:b/>
                <w:bCs/>
                <w:sz w:val="19"/>
                <w:szCs w:val="19"/>
              </w:rPr>
              <w:t xml:space="preserve">Weg</w:t>
            </w:r>
          </w:p>
        </w:tc>
        <w:tc>
          <w:tcPr>
            <w:tcW w:type="dxa" w:w="2820"/>
            <w:tcBorders>
              <w:top w:val="single" w:color="A6A6A6" w:sz="4"/>
              <w:left w:val="single" w:color="A6A6A6" w:sz="4"/>
              <w:bottom w:val="single" w:color="A6A6A6" w:sz="4"/>
              <w:right w:val="single" w:color="A6A6A6" w:sz="4"/>
            </w:tcBorders>
            <w:shd w:fill="D9D9D9" w:color="auto" w:val="clear"/>
            <w:tcMar>
              <w:top w:type="dxa" w:w="50"/>
              <w:left w:type="dxa" w:w="90"/>
              <w:bottom w:type="dxa" w:w="50"/>
              <w:right w:type="dxa" w:w="90"/>
            </w:tcMar>
          </w:tcPr>
          <w:p>
            <w:pPr>
              <w:spacing w:after="0"/>
            </w:pPr>
            <w:r>
              <w:rPr>
                <w:b/>
                <w:bCs/>
                <w:sz w:val="19"/>
                <w:szCs w:val="19"/>
              </w:rPr>
              <w:t xml:space="preserve">Wann</w:t>
            </w:r>
          </w:p>
        </w:tc>
        <w:tc>
          <w:tcPr>
            <w:tcW w:type="dxa" w:w="2820"/>
            <w:tcBorders>
              <w:top w:val="single" w:color="A6A6A6" w:sz="4"/>
              <w:left w:val="single" w:color="A6A6A6" w:sz="4"/>
              <w:bottom w:val="single" w:color="A6A6A6" w:sz="4"/>
              <w:right w:val="single" w:color="A6A6A6" w:sz="4"/>
            </w:tcBorders>
            <w:shd w:fill="D9D9D9" w:color="auto" w:val="clear"/>
            <w:tcMar>
              <w:top w:type="dxa" w:w="50"/>
              <w:left w:type="dxa" w:w="90"/>
              <w:bottom w:type="dxa" w:w="50"/>
              <w:right w:type="dxa" w:w="90"/>
            </w:tcMar>
          </w:tcPr>
          <w:p>
            <w:pPr>
              <w:spacing w:after="0"/>
            </w:pPr>
            <w:r>
              <w:rPr>
                <w:b/>
                <w:bCs/>
                <w:sz w:val="19"/>
                <w:szCs w:val="19"/>
              </w:rPr>
              <w:t xml:space="preserve">So geht es</w:t>
            </w:r>
          </w:p>
        </w:tc>
        <w:tc>
          <w:tcPr>
            <w:tcW w:type="dxa" w:w="2823"/>
            <w:tcBorders>
              <w:top w:val="single" w:color="A6A6A6" w:sz="4"/>
              <w:left w:val="single" w:color="A6A6A6" w:sz="4"/>
              <w:bottom w:val="single" w:color="A6A6A6" w:sz="4"/>
              <w:right w:val="single" w:color="A6A6A6" w:sz="4"/>
            </w:tcBorders>
            <w:shd w:fill="D9D9D9" w:color="auto" w:val="clear"/>
            <w:tcMar>
              <w:top w:type="dxa" w:w="50"/>
              <w:left w:type="dxa" w:w="90"/>
              <w:bottom w:type="dxa" w:w="50"/>
              <w:right w:type="dxa" w:w="90"/>
            </w:tcMar>
          </w:tcPr>
          <w:p>
            <w:pPr>
              <w:spacing w:after="0"/>
            </w:pPr>
            <w:r>
              <w:rPr>
                <w:b/>
                <w:bCs/>
                <w:sz w:val="19"/>
                <w:szCs w:val="19"/>
              </w:rPr>
              <w:t xml:space="preserve">Wieder aus</w:t>
            </w:r>
          </w:p>
        </w:tc>
      </w:tr>
      <w:tr>
        <w:trPr>
          <w:cantSplit/>
          <w:tblHeader w:val="false"/>
        </w:trPr>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b/>
                <w:bCs/>
                <w:sz w:val="19"/>
                <w:szCs w:val="19"/>
              </w:rPr>
              <w:t xml:space="preserve">Tastenfolge</w:t>
            </w:r>
          </w:p>
        </w:tc>
        <w:tc>
          <w:tcPr>
            <w:tcW w:type="dxa" w:w="28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am Kundenrechner oder am eigenen Rechner, dauerhaft</w:t>
            </w:r>
          </w:p>
        </w:tc>
        <w:tc>
          <w:tcPr>
            <w:tcW w:type="dxa" w:w="28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i/>
                <w:iCs/>
                <w:sz w:val="19"/>
                <w:szCs w:val="19"/>
              </w:rPr>
              <w:t xml:space="preserve">Hilfe → Version</w:t>
            </w:r>
            <w:r>
              <w:rPr>
                <w:sz w:val="19"/>
                <w:szCs w:val="19"/>
              </w:rPr>
              <w:t xml:space="preserve"> öffnen; im Dialog „Über EPOS-Plan" </w:t>
            </w:r>
            <w:r>
              <w:rPr>
                <w:b/>
                <w:bCs/>
                <w:sz w:val="19"/>
                <w:szCs w:val="19"/>
              </w:rPr>
              <w:t xml:space="preserve">Strg + Umschalt + F12</w:t>
            </w:r>
            <w:r>
              <w:rPr>
                <w:sz w:val="19"/>
                <w:szCs w:val="19"/>
              </w:rPr>
              <w:t xml:space="preserve"> (ohne Alt, damit AltGr auf deutscher Tastatur nicht stört; der Dialog erkennt die Folge selbst, das Fenster fängt sie zusätzlich ab), Rückfrage „Entwicklermodus einschalten? Er gilt bis zum Ausschalten." bestätigen. Im Hauptfenster wirkt die Tastenfolge nicht. Der Diagnoseblock des Dialogs zeigt danach „Entwickler (Einstellung)". iPad: nicht gebaut (geplant: fünfmal auf die Versionszeile tippen).</w:t>
            </w:r>
          </w:p>
        </w:tc>
        <w:tc>
          <w:tcPr>
            <w:tcW w:type="dxa" w:w="282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Menü </w:t>
            </w:r>
            <w:r>
              <w:rPr>
                <w:i/>
                <w:iCs/>
                <w:sz w:val="19"/>
                <w:szCs w:val="19"/>
              </w:rPr>
              <w:t xml:space="preserve">Entwicklung → Entwicklermodus ausschalten</w:t>
            </w:r>
            <w:r>
              <w:rPr>
                <w:sz w:val="19"/>
                <w:szCs w:val="19"/>
              </w:rPr>
              <w:t xml:space="preserve"> oder dieselbe Tastenfolge im Dialog</w:t>
            </w:r>
          </w:p>
        </w:tc>
      </w:tr>
      <w:tr>
        <w:trPr>
          <w:cantSplit/>
          <w:tblHeader w:val="false"/>
        </w:trPr>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b/>
                <w:bCs/>
                <w:sz w:val="19"/>
                <w:szCs w:val="19"/>
              </w:rPr>
              <w:t xml:space="preserve">Startargument</w:t>
            </w:r>
          </w:p>
        </w:tc>
        <w:tc>
          <w:tcPr>
            <w:tcW w:type="dxa" w:w="28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ein einzelner Lauf, Vorführung, Fehlersuche in einer Fernwartungssitzung</w:t>
            </w:r>
          </w:p>
        </w:tc>
        <w:tc>
          <w:tcPr>
            <w:tcW w:type="dxa" w:w="28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onsolas" w:cs="Consolas" w:eastAsia="Consolas" w:hAnsi="Consolas"/>
                <w:sz w:val="18"/>
                <w:szCs w:val="18"/>
              </w:rPr>
              <w:t xml:space="preserve">EPOS_Plan.exe --entwickler</w:t>
            </w:r>
            <w:r>
              <w:rPr>
                <w:sz w:val="19"/>
                <w:szCs w:val="19"/>
              </w:rPr>
              <w:t xml:space="preserve">. Praktisch: eine Verknüpfung „EPOS-Plan (Entwickler)" mit diesem Ziel selbst anlegen; das Setup legt sie absichtlich nicht an. Nur Windows.</w:t>
            </w:r>
          </w:p>
        </w:tc>
        <w:tc>
          <w:tcPr>
            <w:tcW w:type="dxa" w:w="282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nächster Start ohne Argument</w:t>
            </w:r>
          </w:p>
        </w:tc>
      </w:tr>
      <w:tr>
        <w:trPr>
          <w:cantSplit/>
          <w:tblHeader w:val="false"/>
        </w:trPr>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b/>
                <w:bCs/>
                <w:sz w:val="19"/>
                <w:szCs w:val="19"/>
              </w:rPr>
              <w:t xml:space="preserve">Umgebungsvariable</w:t>
            </w:r>
          </w:p>
        </w:tc>
        <w:tc>
          <w:tcPr>
            <w:tcW w:type="dxa" w:w="28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Entwicklerrechner dauerhaft, CI, Rasterprobe, Referenzlauf, iOS-Simulator</w:t>
            </w:r>
          </w:p>
        </w:tc>
        <w:tc>
          <w:tcPr>
            <w:tcW w:type="dxa" w:w="28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onsolas" w:cs="Consolas" w:eastAsia="Consolas" w:hAnsi="Consolas"/>
                <w:sz w:val="18"/>
                <w:szCs w:val="18"/>
              </w:rPr>
              <w:t xml:space="preserve">EPOS_ENTWICKLER=1</w:t>
            </w:r>
            <w:r>
              <w:rPr>
                <w:sz w:val="19"/>
                <w:szCs w:val="19"/>
              </w:rPr>
              <w:t xml:space="preserve"> als Benutzer- oder Systemvariable. iOS-Simulator wie beim Prüfmodus: </w:t>
            </w:r>
            <w:r>
              <w:rPr>
                <w:rFonts w:ascii="Consolas" w:cs="Consolas" w:eastAsia="Consolas" w:hAnsi="Consolas"/>
                <w:sz w:val="18"/>
                <w:szCs w:val="18"/>
              </w:rPr>
              <w:t xml:space="preserve">SIMCTL_CHILD_EPOS_ENTWICKLER=1</w:t>
            </w:r>
            <w:r>
              <w:rPr>
                <w:sz w:val="19"/>
                <w:szCs w:val="19"/>
              </w:rPr>
              <w:t xml:space="preserve">.</w:t>
            </w:r>
          </w:p>
        </w:tc>
        <w:tc>
          <w:tcPr>
            <w:tcW w:type="dxa" w:w="282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Variable entfernen</w:t>
            </w:r>
          </w:p>
        </w:tc>
      </w:tr>
      <w:tr>
        <w:trPr>
          <w:cantSplit/>
          <w:tblHeader w:val="false"/>
        </w:trPr>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b/>
                <w:bCs/>
                <w:sz w:val="19"/>
                <w:szCs w:val="19"/>
              </w:rPr>
              <w:t xml:space="preserve">Sperre des Administrators</w:t>
            </w:r>
          </w:p>
        </w:tc>
        <w:tc>
          <w:tcPr>
            <w:tcW w:type="dxa" w:w="28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Kundeninstallation, deren Verwaltung den Modus verbietet</w:t>
            </w:r>
          </w:p>
        </w:tc>
        <w:tc>
          <w:tcPr>
            <w:tcW w:type="dxa" w:w="28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Registrywert </w:t>
            </w:r>
            <w:r>
              <w:rPr>
                <w:rFonts w:ascii="Consolas" w:cs="Consolas" w:eastAsia="Consolas" w:hAnsi="Consolas"/>
                <w:sz w:val="18"/>
                <w:szCs w:val="18"/>
              </w:rPr>
              <w:t xml:space="preserve">HKLM\SOFTWARE\wp-plan\EntwicklermodusGesperrt = 1</w:t>
            </w:r>
            <w:r>
              <w:rPr>
                <w:sz w:val="19"/>
                <w:szCs w:val="19"/>
              </w:rPr>
              <w:t xml:space="preserve"> (in beiden Registry-Sichten gelesen, wie der KI-Abschalter). Die Sperre schlägt alle drei anderen Wege.</w:t>
            </w:r>
          </w:p>
        </w:tc>
        <w:tc>
          <w:tcPr>
            <w:tcW w:type="dxa" w:w="282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Wert löschen; aus der Anwendung heraus nie</w:t>
            </w:r>
          </w:p>
        </w:tc>
      </w:tr>
    </w:tbl>
    <w:p>
      <w:pPr>
        <w:spacing w:after="120"/>
      </w:pPr>
    </w:p>
    <w:p>
      <w:pPr>
        <w:spacing w:after="120"/>
      </w:pPr>
      <w:r>
        <w:t xml:space="preserve">Rangfolge beim Start: erst die Sperre, dann Umgebungsvariable, Startargument, Einstellung. Die Einstellung der Tastenfolge liegt unter Windows in </w:t>
      </w:r>
      <w:r>
        <w:rPr>
          <w:rFonts w:ascii="Consolas" w:cs="Consolas" w:eastAsia="Consolas" w:hAnsi="Consolas"/>
          <w:sz w:val="20"/>
          <w:szCs w:val="20"/>
        </w:rPr>
        <w:t xml:space="preserve">HKCU\Software\wp-plan\Entwicklermodus</w:t>
      </w:r>
      <w:r>
        <w:t xml:space="preserve"> (Wert 1) und auf iOS in den </w:t>
      </w:r>
      <w:r>
        <w:rPr>
          <w:rFonts w:ascii="Consolas" w:cs="Consolas" w:eastAsia="Consolas" w:hAnsi="Consolas"/>
          <w:sz w:val="20"/>
          <w:szCs w:val="20"/>
        </w:rPr>
        <w:t xml:space="preserve">Preferences</w:t>
      </w:r>
      <w:r>
        <w:t xml:space="preserve"> unter </w:t>
      </w:r>
      <w:r>
        <w:rPr>
          <w:rFonts w:ascii="Consolas" w:cs="Consolas" w:eastAsia="Consolas" w:hAnsi="Consolas"/>
          <w:sz w:val="20"/>
          <w:szCs w:val="20"/>
        </w:rPr>
        <w:t xml:space="preserve">wp-plan.Entwicklermodus</w:t>
      </w:r>
      <w:r>
        <w:t xml:space="preserve">. Der Kern-Baustein </w:t>
      </w:r>
      <w:r>
        <w:rPr>
          <w:rFonts w:ascii="Consolas" w:cs="Consolas" w:eastAsia="Consolas" w:hAnsi="Consolas"/>
          <w:sz w:val="20"/>
          <w:szCs w:val="20"/>
        </w:rPr>
        <w:t xml:space="preserve">Entwicklermodus</w:t>
      </w:r>
      <w:r>
        <w:t xml:space="preserve"> (</w:t>
      </w:r>
      <w:r>
        <w:rPr>
          <w:rFonts w:ascii="Consolas" w:cs="Consolas" w:eastAsia="Consolas" w:hAnsi="Consolas"/>
          <w:sz w:val="20"/>
          <w:szCs w:val="20"/>
        </w:rPr>
        <w:t xml:space="preserve">EPOS.Kern/Allgemein/Freigabe/</w:t>
      </w:r>
      <w:r>
        <w:t xml:space="preserve">) liest alles einmal beim Start und bietet </w:t>
      </w:r>
      <w:r>
        <w:rPr>
          <w:rFonts w:ascii="Consolas" w:cs="Consolas" w:eastAsia="Consolas" w:hAnsi="Consolas"/>
          <w:sz w:val="20"/>
          <w:szCs w:val="20"/>
        </w:rPr>
        <w:t xml:space="preserve">Stufe</w:t>
      </w:r>
      <w:r>
        <w:t xml:space="preserve">, </w:t>
      </w:r>
      <w:r>
        <w:rPr>
          <w:rFonts w:ascii="Consolas" w:cs="Consolas" w:eastAsia="Consolas" w:hAnsi="Consolas"/>
          <w:sz w:val="20"/>
          <w:szCs w:val="20"/>
        </w:rPr>
        <w:t xml:space="preserve">Aktiv</w:t>
      </w:r>
      <w:r>
        <w:t xml:space="preserve">, </w:t>
      </w:r>
      <w:r>
        <w:rPr>
          <w:rFonts w:ascii="Consolas" w:cs="Consolas" w:eastAsia="Consolas" w:hAnsi="Consolas"/>
          <w:sz w:val="20"/>
          <w:szCs w:val="20"/>
        </w:rPr>
        <w:t xml:space="preserve">Quelle</w:t>
      </w:r>
      <w:r>
        <w:t xml:space="preserve"> und </w:t>
      </w:r>
      <w:r>
        <w:rPr>
          <w:rFonts w:ascii="Consolas" w:cs="Consolas" w:eastAsia="Consolas" w:hAnsi="Consolas"/>
          <w:sz w:val="20"/>
          <w:szCs w:val="20"/>
        </w:rPr>
        <w:t xml:space="preserve">Gesperrt</w:t>
      </w:r>
      <w:r>
        <w:t xml:space="preserve">; niemand sonst liest Registry, Umgebung oder Startzeile.</w:t>
      </w:r>
    </w:p>
    <w:p>
      <w:pPr>
        <w:pStyle w:val="Heading2"/>
      </w:pPr>
      <w:r>
        <w:t xml:space="preserve">1.2 Woran man den Modus erkennt</w:t>
      </w:r>
    </w:p>
    <w:p>
      <w:pPr>
        <w:pStyle w:val="ListParagraph"/>
        <w:numPr>
          <w:ilvl w:val="0"/>
          <w:numId w:val="2"/>
        </w:numPr>
        <w:spacing w:after="60"/>
      </w:pPr>
      <w:r>
        <w:t xml:space="preserve">Die Kopfleiste trägt rechts neben der Versionsnummer die Marke </w:t>
      </w:r>
      <w:r>
        <w:rPr>
          <w:b/>
          <w:bCs/>
        </w:rPr>
        <w:t xml:space="preserve">„Entwickler"</w:t>
      </w:r>
      <w:r>
        <w:t xml:space="preserve"> in der Warnfarbe; der Tooltip nennt die Quelle (Einstellung, Startargument, Umgebung).</w:t>
      </w:r>
    </w:p>
    <w:p>
      <w:pPr>
        <w:pStyle w:val="ListParagraph"/>
        <w:numPr>
          <w:ilvl w:val="0"/>
          <w:numId w:val="2"/>
        </w:numPr>
        <w:spacing w:after="60"/>
      </w:pPr>
      <w:r>
        <w:t xml:space="preserve">Der Fenstertitel trägt den Zusatz „(Entwicklermodus)".</w:t>
      </w:r>
    </w:p>
    <w:p>
      <w:pPr>
        <w:pStyle w:val="ListParagraph"/>
        <w:numPr>
          <w:ilvl w:val="0"/>
          <w:numId w:val="2"/>
        </w:numPr>
        <w:spacing w:after="60"/>
      </w:pPr>
      <w:r>
        <w:t xml:space="preserve">Vor dem Menükopf </w:t>
      </w:r>
      <w:r>
        <w:rPr>
          <w:i/>
          <w:iCs/>
        </w:rPr>
        <w:t xml:space="preserve">Sprache</w:t>
      </w:r>
      <w:r>
        <w:t xml:space="preserve"> steht der Kopf </w:t>
      </w:r>
      <w:r>
        <w:rPr>
          <w:b/>
          <w:bCs/>
        </w:rPr>
        <w:t xml:space="preserve">„Entwicklung"</w:t>
      </w:r>
      <w:r>
        <w:t xml:space="preserve"> (Abschnitt 2.2).</w:t>
      </w:r>
    </w:p>
    <w:p>
      <w:pPr>
        <w:pStyle w:val="Heading2"/>
      </w:pPr>
      <w:r>
        <w:t xml:space="preserve">1.3 Ausschalten</w:t>
      </w:r>
    </w:p>
    <w:p>
      <w:pPr>
        <w:spacing w:after="120"/>
      </w:pPr>
      <w:r>
        <w:rPr>
          <w:i/>
          <w:iCs/>
        </w:rPr>
        <w:t xml:space="preserve">Entwicklung → Entwicklermodus ausschalten</w:t>
      </w:r>
      <w:r>
        <w:t xml:space="preserve"> oder die Tastenfolge im Dialog „Über EPOS-Plan" löscht die Einstellung. Läuft der Modus über Startargument oder Umgebungsvariable, sagt der Punkt das und tut nichts: dann ohne Argument neu starten beziehungsweise die Variable entfernen.</w:t>
      </w:r>
    </w:p>
    <w:p>
      <w:pPr>
        <w:pStyle w:val="Heading2"/>
      </w:pPr>
      <w:r>
        <w:t xml:space="preserve">1.4 Regeln am Kundenrechner</w:t>
      </w:r>
    </w:p>
    <w:p>
      <w:pPr>
        <w:pStyle w:val="ListParagraph"/>
        <w:numPr>
          <w:ilvl w:val="0"/>
          <w:numId w:val="2"/>
        </w:numPr>
        <w:spacing w:after="60"/>
      </w:pPr>
      <w:r>
        <w:t xml:space="preserve">Vor dem Verlassen eines Kundenrechners den Modus ausschalten und die Marke prüfen. Eine Kundeninstallation läuft nie unbemerkt im Entwicklermodus.</w:t>
      </w:r>
    </w:p>
    <w:p>
      <w:pPr>
        <w:pStyle w:val="ListParagraph"/>
        <w:numPr>
          <w:ilvl w:val="0"/>
          <w:numId w:val="2"/>
        </w:numPr>
        <w:spacing w:after="60"/>
      </w:pPr>
      <w:r>
        <w:t xml:space="preserve">Die Sperre des Administrators wird nicht umgangen. Braucht der Support den Modus dort, klärt er es mit der Verwaltung des Kunden.</w:t>
      </w:r>
    </w:p>
    <w:p>
      <w:pPr>
        <w:pStyle w:val="ListParagraph"/>
        <w:numPr>
          <w:ilvl w:val="0"/>
          <w:numId w:val="2"/>
        </w:numPr>
        <w:spacing w:after="60"/>
      </w:pPr>
      <w:r>
        <w:t xml:space="preserve">Was im Modus angelegt wird (Projektdatei-Importe, Profile aus einer Projektdatei), bleibt ohne Modus lesbar und trägt seine Herkunft; nur das Anlegen neuer Importe ist dann verborgen (AS-Q5).</w:t>
      </w:r>
    </w:p>
    <w:p>
      <w:pPr>
        <w:pStyle w:val="Heading1"/>
      </w:pPr>
      <w:r>
        <w:t xml:space="preserve">2 Die Entwicklerbereiche [heute]</w:t>
      </w:r>
    </w:p>
    <w:p>
      <w:pPr>
        <w:spacing w:after="120"/>
      </w:pPr>
      <w:r>
        <w:t xml:space="preserve">Das Register </w:t>
      </w:r>
      <w:r>
        <w:rPr>
          <w:rFonts w:ascii="Consolas" w:cs="Consolas" w:eastAsia="Consolas" w:hAnsi="Consolas"/>
          <w:sz w:val="20"/>
          <w:szCs w:val="20"/>
        </w:rPr>
        <w:t xml:space="preserve">Entwicklerbereiche.Alle</w:t>
      </w:r>
      <w:r>
        <w:t xml:space="preserve"> im Kern führt jeden Bereich mit einem Schlüssel; die Wache (Abschnitt 5) prüft, dass jeder Schlüssel eine Fundstelle hat und dass der Anwenderbaum keinen davon enthält.</w:t>
      </w:r>
    </w:p>
    <w:p>
      <w:pPr>
        <w:sectPr>
          <w:headerReference w:type="default" r:id="rId7"/>
          <w:footerReference w:type="default" r:id="rId8"/>
          <w:pgSz w:w="11906" w:h="16838" w:orient="portrait"/>
          <w:pgMar w:top="1417" w:right="1134" w:bottom="1417" w:left="1134" w:header="708" w:footer="708" w:gutter="0"/>
          <w:pgNumType/>
          <w:docGrid w:linePitch="360"/>
        </w:sectPr>
      </w:pPr>
    </w:p>
    <w:p>
      <w:pPr>
        <w:pStyle w:val="Heading2"/>
      </w:pPr>
      <w:r>
        <w:t xml:space="preserve">2.1 Die Liste</w:t>
      </w:r>
    </w:p>
    <w:tbl>
      <w:tblPr>
        <w:tblW w:type="dxa" w:w="14700"/>
        <w:tblBorders>
          <w:top w:val="single" w:color="auto" w:sz="4"/>
          <w:left w:val="single" w:color="auto" w:sz="4"/>
          <w:bottom w:val="single" w:color="auto" w:sz="4"/>
          <w:right w:val="single" w:color="auto" w:sz="4"/>
          <w:insideH w:val="single" w:color="auto" w:sz="4"/>
          <w:insideV w:val="single" w:color="auto" w:sz="4"/>
        </w:tblBorders>
      </w:tblPr>
      <w:tblGrid>
        <w:gridCol w:w="1729"/>
        <w:gridCol w:w="4323"/>
        <w:gridCol w:w="4323"/>
        <w:gridCol w:w="4325"/>
      </w:tblGrid>
      <w:tr>
        <w:trPr>
          <w:cantSplit/>
          <w:tblHeader/>
        </w:trPr>
        <w:tc>
          <w:tcPr>
            <w:tcW w:type="dxa" w:w="1729"/>
            <w:tcBorders>
              <w:top w:val="single" w:color="A6A6A6" w:sz="4"/>
              <w:left w:val="single" w:color="A6A6A6" w:sz="4"/>
              <w:bottom w:val="single" w:color="A6A6A6" w:sz="4"/>
              <w:right w:val="single" w:color="A6A6A6" w:sz="4"/>
            </w:tcBorders>
            <w:shd w:fill="D9D9D9" w:color="auto" w:val="clear"/>
            <w:tcMar>
              <w:top w:type="dxa" w:w="50"/>
              <w:left w:type="dxa" w:w="90"/>
              <w:bottom w:type="dxa" w:w="50"/>
              <w:right w:type="dxa" w:w="90"/>
            </w:tcMar>
          </w:tcPr>
          <w:p>
            <w:pPr>
              <w:spacing w:after="0"/>
            </w:pPr>
            <w:r>
              <w:rPr>
                <w:b/>
                <w:bCs/>
                <w:sz w:val="19"/>
                <w:szCs w:val="19"/>
              </w:rPr>
              <w:t xml:space="preserve">Schlüssel</w:t>
            </w:r>
          </w:p>
        </w:tc>
        <w:tc>
          <w:tcPr>
            <w:tcW w:type="dxa" w:w="4323"/>
            <w:tcBorders>
              <w:top w:val="single" w:color="A6A6A6" w:sz="4"/>
              <w:left w:val="single" w:color="A6A6A6" w:sz="4"/>
              <w:bottom w:val="single" w:color="A6A6A6" w:sz="4"/>
              <w:right w:val="single" w:color="A6A6A6" w:sz="4"/>
            </w:tcBorders>
            <w:shd w:fill="D9D9D9" w:color="auto" w:val="clear"/>
            <w:tcMar>
              <w:top w:type="dxa" w:w="50"/>
              <w:left w:type="dxa" w:w="90"/>
              <w:bottom w:type="dxa" w:w="50"/>
              <w:right w:type="dxa" w:w="90"/>
            </w:tcMar>
          </w:tcPr>
          <w:p>
            <w:pPr>
              <w:spacing w:after="0"/>
            </w:pPr>
            <w:r>
              <w:rPr>
                <w:b/>
                <w:bCs/>
                <w:sz w:val="19"/>
                <w:szCs w:val="19"/>
              </w:rPr>
              <w:t xml:space="preserve">Bereich</w:t>
            </w:r>
          </w:p>
        </w:tc>
        <w:tc>
          <w:tcPr>
            <w:tcW w:type="dxa" w:w="4323"/>
            <w:tcBorders>
              <w:top w:val="single" w:color="A6A6A6" w:sz="4"/>
              <w:left w:val="single" w:color="A6A6A6" w:sz="4"/>
              <w:bottom w:val="single" w:color="A6A6A6" w:sz="4"/>
              <w:right w:val="single" w:color="A6A6A6" w:sz="4"/>
            </w:tcBorders>
            <w:shd w:fill="D9D9D9" w:color="auto" w:val="clear"/>
            <w:tcMar>
              <w:top w:type="dxa" w:w="50"/>
              <w:left w:type="dxa" w:w="90"/>
              <w:bottom w:type="dxa" w:w="50"/>
              <w:right w:type="dxa" w:w="90"/>
            </w:tcMar>
          </w:tcPr>
          <w:p>
            <w:pPr>
              <w:spacing w:after="0"/>
            </w:pPr>
            <w:r>
              <w:rPr>
                <w:b/>
                <w:bCs/>
                <w:sz w:val="19"/>
                <w:szCs w:val="19"/>
              </w:rPr>
              <w:t xml:space="preserve">Wo</w:t>
            </w:r>
          </w:p>
        </w:tc>
        <w:tc>
          <w:tcPr>
            <w:tcW w:type="dxa" w:w="4325"/>
            <w:tcBorders>
              <w:top w:val="single" w:color="A6A6A6" w:sz="4"/>
              <w:left w:val="single" w:color="A6A6A6" w:sz="4"/>
              <w:bottom w:val="single" w:color="A6A6A6" w:sz="4"/>
              <w:right w:val="single" w:color="A6A6A6" w:sz="4"/>
            </w:tcBorders>
            <w:shd w:fill="D9D9D9" w:color="auto" w:val="clear"/>
            <w:tcMar>
              <w:top w:type="dxa" w:w="50"/>
              <w:left w:type="dxa" w:w="90"/>
              <w:bottom w:type="dxa" w:w="50"/>
              <w:right w:type="dxa" w:w="90"/>
            </w:tcMar>
          </w:tcPr>
          <w:p>
            <w:pPr>
              <w:spacing w:after="0"/>
            </w:pPr>
            <w:r>
              <w:rPr>
                <w:b/>
                <w:bCs/>
                <w:sz w:val="19"/>
                <w:szCs w:val="19"/>
              </w:rPr>
              <w:t xml:space="preserve">Wozu</w:t>
            </w:r>
          </w:p>
        </w:tc>
      </w:tr>
      <w:tr>
        <w:trPr>
          <w:cantSplit/>
          <w:tblHeader w:val="false"/>
        </w:trPr>
        <w:tc>
          <w:tcPr>
            <w:tcW w:type="dxa" w:w="172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onsolas" w:cs="Consolas" w:eastAsia="Consolas" w:hAnsi="Consolas"/>
                <w:sz w:val="18"/>
                <w:szCs w:val="18"/>
              </w:rPr>
              <w:t xml:space="preserve">PROJEKTDATEI_IMPORT</w:t>
            </w:r>
          </w:p>
        </w:tc>
        <w:tc>
          <w:tcPr>
            <w:tcW w:type="dxa" w:w="432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Projektdatei des CAD-Programms (</w:t>
            </w:r>
            <w:r>
              <w:rPr>
                <w:rFonts w:ascii="Consolas" w:cs="Consolas" w:eastAsia="Consolas" w:hAnsi="Consolas"/>
                <w:sz w:val="18"/>
                <w:szCs w:val="18"/>
              </w:rPr>
              <w:t xml:space="preserve">.sqproj</w:t>
            </w:r>
            <w:r>
              <w:rPr>
                <w:sz w:val="19"/>
                <w:szCs w:val="19"/>
              </w:rPr>
              <w:t xml:space="preserve">) im Gebäudeimport: Quellenwahl „Format mit Projektdatei" und „nur Projektdatei", Knopf „Projektdatei dazuladen (.sqproj)…", „Projektdatei entfernen", Zonierungswahl DIN/Simulation</w:t>
            </w:r>
          </w:p>
        </w:tc>
        <w:tc>
          <w:tcPr>
            <w:tcW w:type="dxa" w:w="432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onsolas" w:cs="Consolas" w:eastAsia="Consolas" w:hAnsi="Consolas"/>
                <w:sz w:val="18"/>
                <w:szCs w:val="18"/>
              </w:rPr>
              <w:t xml:space="preserve">EPOS.UI/Dialoge/Import/GebaeudeImportDialog.razor</w:t>
            </w:r>
            <w:r>
              <w:rPr>
                <w:sz w:val="19"/>
                <w:szCs w:val="19"/>
              </w:rPr>
              <w:t xml:space="preserve">, Hülle </w:t>
            </w:r>
            <w:r>
              <w:rPr>
                <w:rFonts w:ascii="Consolas" w:cs="Consolas" w:eastAsia="Consolas" w:hAnsi="Consolas"/>
                <w:sz w:val="18"/>
                <w:szCs w:val="18"/>
              </w:rPr>
              <w:t xml:space="preserve">EPOS.UI.Daten/Bedarf/GebaeudeImportHuelle.cs</w:t>
            </w:r>
            <w:r>
              <w:rPr>
                <w:sz w:val="19"/>
                <w:szCs w:val="19"/>
              </w:rPr>
              <w:t xml:space="preserve"> (Parameter </w:t>
            </w:r>
            <w:r>
              <w:rPr>
                <w:rFonts w:ascii="Consolas" w:cs="Consolas" w:eastAsia="Consolas" w:hAnsi="Consolas"/>
                <w:sz w:val="18"/>
                <w:szCs w:val="18"/>
              </w:rPr>
              <w:t xml:space="preserve">ProjektdateiFreigegeben</w:t>
            </w:r>
            <w:r>
              <w:rPr>
                <w:sz w:val="19"/>
                <w:szCs w:val="19"/>
              </w:rPr>
              <w:t xml:space="preserve">), Kern </w:t>
            </w:r>
            <w:r>
              <w:rPr>
                <w:rFonts w:ascii="Consolas" w:cs="Consolas" w:eastAsia="Consolas" w:hAnsi="Consolas"/>
                <w:sz w:val="18"/>
                <w:szCs w:val="18"/>
              </w:rPr>
              <w:t xml:space="preserve">EPOS.Kern/Allgemein/Import/Sqproj/</w:t>
            </w:r>
            <w:r>
              <w:rPr>
                <w:sz w:val="19"/>
                <w:szCs w:val="19"/>
              </w:rPr>
              <w:t xml:space="preserve"> (Datenaustauschkonzept Kapitel 16)</w:t>
            </w:r>
          </w:p>
        </w:tc>
        <w:tc>
          <w:tcPr>
            <w:tcW w:type="dxa" w:w="432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Zonen, Nutzung, Ganglinien und Kalender aus HottCAD zur IFC-Datei dazuladen</w:t>
            </w:r>
          </w:p>
        </w:tc>
      </w:tr>
      <w:tr>
        <w:trPr>
          <w:cantSplit/>
          <w:tblHeader w:val="false"/>
        </w:trPr>
        <w:tc>
          <w:tcPr>
            <w:tcW w:type="dxa" w:w="172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onsolas" w:cs="Consolas" w:eastAsia="Consolas" w:hAnsi="Consolas"/>
                <w:sz w:val="18"/>
                <w:szCs w:val="18"/>
              </w:rPr>
              <w:t xml:space="preserve">PROJEKTDATEI_PROFILE</w:t>
            </w:r>
          </w:p>
        </w:tc>
        <w:tc>
          <w:tcPr>
            <w:tcW w:type="dxa" w:w="432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„Aus Projektdatei…" im Blatt Nutzungsprofile und „Nutzungsprofile der Datei übernehmen…" im Import</w:t>
            </w:r>
          </w:p>
        </w:tc>
        <w:tc>
          <w:tcPr>
            <w:tcW w:type="dxa" w:w="432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onsolas" w:cs="Consolas" w:eastAsia="Consolas" w:hAnsi="Consolas"/>
                <w:sz w:val="18"/>
                <w:szCs w:val="18"/>
              </w:rPr>
              <w:t xml:space="preserve">EPOS.UI/Dialoge/Bedarf/ProjektdateiProfile.razor</w:t>
            </w:r>
            <w:r>
              <w:rPr>
                <w:sz w:val="19"/>
                <w:szCs w:val="19"/>
              </w:rPr>
              <w:t xml:space="preserve">, Wirt </w:t>
            </w:r>
            <w:r>
              <w:rPr>
                <w:rFonts w:ascii="Consolas" w:cs="Consolas" w:eastAsia="Consolas" w:hAnsi="Consolas"/>
                <w:sz w:val="18"/>
                <w:szCs w:val="18"/>
              </w:rPr>
              <w:t xml:space="preserve">RaumnutzungBlatt.razor</w:t>
            </w:r>
            <w:r>
              <w:rPr>
                <w:sz w:val="19"/>
                <w:szCs w:val="19"/>
              </w:rPr>
              <w:t xml:space="preserve">, Hülle </w:t>
            </w:r>
            <w:r>
              <w:rPr>
                <w:rFonts w:ascii="Consolas" w:cs="Consolas" w:eastAsia="Consolas" w:hAnsi="Consolas"/>
                <w:sz w:val="18"/>
                <w:szCs w:val="18"/>
              </w:rPr>
              <w:t xml:space="preserve">ProjektdateiProfileHuelle.cs</w:t>
            </w:r>
            <w:r>
              <w:rPr>
                <w:sz w:val="19"/>
                <w:szCs w:val="19"/>
              </w:rPr>
              <w:t xml:space="preserve">; Parameter </w:t>
            </w:r>
            <w:r>
              <w:rPr>
                <w:rFonts w:ascii="Consolas" w:cs="Consolas" w:eastAsia="Consolas" w:hAnsi="Consolas"/>
                <w:sz w:val="18"/>
                <w:szCs w:val="18"/>
              </w:rPr>
              <w:t xml:space="preserve">RaumnutzungWeg.ProjektdateiFreigegeben</w:t>
            </w:r>
          </w:p>
        </w:tc>
        <w:tc>
          <w:tcPr>
            <w:tcW w:type="dxa" w:w="432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Profile je DIN-Nummer in einer eigenen Katalogkategorie anlegen</w:t>
            </w:r>
          </w:p>
        </w:tc>
      </w:tr>
      <w:tr>
        <w:trPr>
          <w:cantSplit/>
          <w:tblHeader w:val="false"/>
        </w:trPr>
        <w:tc>
          <w:tcPr>
            <w:tcW w:type="dxa" w:w="172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onsolas" w:cs="Consolas" w:eastAsia="Consolas" w:hAnsi="Consolas"/>
                <w:sz w:val="18"/>
                <w:szCs w:val="18"/>
              </w:rPr>
              <w:t xml:space="preserve">PROJEKTDATEI_IOS</w:t>
            </w:r>
          </w:p>
        </w:tc>
        <w:tc>
          <w:tcPr>
            <w:tcW w:type="dxa" w:w="432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Dateiendung </w:t>
            </w:r>
            <w:r>
              <w:rPr>
                <w:rFonts w:ascii="Consolas" w:cs="Consolas" w:eastAsia="Consolas" w:hAnsi="Consolas"/>
                <w:sz w:val="18"/>
                <w:szCs w:val="18"/>
              </w:rPr>
              <w:t xml:space="preserve">.sqproj</w:t>
            </w:r>
            <w:r>
              <w:rPr>
                <w:sz w:val="19"/>
                <w:szCs w:val="19"/>
              </w:rPr>
              <w:t xml:space="preserve"> in der iOS-Dateiwahl</w:t>
            </w:r>
          </w:p>
        </w:tc>
        <w:tc>
          <w:tcPr>
            <w:tcW w:type="dxa" w:w="432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onsolas" w:cs="Consolas" w:eastAsia="Consolas" w:hAnsi="Consolas"/>
                <w:sz w:val="18"/>
                <w:szCs w:val="18"/>
              </w:rPr>
              <w:t xml:space="preserve">EPOS.iOS/Dienste/Dateifilter.cs</w:t>
            </w:r>
            <w:r>
              <w:rPr>
                <w:sz w:val="19"/>
                <w:szCs w:val="19"/>
              </w:rPr>
              <w:t xml:space="preserve"> (ohne Modus ohne </w:t>
            </w:r>
            <w:r>
              <w:rPr>
                <w:rFonts w:ascii="Consolas" w:cs="Consolas" w:eastAsia="Consolas" w:hAnsi="Consolas"/>
                <w:sz w:val="18"/>
                <w:szCs w:val="18"/>
              </w:rPr>
              <w:t xml:space="preserve">.sqproj</w:t>
            </w:r>
            <w:r>
              <w:rPr>
                <w:sz w:val="19"/>
                <w:szCs w:val="19"/>
              </w:rPr>
              <w:t xml:space="preserve">; nicht gebaut)</w:t>
            </w:r>
          </w:p>
        </w:tc>
        <w:tc>
          <w:tcPr>
            <w:tcW w:type="dxa" w:w="432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nur im Modus wählbar</w:t>
            </w:r>
          </w:p>
        </w:tc>
      </w:tr>
      <w:tr>
        <w:trPr>
          <w:cantSplit/>
          <w:tblHeader w:val="false"/>
        </w:trPr>
        <w:tc>
          <w:tcPr>
            <w:tcW w:type="dxa" w:w="172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onsolas" w:cs="Consolas" w:eastAsia="Consolas" w:hAnsi="Consolas"/>
                <w:sz w:val="18"/>
                <w:szCs w:val="18"/>
              </w:rPr>
              <w:t xml:space="preserve">PROJEKTDATEI_KI</w:t>
            </w:r>
          </w:p>
        </w:tc>
        <w:tc>
          <w:tcPr>
            <w:tcW w:type="dxa" w:w="432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Feldkarten und Aktionen der Projektdatei für den Hilfe-Assistenten</w:t>
            </w:r>
          </w:p>
        </w:tc>
        <w:tc>
          <w:tcPr>
            <w:tcW w:type="dxa" w:w="432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onsolas" w:cs="Consolas" w:eastAsia="Consolas" w:hAnsi="Consolas"/>
                <w:sz w:val="18"/>
                <w:szCs w:val="18"/>
              </w:rPr>
              <w:t xml:space="preserve">EPOS.Kern/Allgemein/KI/Dialoge/KiDialoge.cs</w:t>
            </w:r>
            <w:r>
              <w:rPr>
                <w:sz w:val="19"/>
                <w:szCs w:val="19"/>
              </w:rPr>
              <w:t xml:space="preserve"> (</w:t>
            </w:r>
            <w:r>
              <w:rPr>
                <w:rFonts w:ascii="Consolas" w:cs="Consolas" w:eastAsia="Consolas" w:hAnsi="Consolas"/>
                <w:sz w:val="18"/>
                <w:szCs w:val="18"/>
              </w:rPr>
              <w:t xml:space="preserve">KiDialoge.NUR_ENTWICKLER</w:t>
            </w:r>
            <w:r>
              <w:rPr>
                <w:sz w:val="19"/>
                <w:szCs w:val="19"/>
              </w:rPr>
              <w:t xml:space="preserve">), Absage </w:t>
            </w:r>
            <w:r>
              <w:rPr>
                <w:rFonts w:ascii="Consolas" w:cs="Consolas" w:eastAsia="Consolas" w:hAnsi="Consolas"/>
                <w:sz w:val="18"/>
                <w:szCs w:val="18"/>
              </w:rPr>
              <w:t xml:space="preserve">KI_ABSAGE_NUR_ENTWICKLER</w:t>
            </w:r>
            <w:r>
              <w:rPr>
                <w:sz w:val="19"/>
                <w:szCs w:val="19"/>
              </w:rPr>
              <w:t xml:space="preserve"> in </w:t>
            </w:r>
            <w:r>
              <w:rPr>
                <w:rFonts w:ascii="Consolas" w:cs="Consolas" w:eastAsia="Consolas" w:hAnsi="Consolas"/>
                <w:sz w:val="18"/>
                <w:szCs w:val="18"/>
              </w:rPr>
              <w:t xml:space="preserve">KiAktionenDialog.FeldzugangGrund</w:t>
            </w:r>
          </w:p>
        </w:tc>
        <w:tc>
          <w:tcPr>
            <w:tcW w:type="dxa" w:w="432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ohne Modus benannte Absage des Assistenten</w:t>
            </w:r>
          </w:p>
        </w:tc>
      </w:tr>
      <w:tr>
        <w:trPr>
          <w:cantSplit/>
          <w:tblHeader w:val="false"/>
        </w:trPr>
        <w:tc>
          <w:tcPr>
            <w:tcW w:type="dxa" w:w="172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onsolas" w:cs="Consolas" w:eastAsia="Consolas" w:hAnsi="Consolas"/>
                <w:sz w:val="18"/>
                <w:szCs w:val="18"/>
              </w:rPr>
              <w:t xml:space="preserve">KATALOG_WIEDERHERSTELLEN</w:t>
            </w:r>
          </w:p>
        </w:tc>
        <w:tc>
          <w:tcPr>
            <w:tcW w:type="dxa" w:w="432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„Auslieferungsstand wiederherstellen…" des Katalogabgleichs</w:t>
            </w:r>
          </w:p>
        </w:tc>
        <w:tc>
          <w:tcPr>
            <w:tcW w:type="dxa" w:w="432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onsolas" w:cs="Consolas" w:eastAsia="Consolas" w:hAnsi="Consolas"/>
                <w:sz w:val="18"/>
                <w:szCs w:val="18"/>
              </w:rPr>
              <w:t xml:space="preserve">KatalogabgleichDialog.razor</w:t>
            </w:r>
            <w:r>
              <w:rPr>
                <w:sz w:val="19"/>
                <w:szCs w:val="19"/>
              </w:rPr>
              <w:t xml:space="preserve"> (Parameter </w:t>
            </w:r>
            <w:r>
              <w:rPr>
                <w:rFonts w:ascii="Consolas" w:cs="Consolas" w:eastAsia="Consolas" w:hAnsi="Consolas"/>
                <w:sz w:val="18"/>
                <w:szCs w:val="18"/>
              </w:rPr>
              <w:t xml:space="preserve">Entwickler</w:t>
            </w:r>
            <w:r>
              <w:rPr>
                <w:sz w:val="19"/>
                <w:szCs w:val="19"/>
              </w:rPr>
              <w:t xml:space="preserve">), Kern </w:t>
            </w:r>
            <w:r>
              <w:rPr>
                <w:rFonts w:ascii="Consolas" w:cs="Consolas" w:eastAsia="Consolas" w:hAnsi="Consolas"/>
                <w:sz w:val="18"/>
                <w:szCs w:val="18"/>
              </w:rPr>
              <w:t xml:space="preserve">Katalogabgleich.Wiederherstellen</w:t>
            </w:r>
            <w:r>
              <w:rPr>
                <w:sz w:val="19"/>
                <w:szCs w:val="19"/>
              </w:rPr>
              <w:t xml:space="preserve">; im Modus über </w:t>
            </w:r>
            <w:r>
              <w:rPr>
                <w:i/>
                <w:iCs/>
                <w:sz w:val="19"/>
                <w:szCs w:val="19"/>
              </w:rPr>
              <w:t xml:space="preserve">Entwicklung</w:t>
            </w:r>
          </w:p>
        </w:tc>
        <w:tc>
          <w:tcPr>
            <w:tcW w:type="dxa" w:w="432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Reparatur eines behaltenen Katalogsatzes</w:t>
            </w:r>
          </w:p>
        </w:tc>
      </w:tr>
      <w:tr>
        <w:trPr>
          <w:cantSplit/>
          <w:tblHeader w:val="false"/>
        </w:trPr>
        <w:tc>
          <w:tcPr>
            <w:tcW w:type="dxa" w:w="172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onsolas" w:cs="Consolas" w:eastAsia="Consolas" w:hAnsi="Consolas"/>
                <w:sz w:val="18"/>
                <w:szCs w:val="18"/>
              </w:rPr>
              <w:t xml:space="preserve">KI_WERKZEUGE</w:t>
            </w:r>
          </w:p>
        </w:tc>
        <w:tc>
          <w:tcPr>
            <w:tcW w:type="dxa" w:w="432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KI-Chat: „Werkzeuge…", „Protokoll anzeigen", Modellwahl und „Weg B" in den KI-Einstellungen</w:t>
            </w:r>
          </w:p>
        </w:tc>
        <w:tc>
          <w:tcPr>
            <w:tcW w:type="dxa" w:w="432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onsolas" w:cs="Consolas" w:eastAsia="Consolas" w:hAnsi="Consolas"/>
                <w:sz w:val="18"/>
                <w:szCs w:val="18"/>
              </w:rPr>
              <w:t xml:space="preserve">EPOS.UI/Dialoge/Hilfe/KiChatDialog.razor</w:t>
            </w:r>
            <w:r>
              <w:rPr>
                <w:sz w:val="19"/>
                <w:szCs w:val="19"/>
              </w:rPr>
              <w:t xml:space="preserve">, </w:t>
            </w:r>
            <w:r>
              <w:rPr>
                <w:rFonts w:ascii="Consolas" w:cs="Consolas" w:eastAsia="Consolas" w:hAnsi="Consolas"/>
                <w:sz w:val="18"/>
                <w:szCs w:val="18"/>
              </w:rPr>
              <w:t xml:space="preserve">KiEinstellungenDialog.razor</w:t>
            </w:r>
            <w:r>
              <w:rPr>
                <w:sz w:val="19"/>
                <w:szCs w:val="19"/>
              </w:rPr>
              <w:t xml:space="preserve"> (je Parameter </w:t>
            </w:r>
            <w:r>
              <w:rPr>
                <w:rFonts w:ascii="Consolas" w:cs="Consolas" w:eastAsia="Consolas" w:hAnsi="Consolas"/>
                <w:sz w:val="18"/>
                <w:szCs w:val="18"/>
              </w:rPr>
              <w:t xml:space="preserve">Entwickler</w:t>
            </w:r>
            <w:r>
              <w:rPr>
                <w:sz w:val="19"/>
                <w:szCs w:val="19"/>
              </w:rPr>
              <w:t xml:space="preserve">)</w:t>
            </w:r>
          </w:p>
        </w:tc>
        <w:tc>
          <w:tcPr>
            <w:tcW w:type="dxa" w:w="432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Prüf- und Fehlersuchwerkzeuge des Assistenten; „Was wird gesendet?" bleibt für alle</w:t>
            </w:r>
          </w:p>
        </w:tc>
      </w:tr>
      <w:tr>
        <w:trPr>
          <w:cantSplit/>
          <w:tblHeader w:val="false"/>
        </w:trPr>
        <w:tc>
          <w:tcPr>
            <w:tcW w:type="dxa" w:w="172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onsolas" w:cs="Consolas" w:eastAsia="Consolas" w:hAnsi="Consolas"/>
                <w:sz w:val="18"/>
                <w:szCs w:val="18"/>
              </w:rPr>
              <w:t xml:space="preserve">EXPORT_IDS</w:t>
            </w:r>
          </w:p>
        </w:tc>
        <w:tc>
          <w:tcPr>
            <w:tcW w:type="dxa" w:w="432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„Exportzusage (IDS) öffnen…" im Gebäudeexport</w:t>
            </w:r>
          </w:p>
        </w:tc>
        <w:tc>
          <w:tcPr>
            <w:tcW w:type="dxa" w:w="432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onsolas" w:cs="Consolas" w:eastAsia="Consolas" w:hAnsi="Consolas"/>
                <w:sz w:val="18"/>
                <w:szCs w:val="18"/>
              </w:rPr>
              <w:t xml:space="preserve">EPOS.UI/Dialoge/Export/GebaeudeExportDialog.razor</w:t>
            </w:r>
            <w:r>
              <w:rPr>
                <w:sz w:val="19"/>
                <w:szCs w:val="19"/>
              </w:rPr>
              <w:t xml:space="preserve"> (Parameter </w:t>
            </w:r>
            <w:r>
              <w:rPr>
                <w:rFonts w:ascii="Consolas" w:cs="Consolas" w:eastAsia="Consolas" w:hAnsi="Consolas"/>
                <w:sz w:val="18"/>
                <w:szCs w:val="18"/>
              </w:rPr>
              <w:t xml:space="preserve">ZusageFreigegeben</w:t>
            </w:r>
            <w:r>
              <w:rPr>
                <w:sz w:val="19"/>
                <w:szCs w:val="19"/>
              </w:rPr>
              <w:t xml:space="preserve">)</w:t>
            </w:r>
          </w:p>
        </w:tc>
        <w:tc>
          <w:tcPr>
            <w:tcW w:type="dxa" w:w="432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Prüfartefakt des IFC-Exports</w:t>
            </w:r>
          </w:p>
        </w:tc>
      </w:tr>
      <w:tr>
        <w:trPr>
          <w:cantSplit/>
          <w:tblHeader w:val="false"/>
        </w:trPr>
        <w:tc>
          <w:tcPr>
            <w:tcW w:type="dxa" w:w="172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onsolas" w:cs="Consolas" w:eastAsia="Consolas" w:hAnsi="Consolas"/>
                <w:sz w:val="18"/>
                <w:szCs w:val="18"/>
              </w:rPr>
              <w:t xml:space="preserve">WEBVIEW_WERKZEUGE</w:t>
            </w:r>
          </w:p>
        </w:tc>
        <w:tc>
          <w:tcPr>
            <w:tcW w:type="dxa" w:w="432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Entwicklerwerkzeuge der WebView2 (Strg + Umschalt + I)</w:t>
            </w:r>
          </w:p>
        </w:tc>
        <w:tc>
          <w:tcPr>
            <w:tcW w:type="dxa" w:w="432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onsolas" w:cs="Consolas" w:eastAsia="Consolas" w:hAnsi="Consolas"/>
                <w:sz w:val="18"/>
                <w:szCs w:val="18"/>
              </w:rPr>
              <w:t xml:space="preserve">WindowsFormsApplication1/Allgemein/Blazor/BlazorDienste.cs</w:t>
            </w:r>
            <w:r>
              <w:rPr>
                <w:sz w:val="19"/>
                <w:szCs w:val="19"/>
              </w:rPr>
              <w:t xml:space="preserve"> (</w:t>
            </w:r>
            <w:r>
              <w:rPr>
                <w:rFonts w:ascii="Consolas" w:cs="Consolas" w:eastAsia="Consolas" w:hAnsi="Consolas"/>
                <w:sz w:val="18"/>
                <w:szCs w:val="18"/>
              </w:rPr>
              <w:t xml:space="preserve">WebviewWerkzeugeFreigegeben</w:t>
            </w:r>
            <w:r>
              <w:rPr>
                <w:sz w:val="19"/>
                <w:szCs w:val="19"/>
              </w:rPr>
              <w:t xml:space="preserve">: Debug-Build oder Modus; </w:t>
            </w:r>
            <w:r>
              <w:rPr>
                <w:rFonts w:ascii="Consolas" w:cs="Consolas" w:eastAsia="Consolas" w:hAnsi="Consolas"/>
                <w:sz w:val="18"/>
                <w:szCs w:val="18"/>
              </w:rPr>
              <w:t xml:space="preserve">AddBlazorWebViewDeveloperTools</w:t>
            </w:r>
            <w:r>
              <w:rPr>
                <w:sz w:val="19"/>
                <w:szCs w:val="19"/>
              </w:rPr>
              <w:t xml:space="preserve">)</w:t>
            </w:r>
          </w:p>
        </w:tc>
        <w:tc>
          <w:tcPr>
            <w:tcW w:type="dxa" w:w="432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DOM, Stilblatt, Konsole, Netz der Razor-Oberfläche im Release beim Kunden</w:t>
            </w:r>
          </w:p>
        </w:tc>
      </w:tr>
    </w:tbl>
    <w:p>
      <w:pPr>
        <w:spacing w:after="120"/>
      </w:pPr>
    </w:p>
    <w:p>
      <w:pPr>
        <w:sectPr>
          <w:headerReference w:type="default" r:id="rId9"/>
          <w:footerReference w:type="default" r:id="rId10"/>
          <w:type w:val="nextPage"/>
          <w:pgSz w:w="16838" w:h="11906" w:orient="landscape"/>
          <w:pgMar w:top="1417" w:right="1134" w:bottom="1417" w:left="1134" w:header="708" w:footer="708" w:gutter="0"/>
          <w:pgNumType/>
          <w:docGrid w:linePitch="360"/>
        </w:sectPr>
      </w:pPr>
    </w:p>
    <w:p>
      <w:pPr>
        <w:spacing w:after="120"/>
      </w:pPr>
      <w:r>
        <w:t xml:space="preserve">Bewusst </w:t>
      </w:r>
      <w:r>
        <w:rPr>
          <w:b/>
          <w:bCs/>
        </w:rPr>
        <w:t xml:space="preserve">kein</w:t>
      </w:r>
      <w:r>
        <w:t xml:space="preserve"> Entwicklerbereich: Katalog-Dublettensuche, Schloss eines Auslieferungssatzes, Zapfprofil-Stufe „Experte", Gebäude-Rechenweg „Tagesbilanz", „Was wird gesendet?" im KI-Chat. Bewusst </w:t>
      </w:r>
      <w:r>
        <w:rPr>
          <w:b/>
          <w:bCs/>
        </w:rPr>
        <w:t xml:space="preserve">Build-Schalter</w:t>
      </w:r>
      <w:r>
        <w:t xml:space="preserve"> bleiben die elf Prüfhaken </w:t>
      </w:r>
      <w:r>
        <w:rPr>
          <w:rFonts w:ascii="Consolas" w:cs="Consolas" w:eastAsia="Consolas" w:hAnsi="Consolas"/>
          <w:sz w:val="20"/>
          <w:szCs w:val="20"/>
        </w:rPr>
        <w:t xml:space="preserve">#if DEBUG</w:t>
      </w:r>
      <w:r>
        <w:t xml:space="preserve"> unter </w:t>
      </w:r>
      <w:r>
        <w:rPr>
          <w:rFonts w:ascii="Consolas" w:cs="Consolas" w:eastAsia="Consolas" w:hAnsi="Consolas"/>
          <w:sz w:val="20"/>
          <w:szCs w:val="20"/>
        </w:rPr>
        <w:t xml:space="preserve">EPOS.Kern/Allgemein/Simulation/</w:t>
      </w:r>
      <w:r>
        <w:t xml:space="preserve"> (sie verändern den Rechenweg). Ebenso kein Entwicklerbereich sind die fünf Rechenvorgaben des Zapfprofils (</w:t>
      </w:r>
      <w:r>
        <w:rPr>
          <w:rFonts w:ascii="Consolas" w:cs="Consolas" w:eastAsia="Consolas" w:hAnsi="Consolas"/>
          <w:sz w:val="20"/>
          <w:szCs w:val="20"/>
        </w:rPr>
        <w:t xml:space="preserve">Zapfprofil.Anzeigetemperatur</w:t>
      </w:r>
      <w:r>
        <w:t xml:space="preserve">, </w:t>
      </w:r>
      <w:r>
        <w:rPr>
          <w:rFonts w:ascii="Consolas" w:cs="Consolas" w:eastAsia="Consolas" w:hAnsi="Consolas"/>
          <w:sz w:val="20"/>
          <w:szCs w:val="20"/>
        </w:rPr>
        <w:t xml:space="preserve">Zapfprofil.Stundenschwelle</w:t>
      </w:r>
      <w:r>
        <w:t xml:space="preserve">, </w:t>
      </w:r>
      <w:r>
        <w:rPr>
          <w:rFonts w:ascii="Consolas" w:cs="Consolas" w:eastAsia="Consolas" w:hAnsi="Consolas"/>
          <w:sz w:val="20"/>
          <w:szCs w:val="20"/>
        </w:rPr>
        <w:t xml:space="preserve">Zapfprofil.Nenninhalte</w:t>
      </w:r>
      <w:r>
        <w:t xml:space="preserve">, </w:t>
      </w:r>
      <w:r>
        <w:rPr>
          <w:rFonts w:ascii="Consolas" w:cs="Consolas" w:eastAsia="Consolas" w:hAnsi="Consolas"/>
          <w:sz w:val="20"/>
          <w:szCs w:val="20"/>
        </w:rPr>
        <w:t xml:space="preserve">Zapfprofil.Katalogordner</w:t>
      </w:r>
      <w:r>
        <w:t xml:space="preserve">, </w:t>
      </w:r>
      <w:r>
        <w:rPr>
          <w:rFonts w:ascii="Consolas" w:cs="Consolas" w:eastAsia="Consolas" w:hAnsi="Consolas"/>
          <w:sz w:val="20"/>
          <w:szCs w:val="20"/>
        </w:rPr>
        <w:t xml:space="preserve">Zapfprofil.Importordner</w:t>
      </w:r>
      <w:r>
        <w:t xml:space="preserve">): Sie stehen für alle Anwender in der Rubrik „Zapfprofil" des Einstellungsdialogs (</w:t>
      </w:r>
      <w:r>
        <w:rPr>
          <w:rFonts w:ascii="Consolas" w:cs="Consolas" w:eastAsia="Consolas" w:hAnsi="Consolas"/>
          <w:sz w:val="20"/>
          <w:szCs w:val="20"/>
        </w:rPr>
        <w:t xml:space="preserve">EinstellungenDialog.razor</w:t>
      </w:r>
      <w:r>
        <w:t xml:space="preserve">, Reiterblatt </w:t>
      </w:r>
      <w:r>
        <w:rPr>
          <w:rFonts w:ascii="Consolas" w:cs="Consolas" w:eastAsia="Consolas" w:hAnsi="Consolas"/>
          <w:sz w:val="20"/>
          <w:szCs w:val="20"/>
        </w:rPr>
        <w:t xml:space="preserve">ZAPFPROFIL</w:t>
      </w:r>
      <w:r>
        <w:t xml:space="preserve">; Felder </w:t>
      </w:r>
      <w:r>
        <w:rPr>
          <w:rFonts w:ascii="Consolas" w:cs="Consolas" w:eastAsia="Consolas" w:hAnsi="Consolas"/>
          <w:sz w:val="20"/>
          <w:szCs w:val="20"/>
        </w:rPr>
        <w:t xml:space="preserve">Zapf*</w:t>
      </w:r>
      <w:r>
        <w:t xml:space="preserve"> in </w:t>
      </w:r>
      <w:r>
        <w:rPr>
          <w:rFonts w:ascii="Consolas" w:cs="Consolas" w:eastAsia="Consolas" w:hAnsi="Consolas"/>
          <w:sz w:val="20"/>
          <w:szCs w:val="20"/>
        </w:rPr>
        <w:t xml:space="preserve">EinstellungenCtrl</w:t>
      </w:r>
      <w:r>
        <w:t xml:space="preserve">).</w:t>
      </w:r>
    </w:p>
    <w:p>
      <w:pPr>
        <w:pStyle w:val="Heading2"/>
      </w:pPr>
      <w:r>
        <w:t xml:space="preserve">2.2 Der Menükopf „Entwicklung"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76"/>
        <w:gridCol w:w="3300"/>
        <w:gridCol w:w="3962"/>
      </w:tblGrid>
      <w:tr>
        <w:trPr>
          <w:cantSplit/>
          <w:tblHeader/>
        </w:trPr>
        <w:tc>
          <w:tcPr>
            <w:tcW w:type="dxa" w:w="2376"/>
            <w:tcBorders>
              <w:top w:val="single" w:color="A6A6A6" w:sz="4"/>
              <w:left w:val="single" w:color="A6A6A6" w:sz="4"/>
              <w:bottom w:val="single" w:color="A6A6A6" w:sz="4"/>
              <w:right w:val="single" w:color="A6A6A6" w:sz="4"/>
            </w:tcBorders>
            <w:shd w:fill="D9D9D9" w:color="auto" w:val="clear"/>
            <w:tcMar>
              <w:top w:type="dxa" w:w="50"/>
              <w:left w:type="dxa" w:w="90"/>
              <w:bottom w:type="dxa" w:w="50"/>
              <w:right w:type="dxa" w:w="90"/>
            </w:tcMar>
          </w:tcPr>
          <w:p>
            <w:pPr>
              <w:spacing w:after="0"/>
            </w:pPr>
            <w:r>
              <w:rPr>
                <w:b/>
                <w:bCs/>
                <w:sz w:val="19"/>
                <w:szCs w:val="19"/>
              </w:rPr>
              <w:t xml:space="preserve">Punkt</w:t>
            </w:r>
          </w:p>
        </w:tc>
        <w:tc>
          <w:tcPr>
            <w:tcW w:type="dxa" w:w="3300"/>
            <w:tcBorders>
              <w:top w:val="single" w:color="A6A6A6" w:sz="4"/>
              <w:left w:val="single" w:color="A6A6A6" w:sz="4"/>
              <w:bottom w:val="single" w:color="A6A6A6" w:sz="4"/>
              <w:right w:val="single" w:color="A6A6A6" w:sz="4"/>
            </w:tcBorders>
            <w:shd w:fill="D9D9D9" w:color="auto" w:val="clear"/>
            <w:tcMar>
              <w:top w:type="dxa" w:w="50"/>
              <w:left w:type="dxa" w:w="90"/>
              <w:bottom w:type="dxa" w:w="50"/>
              <w:right w:type="dxa" w:w="90"/>
            </w:tcMar>
          </w:tcPr>
          <w:p>
            <w:pPr>
              <w:spacing w:after="0"/>
            </w:pPr>
            <w:r>
              <w:rPr>
                <w:b/>
                <w:bCs/>
                <w:sz w:val="19"/>
                <w:szCs w:val="19"/>
              </w:rPr>
              <w:t xml:space="preserve">Tut</w:t>
            </w:r>
          </w:p>
        </w:tc>
        <w:tc>
          <w:tcPr>
            <w:tcW w:type="dxa" w:w="3962"/>
            <w:tcBorders>
              <w:top w:val="single" w:color="A6A6A6" w:sz="4"/>
              <w:left w:val="single" w:color="A6A6A6" w:sz="4"/>
              <w:bottom w:val="single" w:color="A6A6A6" w:sz="4"/>
              <w:right w:val="single" w:color="A6A6A6" w:sz="4"/>
            </w:tcBorders>
            <w:shd w:fill="D9D9D9" w:color="auto" w:val="clear"/>
            <w:tcMar>
              <w:top w:type="dxa" w:w="50"/>
              <w:left w:type="dxa" w:w="90"/>
              <w:bottom w:type="dxa" w:w="50"/>
              <w:right w:type="dxa" w:w="90"/>
            </w:tcMar>
          </w:tcPr>
          <w:p>
            <w:pPr>
              <w:spacing w:after="0"/>
            </w:pPr>
            <w:r>
              <w:rPr>
                <w:b/>
                <w:bCs/>
                <w:sz w:val="19"/>
                <w:szCs w:val="19"/>
              </w:rPr>
              <w:t xml:space="preserve">Hinweis</w:t>
            </w:r>
          </w:p>
        </w:tc>
      </w:tr>
      <w:tr>
        <w:trPr>
          <w:cantSplit/>
          <w:tblHeader w:val="false"/>
        </w:trPr>
        <w:tc>
          <w:tcPr>
            <w:tcW w:type="dxa" w:w="237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Ausnahmeprotokoll öffnen</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öffnet </w:t>
            </w:r>
            <w:r>
              <w:rPr>
                <w:rFonts w:ascii="Consolas" w:cs="Consolas" w:eastAsia="Consolas" w:hAnsi="Consolas"/>
                <w:sz w:val="18"/>
                <w:szCs w:val="18"/>
              </w:rPr>
              <w:t xml:space="preserve">Logs\Ausnahmen.txt</w:t>
            </w:r>
            <w:r>
              <w:rPr>
                <w:sz w:val="19"/>
                <w:szCs w:val="19"/>
              </w:rPr>
              <w:t xml:space="preserve"> mit dem Standardprogramm</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erster Handgriff bei einem wortlosen Absturz (Abschnitt 3.2)</w:t>
            </w:r>
          </w:p>
        </w:tc>
      </w:tr>
      <w:tr>
        <w:trPr>
          <w:cantSplit/>
          <w:tblHeader w:val="false"/>
        </w:trPr>
        <w:tc>
          <w:tcPr>
            <w:tcW w:type="dxa" w:w="237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Protokollordner öffnen</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Explorer auf </w:t>
            </w:r>
            <w:r>
              <w:rPr>
                <w:rFonts w:ascii="Consolas" w:cs="Consolas" w:eastAsia="Consolas" w:hAnsi="Consolas"/>
                <w:sz w:val="18"/>
                <w:szCs w:val="18"/>
              </w:rPr>
              <w:t xml:space="preserve">Logs\</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Ausnahmen, Migration, KI-Aktionen</w:t>
            </w:r>
          </w:p>
        </w:tc>
      </w:tr>
      <w:tr>
        <w:trPr>
          <w:cantSplit/>
          <w:tblHeader w:val="false"/>
        </w:trPr>
        <w:tc>
          <w:tcPr>
            <w:tcW w:type="dxa" w:w="237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Datenbankordner öffnen</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Explorer auf </w:t>
            </w:r>
            <w:r>
              <w:rPr>
                <w:rFonts w:ascii="Consolas" w:cs="Consolas" w:eastAsia="Consolas" w:hAnsi="Consolas"/>
                <w:sz w:val="18"/>
                <w:szCs w:val="18"/>
              </w:rPr>
              <w:t xml:space="preserve">%ProgramData%\EPOS_PLAN</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Datenbank, </w:t>
            </w:r>
            <w:r>
              <w:rPr>
                <w:rFonts w:ascii="Consolas" w:cs="Consolas" w:eastAsia="Consolas" w:hAnsi="Consolas"/>
                <w:sz w:val="18"/>
                <w:szCs w:val="18"/>
              </w:rPr>
              <w:t xml:space="preserve">DB-Backup</w:t>
            </w:r>
            <w:r>
              <w:rPr>
                <w:sz w:val="19"/>
                <w:szCs w:val="19"/>
              </w:rPr>
              <w:t xml:space="preserve">, Vorlage</w:t>
            </w:r>
          </w:p>
        </w:tc>
      </w:tr>
      <w:tr>
        <w:trPr>
          <w:cantSplit/>
          <w:tblHeader w:val="false"/>
        </w:trPr>
        <w:tc>
          <w:tcPr>
            <w:tcW w:type="dxa" w:w="237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Diagnosedaten kopieren</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Textblock aus Abschnitt 3.3 in die Zwischenablage</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heute schon der Kern-Baustein </w:t>
            </w:r>
            <w:r>
              <w:rPr>
                <w:rFonts w:ascii="Consolas" w:cs="Consolas" w:eastAsia="Consolas" w:hAnsi="Consolas"/>
                <w:sz w:val="18"/>
                <w:szCs w:val="18"/>
              </w:rPr>
              <w:t xml:space="preserve">Diagnosedaten</w:t>
            </w:r>
            <w:r>
              <w:rPr>
                <w:sz w:val="19"/>
                <w:szCs w:val="19"/>
              </w:rPr>
              <w:t xml:space="preserve">; derselbe Block erscheint später im Dialog „Über EPOS-Plan"</w:t>
            </w:r>
          </w:p>
        </w:tc>
      </w:tr>
      <w:tr>
        <w:trPr>
          <w:cantSplit/>
          <w:tblHeader w:val="false"/>
        </w:trPr>
        <w:tc>
          <w:tcPr>
            <w:tcW w:type="dxa" w:w="237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Entwicklerwerkzeuge der Oberfläche</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WebView2-Entwicklerwerkzeuge</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ersetzt </w:t>
            </w:r>
            <w:r>
              <w:rPr>
                <w:rFonts w:ascii="Consolas" w:cs="Consolas" w:eastAsia="Consolas" w:hAnsi="Consolas"/>
                <w:sz w:val="18"/>
                <w:szCs w:val="18"/>
              </w:rPr>
              <w:t xml:space="preserve">#if DEBUG</w:t>
            </w:r>
          </w:p>
        </w:tc>
      </w:tr>
      <w:tr>
        <w:trPr>
          <w:cantSplit/>
          <w:tblHeader w:val="false"/>
        </w:trPr>
        <w:tc>
          <w:tcPr>
            <w:tcW w:type="dxa" w:w="237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Auslieferungsstand wiederherstellen…</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Reparaturzweig des Katalogabgleichs</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aus </w:t>
            </w:r>
            <w:r>
              <w:rPr>
                <w:i/>
                <w:iCs/>
                <w:sz w:val="19"/>
                <w:szCs w:val="19"/>
              </w:rPr>
              <w:t xml:space="preserve">Daten &amp; Import</w:t>
            </w:r>
            <w:r>
              <w:rPr>
                <w:sz w:val="19"/>
                <w:szCs w:val="19"/>
              </w:rPr>
              <w:t xml:space="preserve"> hierher verlegt</w:t>
            </w:r>
          </w:p>
        </w:tc>
      </w:tr>
      <w:tr>
        <w:trPr>
          <w:cantSplit/>
          <w:tblHeader w:val="false"/>
        </w:trPr>
        <w:tc>
          <w:tcPr>
            <w:tcW w:type="dxa" w:w="237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Entwicklermodus ausschalten</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löscht die Einstellung</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bei Startargument oder Umgebung benannte Absage</w:t>
            </w:r>
          </w:p>
        </w:tc>
      </w:tr>
    </w:tbl>
    <w:p>
      <w:pPr>
        <w:spacing w:after="120"/>
      </w:pPr>
    </w:p>
    <w:p>
      <w:pPr>
        <w:pStyle w:val="Heading2"/>
      </w:pPr>
      <w:r>
        <w:t xml:space="preserve">2.3 Einen neuen Entwicklerbereich anlegen</w:t>
      </w:r>
    </w:p>
    <w:p>
      <w:pPr>
        <w:pStyle w:val="ListParagraph"/>
        <w:numPr>
          <w:ilvl w:val="0"/>
          <w:numId w:val="3"/>
        </w:numPr>
        <w:spacing w:after="60"/>
      </w:pPr>
      <w:r>
        <w:t xml:space="preserve">Schlüssel in </w:t>
      </w:r>
      <w:r>
        <w:rPr>
          <w:rFonts w:ascii="Consolas" w:cs="Consolas" w:eastAsia="Consolas" w:hAnsi="Consolas"/>
          <w:sz w:val="20"/>
          <w:szCs w:val="20"/>
        </w:rPr>
        <w:t xml:space="preserve">Entwicklerbereiche.Alle</w:t>
      </w:r>
      <w:r>
        <w:t xml:space="preserve"> eintragen, mit einem Satz, wozu der Bereich dient.</w:t>
      </w:r>
    </w:p>
    <w:p>
      <w:pPr>
        <w:pStyle w:val="ListParagraph"/>
        <w:numPr>
          <w:ilvl w:val="0"/>
          <w:numId w:val="3"/>
        </w:numPr>
        <w:spacing w:after="60"/>
      </w:pPr>
      <w:r>
        <w:t xml:space="preserve">Menüpunkt: Zeile in </w:t>
      </w:r>
      <w:r>
        <w:rPr>
          <w:rFonts w:ascii="Consolas" w:cs="Consolas" w:eastAsia="Consolas" w:hAnsi="Consolas"/>
          <w:sz w:val="20"/>
          <w:szCs w:val="20"/>
        </w:rPr>
        <w:t xml:space="preserve">Menuetabelle.cs</w:t>
      </w:r>
      <w:r>
        <w:t xml:space="preserve"> mit </w:t>
      </w:r>
      <w:r>
        <w:rPr>
          <w:rFonts w:ascii="Consolas" w:cs="Consolas" w:eastAsia="Consolas" w:hAnsi="Consolas"/>
          <w:sz w:val="20"/>
          <w:szCs w:val="20"/>
        </w:rPr>
        <w:t xml:space="preserve">stufe: Freigabestufe.Entwickler</w:t>
      </w:r>
      <w:r>
        <w:t xml:space="preserve">. Knopf oder Feld in einem Dialog: Kennzeichen in den Gaben der Hülle (Muster </w:t>
      </w:r>
      <w:r>
        <w:rPr>
          <w:rFonts w:ascii="Consolas" w:cs="Consolas" w:eastAsia="Consolas" w:hAnsi="Consolas"/>
          <w:sz w:val="20"/>
          <w:szCs w:val="20"/>
        </w:rPr>
        <w:t xml:space="preserve">GebaeudeImportGaben.ProjektdateiFreigegeben</w:t>
      </w:r>
      <w:r>
        <w:t xml:space="preserve">, gesetzt aus </w:t>
      </w:r>
      <w:r>
        <w:rPr>
          <w:rFonts w:ascii="Consolas" w:cs="Consolas" w:eastAsia="Consolas" w:hAnsi="Consolas"/>
          <w:sz w:val="20"/>
          <w:szCs w:val="20"/>
        </w:rPr>
        <w:t xml:space="preserve">Entwicklermodus.Aktiv</w:t>
      </w:r>
      <w:r>
        <w:t xml:space="preserve">), im Razor nur dann rendern, Element mit </w:t>
      </w:r>
      <w:r>
        <w:rPr>
          <w:rFonts w:ascii="Consolas" w:cs="Consolas" w:eastAsia="Consolas" w:hAnsi="Consolas"/>
          <w:sz w:val="20"/>
          <w:szCs w:val="20"/>
        </w:rPr>
        <w:t xml:space="preserve">data-stufe="entwickler"</w:t>
      </w:r>
      <w:r>
        <w:t xml:space="preserve"> kennzeichnen. Keine Razor-Komponente fragt den Kern selbst (Regel S‑2).</w:t>
      </w:r>
    </w:p>
    <w:p>
      <w:pPr>
        <w:pStyle w:val="ListParagraph"/>
        <w:numPr>
          <w:ilvl w:val="0"/>
          <w:numId w:val="3"/>
        </w:numPr>
        <w:spacing w:after="60"/>
      </w:pPr>
      <w:r>
        <w:t xml:space="preserve">Hat der Bereich eine Feldkarte oder Aktion des Hilfe-Assistenten: </w:t>
      </w:r>
      <w:r>
        <w:rPr>
          <w:rFonts w:ascii="Consolas" w:cs="Consolas" w:eastAsia="Consolas" w:hAnsi="Consolas"/>
          <w:sz w:val="20"/>
          <w:szCs w:val="20"/>
        </w:rPr>
        <w:t xml:space="preserve">nurEntwickler</w:t>
      </w:r>
      <w:r>
        <w:t xml:space="preserve"> setzen.</w:t>
      </w:r>
    </w:p>
    <w:p>
      <w:pPr>
        <w:pStyle w:val="ListParagraph"/>
        <w:numPr>
          <w:ilvl w:val="0"/>
          <w:numId w:val="3"/>
        </w:numPr>
        <w:spacing w:after="60"/>
      </w:pPr>
      <w:r>
        <w:t xml:space="preserve">iOS: Ziel in </w:t>
      </w:r>
      <w:r>
        <w:rPr>
          <w:rFonts w:ascii="Consolas" w:cs="Consolas" w:eastAsia="Consolas" w:hAnsi="Consolas"/>
          <w:sz w:val="20"/>
          <w:szCs w:val="20"/>
        </w:rPr>
        <w:t xml:space="preserve">AppWurzel.FuehrtZiel</w:t>
      </w:r>
      <w:r>
        <w:t xml:space="preserve"> nur im Modus; Dateiendungen in </w:t>
      </w:r>
      <w:r>
        <w:rPr>
          <w:rFonts w:ascii="Consolas" w:cs="Consolas" w:eastAsia="Consolas" w:hAnsi="Consolas"/>
          <w:sz w:val="20"/>
          <w:szCs w:val="20"/>
        </w:rPr>
        <w:t xml:space="preserve">Dateifilter</w:t>
      </w:r>
      <w:r>
        <w:t xml:space="preserve"> je Stufe.</w:t>
      </w:r>
    </w:p>
    <w:p>
      <w:pPr>
        <w:pStyle w:val="ListParagraph"/>
        <w:numPr>
          <w:ilvl w:val="0"/>
          <w:numId w:val="3"/>
        </w:numPr>
        <w:spacing w:after="60"/>
      </w:pPr>
      <w:r>
        <w:t xml:space="preserve">Wache laufen lassen (Abschnitt 5). Kein Wiki-Eintrag, kein Logbuch.</w:t>
      </w:r>
    </w:p>
    <w:p>
      <w:pPr>
        <w:pStyle w:val="Heading1"/>
      </w:pPr>
      <w:r>
        <w:t xml:space="preserve">3 Protokolle und Diagnose</w:t>
      </w:r>
    </w:p>
    <w:p>
      <w:pPr>
        <w:pStyle w:val="Heading2"/>
      </w:pPr>
      <w:r>
        <w:t xml:space="preserve">3.1 Die Dateien [heute]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9"/>
        <w:gridCol w:w="3804"/>
        <w:gridCol w:w="3805"/>
      </w:tblGrid>
      <w:tr>
        <w:trPr>
          <w:cantSplit/>
          <w:tblHeader/>
        </w:trPr>
        <w:tc>
          <w:tcPr>
            <w:tcW w:type="dxa" w:w="2029"/>
            <w:tcBorders>
              <w:top w:val="single" w:color="A6A6A6" w:sz="4"/>
              <w:left w:val="single" w:color="A6A6A6" w:sz="4"/>
              <w:bottom w:val="single" w:color="A6A6A6" w:sz="4"/>
              <w:right w:val="single" w:color="A6A6A6" w:sz="4"/>
            </w:tcBorders>
            <w:shd w:fill="D9D9D9" w:color="auto" w:val="clear"/>
            <w:tcMar>
              <w:top w:type="dxa" w:w="50"/>
              <w:left w:type="dxa" w:w="90"/>
              <w:bottom w:type="dxa" w:w="50"/>
              <w:right w:type="dxa" w:w="90"/>
            </w:tcMar>
          </w:tcPr>
          <w:p>
            <w:pPr>
              <w:spacing w:after="0"/>
            </w:pPr>
            <w:r>
              <w:rPr>
                <w:b/>
                <w:bCs/>
                <w:sz w:val="19"/>
                <w:szCs w:val="19"/>
              </w:rPr>
              <w:t xml:space="preserve">Datei oder Tabelle</w:t>
            </w:r>
          </w:p>
        </w:tc>
        <w:tc>
          <w:tcPr>
            <w:tcW w:type="dxa" w:w="3804"/>
            <w:tcBorders>
              <w:top w:val="single" w:color="A6A6A6" w:sz="4"/>
              <w:left w:val="single" w:color="A6A6A6" w:sz="4"/>
              <w:bottom w:val="single" w:color="A6A6A6" w:sz="4"/>
              <w:right w:val="single" w:color="A6A6A6" w:sz="4"/>
            </w:tcBorders>
            <w:shd w:fill="D9D9D9" w:color="auto" w:val="clear"/>
            <w:tcMar>
              <w:top w:type="dxa" w:w="50"/>
              <w:left w:type="dxa" w:w="90"/>
              <w:bottom w:type="dxa" w:w="50"/>
              <w:right w:type="dxa" w:w="90"/>
            </w:tcMar>
          </w:tcPr>
          <w:p>
            <w:pPr>
              <w:spacing w:after="0"/>
            </w:pPr>
            <w:r>
              <w:rPr>
                <w:b/>
                <w:bCs/>
                <w:sz w:val="19"/>
                <w:szCs w:val="19"/>
              </w:rPr>
              <w:t xml:space="preserve">Ort</w:t>
            </w:r>
          </w:p>
        </w:tc>
        <w:tc>
          <w:tcPr>
            <w:tcW w:type="dxa" w:w="3805"/>
            <w:tcBorders>
              <w:top w:val="single" w:color="A6A6A6" w:sz="4"/>
              <w:left w:val="single" w:color="A6A6A6" w:sz="4"/>
              <w:bottom w:val="single" w:color="A6A6A6" w:sz="4"/>
              <w:right w:val="single" w:color="A6A6A6" w:sz="4"/>
            </w:tcBorders>
            <w:shd w:fill="D9D9D9" w:color="auto" w:val="clear"/>
            <w:tcMar>
              <w:top w:type="dxa" w:w="50"/>
              <w:left w:type="dxa" w:w="90"/>
              <w:bottom w:type="dxa" w:w="50"/>
              <w:right w:type="dxa" w:w="90"/>
            </w:tcMar>
          </w:tcPr>
          <w:p>
            <w:pPr>
              <w:spacing w:after="0"/>
            </w:pPr>
            <w:r>
              <w:rPr>
                <w:b/>
                <w:bCs/>
                <w:sz w:val="19"/>
                <w:szCs w:val="19"/>
              </w:rPr>
              <w:t xml:space="preserve">Verhalten</w:t>
            </w:r>
          </w:p>
        </w:tc>
      </w:tr>
      <w:tr>
        <w:trPr>
          <w:cantSplit/>
          <w:tblHeader w:val="false"/>
        </w:trPr>
        <w:tc>
          <w:tcPr>
            <w:tcW w:type="dxa" w:w="202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onsolas" w:cs="Consolas" w:eastAsia="Consolas" w:hAnsi="Consolas"/>
                <w:sz w:val="18"/>
                <w:szCs w:val="18"/>
              </w:rPr>
              <w:t xml:space="preserve">Ausnahmen.txt</w:t>
            </w:r>
            <w:r>
              <w:rPr>
                <w:sz w:val="19"/>
                <w:szCs w:val="19"/>
              </w:rPr>
              <w:t xml:space="preserve">, </w:t>
            </w:r>
            <w:r>
              <w:rPr>
                <w:rFonts w:ascii="Consolas" w:cs="Consolas" w:eastAsia="Consolas" w:hAnsi="Consolas"/>
                <w:sz w:val="18"/>
                <w:szCs w:val="18"/>
              </w:rPr>
              <w:t xml:space="preserve">Ausnahmen.alt.txt</w:t>
            </w:r>
          </w:p>
        </w:tc>
        <w:tc>
          <w:tcPr>
            <w:tcW w:type="dxa" w:w="380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onsolas" w:cs="Consolas" w:eastAsia="Consolas" w:hAnsi="Consolas"/>
                <w:sz w:val="18"/>
                <w:szCs w:val="18"/>
              </w:rPr>
              <w:t xml:space="preserve">%ProgramData%\EPOS_PLAN\Logs\</w:t>
            </w:r>
            <w:r>
              <w:rPr>
                <w:sz w:val="19"/>
                <w:szCs w:val="19"/>
              </w:rPr>
              <w:t xml:space="preserve"> (Rückfall </w:t>
            </w:r>
            <w:r>
              <w:rPr>
                <w:rFonts w:ascii="Consolas" w:cs="Consolas" w:eastAsia="Consolas" w:hAnsi="Consolas"/>
                <w:sz w:val="18"/>
                <w:szCs w:val="18"/>
              </w:rPr>
              <w:t xml:space="preserve">%TEMP%\EPOS_PLAN\Logs\</w:t>
            </w:r>
            <w:r>
              <w:rPr>
                <w:sz w:val="19"/>
                <w:szCs w:val="19"/>
              </w:rPr>
              <w:t xml:space="preserve">)</w:t>
            </w:r>
          </w:p>
        </w:tc>
        <w:tc>
          <w:tcPr>
            <w:tcW w:type="dxa" w:w="380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jede ausgelöste .NET-Ausnahme sofort mit Aufrufstapel (</w:t>
            </w:r>
            <w:r>
              <w:rPr>
                <w:rFonts w:ascii="Consolas" w:cs="Consolas" w:eastAsia="Consolas" w:hAnsi="Consolas"/>
                <w:sz w:val="18"/>
                <w:szCs w:val="18"/>
              </w:rPr>
              <w:t xml:space="preserve">AppDomain.FirstChanceException</w:t>
            </w:r>
            <w:r>
              <w:rPr>
                <w:sz w:val="19"/>
                <w:szCs w:val="19"/>
              </w:rPr>
              <w:t xml:space="preserve">), dazu unbehandelte Ausnahmen und unbeobachtete Aufgaben; höchstens 20 Einträge je Sekunde, Wechsel bei 200 KB, nie mehr als zwei Dateien; Kopfzeile je Lauf mit Version und Prozess-Id. Nur Windows (</w:t>
            </w:r>
            <w:r>
              <w:rPr>
                <w:rFonts w:ascii="Consolas" w:cs="Consolas" w:eastAsia="Consolas" w:hAnsi="Consolas"/>
                <w:sz w:val="18"/>
                <w:szCs w:val="18"/>
              </w:rPr>
              <w:t xml:space="preserve">Program.Main</w:t>
            </w:r>
            <w:r>
              <w:rPr>
                <w:sz w:val="19"/>
                <w:szCs w:val="19"/>
              </w:rPr>
              <w:t xml:space="preserve">).</w:t>
            </w:r>
          </w:p>
        </w:tc>
      </w:tr>
      <w:tr>
        <w:trPr>
          <w:cantSplit/>
          <w:tblHeader w:val="false"/>
        </w:trPr>
        <w:tc>
          <w:tcPr>
            <w:tcW w:type="dxa" w:w="202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onsolas" w:cs="Consolas" w:eastAsia="Consolas" w:hAnsi="Consolas"/>
                <w:sz w:val="18"/>
                <w:szCs w:val="18"/>
              </w:rPr>
              <w:t xml:space="preserve">migration_protokoll.txt</w:t>
            </w:r>
          </w:p>
        </w:tc>
        <w:tc>
          <w:tcPr>
            <w:tcW w:type="dxa" w:w="380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neben der Datenbank</w:t>
            </w:r>
          </w:p>
        </w:tc>
        <w:tc>
          <w:tcPr>
            <w:tcW w:type="dxa" w:w="380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je Start überschrieben; bei Fehlschlag nennt die Startmeldung den Pfad</w:t>
            </w:r>
          </w:p>
        </w:tc>
      </w:tr>
      <w:tr>
        <w:trPr>
          <w:cantSplit/>
          <w:tblHeader w:val="false"/>
        </w:trPr>
        <w:tc>
          <w:tcPr>
            <w:tcW w:type="dxa" w:w="202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onsolas" w:cs="Consolas" w:eastAsia="Consolas" w:hAnsi="Consolas"/>
                <w:sz w:val="18"/>
                <w:szCs w:val="18"/>
              </w:rPr>
              <w:t xml:space="preserve">ki_aktionen.txt</w:t>
            </w:r>
          </w:p>
        </w:tc>
        <w:tc>
          <w:tcPr>
            <w:tcW w:type="dxa" w:w="380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neben der Datenbank (das Supportpaket sucht zuerst in </w:t>
            </w:r>
            <w:r>
              <w:rPr>
                <w:rFonts w:ascii="Consolas" w:cs="Consolas" w:eastAsia="Consolas" w:hAnsi="Consolas"/>
                <w:sz w:val="18"/>
                <w:szCs w:val="18"/>
              </w:rPr>
              <w:t xml:space="preserve">Logs\</w:t>
            </w:r>
            <w:r>
              <w:rPr>
                <w:sz w:val="19"/>
                <w:szCs w:val="19"/>
              </w:rPr>
              <w:t xml:space="preserve">, dann daneben)</w:t>
            </w:r>
          </w:p>
        </w:tc>
        <w:tc>
          <w:tcPr>
            <w:tcW w:type="dxa" w:w="380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Aktionen des Hilfe-Assistenten, wächst ohne Rotation</w:t>
            </w:r>
          </w:p>
        </w:tc>
      </w:tr>
      <w:tr>
        <w:trPr>
          <w:cantSplit/>
          <w:tblHeader w:val="false"/>
        </w:trPr>
        <w:tc>
          <w:tcPr>
            <w:tcW w:type="dxa" w:w="202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onsolas" w:cs="Consolas" w:eastAsia="Consolas" w:hAnsi="Consolas"/>
                <w:sz w:val="18"/>
                <w:szCs w:val="18"/>
              </w:rPr>
              <w:t xml:space="preserve">Tab_Katalogabgleich</w:t>
            </w:r>
          </w:p>
        </w:tc>
        <w:tc>
          <w:tcPr>
            <w:tcW w:type="dxa" w:w="380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in der Datenbank</w:t>
            </w:r>
          </w:p>
        </w:tc>
        <w:tc>
          <w:tcPr>
            <w:tcW w:type="dxa" w:w="380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eine Zeile je Abgleichaktion</w:t>
            </w:r>
          </w:p>
        </w:tc>
      </w:tr>
      <w:tr>
        <w:trPr>
          <w:cantSplit/>
          <w:tblHeader w:val="false"/>
        </w:trPr>
        <w:tc>
          <w:tcPr>
            <w:tcW w:type="dxa" w:w="202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onsolas" w:cs="Consolas" w:eastAsia="Consolas" w:hAnsi="Consolas"/>
                <w:sz w:val="18"/>
                <w:szCs w:val="18"/>
              </w:rPr>
              <w:t xml:space="preserve">&lt;paket&gt;.importbericht.txt</w:t>
            </w:r>
          </w:p>
        </w:tc>
        <w:tc>
          <w:tcPr>
            <w:tcW w:type="dxa" w:w="380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neben dem Projektpaket</w:t>
            </w:r>
          </w:p>
        </w:tc>
        <w:tc>
          <w:tcPr>
            <w:tcW w:type="dxa" w:w="380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nur beim Projektimport</w:t>
            </w:r>
          </w:p>
        </w:tc>
      </w:tr>
    </w:tbl>
    <w:p>
      <w:pPr>
        <w:spacing w:after="120"/>
      </w:pPr>
    </w:p>
    <w:p>
      <w:pPr>
        <w:pStyle w:val="Heading2"/>
      </w:pPr>
      <w:r>
        <w:t xml:space="preserve">3.2 Absturz ohne Meldung [heute]</w:t>
      </w:r>
    </w:p>
    <w:p>
      <w:pPr>
        <w:spacing w:after="120"/>
      </w:pPr>
      <w:r>
        <w:t xml:space="preserve">Ereignisanzeige mit </w:t>
      </w:r>
      <w:r>
        <w:rPr>
          <w:rFonts w:ascii="Consolas" w:cs="Consolas" w:eastAsia="Consolas" w:hAnsi="Consolas"/>
          <w:sz w:val="20"/>
          <w:szCs w:val="20"/>
        </w:rPr>
        <w:t xml:space="preserve">KERNELBASE.dll</w:t>
      </w:r>
      <w:r>
        <w:t xml:space="preserve"> und </w:t>
      </w:r>
      <w:r>
        <w:rPr>
          <w:rFonts w:ascii="Consolas" w:cs="Consolas" w:eastAsia="Consolas" w:hAnsi="Consolas"/>
          <w:sz w:val="20"/>
          <w:szCs w:val="20"/>
        </w:rPr>
        <w:t xml:space="preserve">0xc000041d</w:t>
      </w:r>
      <w:r>
        <w:t xml:space="preserve">: Eine Ausnahme ist aus einem Rückruf der WebView2 herausgelaufen. Die Ursache steht in </w:t>
      </w:r>
      <w:r>
        <w:rPr>
          <w:rFonts w:ascii="Consolas" w:cs="Consolas" w:eastAsia="Consolas" w:hAnsi="Consolas"/>
          <w:sz w:val="20"/>
          <w:szCs w:val="20"/>
        </w:rPr>
        <w:t xml:space="preserve">Logs\Ausnahmen.txt</w:t>
      </w:r>
      <w:r>
        <w:t xml:space="preserve"> — der letzte Eintrag vor dem Kopf des nächsten Laufs. Diese Datei anfordern, nicht den Weg raten (Fallstricke in </w:t>
      </w:r>
      <w:r>
        <w:rPr>
          <w:rFonts w:ascii="Consolas" w:cs="Consolas" w:eastAsia="Consolas" w:hAnsi="Consolas"/>
          <w:sz w:val="20"/>
          <w:szCs w:val="20"/>
        </w:rPr>
        <w:t xml:space="preserve">WindowsFormsApplication1/CLAUDE.md</w:t>
      </w:r>
      <w:r>
        <w:t xml:space="preserve">).</w:t>
      </w:r>
    </w:p>
    <w:p>
      <w:pPr>
        <w:pStyle w:val="Heading2"/>
      </w:pPr>
      <w:r>
        <w:t xml:space="preserve">3.3 Diagnosedaten und Supportpaket [heute]</w:t>
      </w:r>
    </w:p>
    <w:p>
      <w:pPr>
        <w:spacing w:after="120"/>
      </w:pPr>
      <w:r>
        <w:t xml:space="preserve">Den Diagnoseblock findet der Anwender unter </w:t>
      </w:r>
      <w:r>
        <w:rPr>
          <w:i/>
          <w:iCs/>
        </w:rPr>
        <w:t xml:space="preserve">Hilfe → Version</w:t>
      </w:r>
      <w:r>
        <w:t xml:space="preserve"> im Dialog „Über EPOS-Plan" (unter dem Kopf mit Produktname, Claim, Version mit Baudatum und INEKON) als nur lesbares Textfeld; ebenso in </w:t>
      </w:r>
      <w:r>
        <w:rPr>
          <w:i/>
          <w:iCs/>
        </w:rPr>
        <w:t xml:space="preserve">Hilfe → Fernwartung…</w:t>
      </w:r>
      <w:r>
        <w:t xml:space="preserve"> (Zone „Ihre Angaben") und für Entwickler unter </w:t>
      </w:r>
      <w:r>
        <w:rPr>
          <w:i/>
          <w:iCs/>
        </w:rPr>
        <w:t xml:space="preserve">Entwicklung → Diagnosedaten kopieren</w:t>
      </w:r>
      <w:r>
        <w:t xml:space="preserve">.</w:t>
      </w:r>
    </w:p>
    <w:p>
      <w:pPr>
        <w:spacing w:after="120"/>
      </w:pPr>
      <w:r>
        <w:t xml:space="preserve">Der Dialog „Über EPOS-Plan" zeigt den Diagnoseblock aus dem Kern-Baustein </w:t>
      </w:r>
      <w:r>
        <w:rPr>
          <w:rFonts w:ascii="Consolas" w:cs="Consolas" w:eastAsia="Consolas" w:hAnsi="Consolas"/>
          <w:sz w:val="20"/>
          <w:szCs w:val="20"/>
        </w:rPr>
        <w:t xml:space="preserve">Diagnosedaten</w:t>
      </w:r>
      <w:r>
        <w:t xml:space="preserve"> (</w:t>
      </w:r>
      <w:r>
        <w:rPr>
          <w:rFonts w:ascii="Consolas" w:cs="Consolas" w:eastAsia="Consolas" w:hAnsi="Consolas"/>
          <w:sz w:val="20"/>
          <w:szCs w:val="20"/>
        </w:rPr>
        <w:t xml:space="preserve">EPOS.Kern/Allgemein/Diagnose/</w:t>
      </w:r>
      <w:r>
        <w:t xml:space="preserve">): Programmversion und Baudatum, Plattform und Betriebssystemfassung, Sprache, Datenbankpfad, Schemastand (</w:t>
      </w:r>
      <w:r>
        <w:rPr>
          <w:rFonts w:ascii="Consolas" w:cs="Consolas" w:eastAsia="Consolas" w:hAnsi="Consolas"/>
          <w:sz w:val="20"/>
          <w:szCs w:val="20"/>
        </w:rPr>
        <w:t xml:space="preserve">Tab_Applikation.SchemaVersion</w:t>
      </w:r>
      <w:r>
        <w:t xml:space="preserve"> gegen </w:t>
      </w:r>
      <w:r>
        <w:rPr>
          <w:rFonts w:ascii="Consolas" w:cs="Consolas" w:eastAsia="Consolas" w:hAnsi="Consolas"/>
          <w:sz w:val="20"/>
          <w:szCs w:val="20"/>
        </w:rPr>
        <w:t xml:space="preserve">SchemaStand.Zielversion</w:t>
      </w:r>
      <w:r>
        <w:t xml:space="preserve">), Katalogfassung, Lizenztyp, Lizenznummer, Firma, Status, gültig bis, Gerätekennung-Kurzform (erste acht Zeichen des Abdrucks), Protokollordner, Entwicklermodus mit Quelle. Knöpfe unter dem Block: „Diagnosedaten kopieren" (Zwischenablage) und „Protokollordner öffnen" (Windows; der Explorer im Ordner </w:t>
      </w:r>
      <w:r>
        <w:rPr>
          <w:rFonts w:ascii="Consolas" w:cs="Consolas" w:eastAsia="Consolas" w:hAnsi="Consolas"/>
          <w:sz w:val="20"/>
          <w:szCs w:val="20"/>
        </w:rPr>
        <w:t xml:space="preserve">Logs</w:t>
      </w:r>
      <w:r>
        <w:t xml:space="preserve"> neben der Datenbank, </w:t>
      </w:r>
      <w:r>
        <w:rPr>
          <w:rFonts w:ascii="Consolas" w:cs="Consolas" w:eastAsia="Consolas" w:hAnsi="Consolas"/>
          <w:sz w:val="20"/>
          <w:szCs w:val="20"/>
        </w:rPr>
        <w:t xml:space="preserve">Diagnosedaten.ProtokollordnerPfad</w:t>
      </w:r>
      <w:r>
        <w:t xml:space="preserve">; fehlt der Ordner, sagt eine Meldung den Pfad). Darunter der Kontakt (Telefon, E-Mail als </w:t>
      </w:r>
      <w:r>
        <w:rPr>
          <w:rFonts w:ascii="Consolas" w:cs="Consolas" w:eastAsia="Consolas" w:hAnsi="Consolas"/>
          <w:sz w:val="20"/>
          <w:szCs w:val="20"/>
        </w:rPr>
        <w:t xml:space="preserve">mailto:</w:t>
      </w:r>
      <w:r>
        <w:t xml:space="preserve">-Link, Erreichbarkeit) mit dem Knopf „Fernwartung…", der den Fernwartungsdialog öffnet.</w:t>
      </w:r>
    </w:p>
    <w:p>
      <w:pPr>
        <w:spacing w:after="120"/>
      </w:pPr>
      <w:r>
        <w:rPr>
          <w:b/>
          <w:bCs/>
        </w:rPr>
        <w:t xml:space="preserve">Supportpaket.</w:t>
      </w:r>
      <w:r>
        <w:t xml:space="preserve"> Unter dem Diagnoseblock stehen der Haken „KI-Protokoll beilegen" (Vorgabe aus, mit dem Hinweis, dass das Protokoll Eingaben des Anwenders an den Assistenten enthalten kann) und der Knopf „Supportpaket speichern…". Unter Windows öffnet er eine Nachricht später den Speicherdialog im Dokumentenordner mit dem Vorgabenamen </w:t>
      </w:r>
      <w:r>
        <w:rPr>
          <w:rFonts w:ascii="Consolas" w:cs="Consolas" w:eastAsia="Consolas" w:hAnsi="Consolas"/>
          <w:sz w:val="20"/>
          <w:szCs w:val="20"/>
        </w:rPr>
        <w:t xml:space="preserve">EPOS-Plan_Supportpaket_&lt;yyyy-MM-dd_HHmm&gt;.zip</w:t>
      </w:r>
      <w:r>
        <w:t xml:space="preserve"> und dem Filter ZIP; Abbruch schreibt nichts. Danach zeigt der Dialog eine Ergebniszeile mit Pfad, enthaltenen Einträgen und den Quellen, die es nicht gab — oder im Banner die Meldung des Schreibfehlers. Der Anwender hängt die Datei an seine E-Mail; das ist der Supportweg ohne Fernwartung und steht auch der Testversion offen.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6286"/>
      </w:tblGrid>
      <w:tr>
        <w:trPr>
          <w:cantSplit/>
          <w:tblHeader/>
        </w:trPr>
        <w:tc>
          <w:tcPr>
            <w:tcW w:type="dxa" w:w="3352"/>
            <w:tcBorders>
              <w:top w:val="single" w:color="A6A6A6" w:sz="4"/>
              <w:left w:val="single" w:color="A6A6A6" w:sz="4"/>
              <w:bottom w:val="single" w:color="A6A6A6" w:sz="4"/>
              <w:right w:val="single" w:color="A6A6A6" w:sz="4"/>
            </w:tcBorders>
            <w:shd w:fill="D9D9D9" w:color="auto" w:val="clear"/>
            <w:tcMar>
              <w:top w:type="dxa" w:w="50"/>
              <w:left w:type="dxa" w:w="90"/>
              <w:bottom w:type="dxa" w:w="50"/>
              <w:right w:type="dxa" w:w="90"/>
            </w:tcMar>
          </w:tcPr>
          <w:p>
            <w:pPr>
              <w:spacing w:after="0"/>
            </w:pPr>
            <w:r>
              <w:rPr>
                <w:b/>
                <w:bCs/>
                <w:sz w:val="19"/>
                <w:szCs w:val="19"/>
              </w:rPr>
              <w:t xml:space="preserve">Eintrag im Paket</w:t>
            </w:r>
          </w:p>
        </w:tc>
        <w:tc>
          <w:tcPr>
            <w:tcW w:type="dxa" w:w="6286"/>
            <w:tcBorders>
              <w:top w:val="single" w:color="A6A6A6" w:sz="4"/>
              <w:left w:val="single" w:color="A6A6A6" w:sz="4"/>
              <w:bottom w:val="single" w:color="A6A6A6" w:sz="4"/>
              <w:right w:val="single" w:color="A6A6A6" w:sz="4"/>
            </w:tcBorders>
            <w:shd w:fill="D9D9D9" w:color="auto" w:val="clear"/>
            <w:tcMar>
              <w:top w:type="dxa" w:w="50"/>
              <w:left w:type="dxa" w:w="90"/>
              <w:bottom w:type="dxa" w:w="50"/>
              <w:right w:type="dxa" w:w="90"/>
            </w:tcMar>
          </w:tcPr>
          <w:p>
            <w:pPr>
              <w:spacing w:after="0"/>
            </w:pPr>
            <w:r>
              <w:rPr>
                <w:b/>
                <w:bCs/>
                <w:sz w:val="19"/>
                <w:szCs w:val="19"/>
              </w:rPr>
              <w:t xml:space="preserve">Quelle</w:t>
            </w:r>
          </w:p>
        </w:tc>
      </w:tr>
      <w:tr>
        <w:trPr>
          <w:cantSplit/>
          <w:tblHeader w:val="false"/>
        </w:trPr>
        <w:tc>
          <w:tcPr>
            <w:tcW w:type="dxa" w:w="335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onsolas" w:cs="Consolas" w:eastAsia="Consolas" w:hAnsi="Consolas"/>
                <w:sz w:val="18"/>
                <w:szCs w:val="18"/>
              </w:rPr>
              <w:t xml:space="preserve">Diagnosedaten.txt</w:t>
            </w:r>
          </w:p>
        </w:tc>
        <w:tc>
          <w:tcPr>
            <w:tcW w:type="dxa" w:w="628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der Diagnoseblock, wie der Dialog ihn zeigt</w:t>
            </w:r>
          </w:p>
        </w:tc>
      </w:tr>
      <w:tr>
        <w:trPr>
          <w:cantSplit/>
          <w:tblHeader w:val="false"/>
        </w:trPr>
        <w:tc>
          <w:tcPr>
            <w:tcW w:type="dxa" w:w="335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onsolas" w:cs="Consolas" w:eastAsia="Consolas" w:hAnsi="Consolas"/>
                <w:sz w:val="18"/>
                <w:szCs w:val="18"/>
              </w:rPr>
              <w:t xml:space="preserve">Ausnahmen.txt</w:t>
            </w:r>
            <w:r>
              <w:rPr>
                <w:sz w:val="19"/>
                <w:szCs w:val="19"/>
              </w:rPr>
              <w:t xml:space="preserve">, </w:t>
            </w:r>
            <w:r>
              <w:rPr>
                <w:rFonts w:ascii="Consolas" w:cs="Consolas" w:eastAsia="Consolas" w:hAnsi="Consolas"/>
                <w:sz w:val="18"/>
                <w:szCs w:val="18"/>
              </w:rPr>
              <w:t xml:space="preserve">Ausnahmen.alt.txt</w:t>
            </w:r>
          </w:p>
        </w:tc>
        <w:tc>
          <w:tcPr>
            <w:tcW w:type="dxa" w:w="628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Protokollordner </w:t>
            </w:r>
            <w:r>
              <w:rPr>
                <w:rFonts w:ascii="Consolas" w:cs="Consolas" w:eastAsia="Consolas" w:hAnsi="Consolas"/>
                <w:sz w:val="18"/>
                <w:szCs w:val="18"/>
              </w:rPr>
              <w:t xml:space="preserve">Logs\</w:t>
            </w:r>
            <w:r>
              <w:rPr>
                <w:sz w:val="19"/>
                <w:szCs w:val="19"/>
              </w:rPr>
              <w:t xml:space="preserve"> neben der Datenbank (</w:t>
            </w:r>
            <w:r>
              <w:rPr>
                <w:rFonts w:ascii="Consolas" w:cs="Consolas" w:eastAsia="Consolas" w:hAnsi="Consolas"/>
                <w:sz w:val="18"/>
                <w:szCs w:val="18"/>
              </w:rPr>
              <w:t xml:space="preserve">Diagnosedaten.ProtokollordnerPfad</w:t>
            </w:r>
            <w:r>
              <w:rPr>
                <w:sz w:val="19"/>
                <w:szCs w:val="19"/>
              </w:rPr>
              <w:t xml:space="preserve">)</w:t>
            </w:r>
          </w:p>
        </w:tc>
      </w:tr>
      <w:tr>
        <w:trPr>
          <w:cantSplit/>
          <w:tblHeader w:val="false"/>
        </w:trPr>
        <w:tc>
          <w:tcPr>
            <w:tcW w:type="dxa" w:w="335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onsolas" w:cs="Consolas" w:eastAsia="Consolas" w:hAnsi="Consolas"/>
                <w:sz w:val="18"/>
                <w:szCs w:val="18"/>
              </w:rPr>
              <w:t xml:space="preserve">migration_protokoll.txt</w:t>
            </w:r>
          </w:p>
        </w:tc>
        <w:tc>
          <w:tcPr>
            <w:tcW w:type="dxa" w:w="628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neben der Datenbank (Rückfall </w:t>
            </w:r>
            <w:r>
              <w:rPr>
                <w:rFonts w:ascii="Consolas" w:cs="Consolas" w:eastAsia="Consolas" w:hAnsi="Consolas"/>
                <w:sz w:val="18"/>
                <w:szCs w:val="18"/>
              </w:rPr>
              <w:t xml:space="preserve">Logs\</w:t>
            </w:r>
            <w:r>
              <w:rPr>
                <w:sz w:val="19"/>
                <w:szCs w:val="19"/>
              </w:rPr>
              <w:t xml:space="preserve">)</w:t>
            </w:r>
          </w:p>
        </w:tc>
      </w:tr>
      <w:tr>
        <w:trPr>
          <w:cantSplit/>
          <w:tblHeader w:val="false"/>
        </w:trPr>
        <w:tc>
          <w:tcPr>
            <w:tcW w:type="dxa" w:w="335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onsolas" w:cs="Consolas" w:eastAsia="Consolas" w:hAnsi="Consolas"/>
                <w:sz w:val="18"/>
                <w:szCs w:val="18"/>
              </w:rPr>
              <w:t xml:space="preserve">Katalogabgleich.txt</w:t>
            </w:r>
          </w:p>
        </w:tc>
        <w:tc>
          <w:tcPr>
            <w:tcW w:type="dxa" w:w="628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die jüngsten 2 000 Zeilen von </w:t>
            </w:r>
            <w:r>
              <w:rPr>
                <w:rFonts w:ascii="Consolas" w:cs="Consolas" w:eastAsia="Consolas" w:hAnsi="Consolas"/>
                <w:sz w:val="18"/>
                <w:szCs w:val="18"/>
              </w:rPr>
              <w:t xml:space="preserve">Tab_Katalogabgleich</w:t>
            </w:r>
            <w:r>
              <w:rPr>
                <w:sz w:val="19"/>
                <w:szCs w:val="19"/>
              </w:rPr>
              <w:t xml:space="preserve">, neueste zuerst, tabulatorgetrennt mit Spaltenköpfen (über </w:t>
            </w:r>
            <w:r>
              <w:rPr>
                <w:rFonts w:ascii="Consolas" w:cs="Consolas" w:eastAsia="Consolas" w:hAnsi="Consolas"/>
                <w:sz w:val="18"/>
                <w:szCs w:val="18"/>
              </w:rPr>
              <w:t xml:space="preserve">Katalogabgleich.Protokoll</w:t>
            </w:r>
            <w:r>
              <w:rPr>
                <w:sz w:val="19"/>
                <w:szCs w:val="19"/>
              </w:rPr>
              <w:t xml:space="preserve">, kein eigenes SQL)</w:t>
            </w:r>
          </w:p>
        </w:tc>
      </w:tr>
      <w:tr>
        <w:trPr>
          <w:cantSplit/>
          <w:tblHeader w:val="false"/>
        </w:trPr>
        <w:tc>
          <w:tcPr>
            <w:tcW w:type="dxa" w:w="335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onsolas" w:cs="Consolas" w:eastAsia="Consolas" w:hAnsi="Consolas"/>
                <w:sz w:val="18"/>
                <w:szCs w:val="18"/>
              </w:rPr>
              <w:t xml:space="preserve">ki_aktionen.txt</w:t>
            </w:r>
          </w:p>
        </w:tc>
        <w:tc>
          <w:tcPr>
            <w:tcW w:type="dxa" w:w="628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nur mit Haken; </w:t>
            </w:r>
            <w:r>
              <w:rPr>
                <w:rFonts w:ascii="Consolas" w:cs="Consolas" w:eastAsia="Consolas" w:hAnsi="Consolas"/>
                <w:sz w:val="18"/>
                <w:szCs w:val="18"/>
              </w:rPr>
              <w:t xml:space="preserve">Logs\</w:t>
            </w:r>
            <w:r>
              <w:rPr>
                <w:sz w:val="19"/>
                <w:szCs w:val="19"/>
              </w:rPr>
              <w:t xml:space="preserve">, sonst neben der Datenbank</w:t>
            </w:r>
          </w:p>
        </w:tc>
      </w:tr>
    </w:tbl>
    <w:p>
      <w:pPr>
        <w:spacing w:after="120"/>
      </w:pPr>
    </w:p>
    <w:p>
      <w:pPr>
        <w:spacing w:after="120"/>
      </w:pPr>
      <w:r>
        <w:t xml:space="preserve">Fehlt eine Quelle (kein Absturz bisher, keine Migration, Tabelle nicht vorhanden), ist das kein Fehler: Sie steht in der Ergebniszeile unter „Nicht vorhanden". </w:t>
      </w:r>
      <w:r>
        <w:rPr>
          <w:b/>
          <w:bCs/>
        </w:rPr>
        <w:t xml:space="preserve">Datenschutz:</w:t>
      </w:r>
      <w:r>
        <w:t xml:space="preserve"> Das Paket nimmt nur diese benannten Einträge auf — nie Projektdaten, nie die Datenbank oder eine andere </w:t>
      </w:r>
      <w:r>
        <w:rPr>
          <w:rFonts w:ascii="Consolas" w:cs="Consolas" w:eastAsia="Consolas" w:hAnsi="Consolas"/>
          <w:sz w:val="20"/>
          <w:szCs w:val="20"/>
        </w:rPr>
        <w:t xml:space="preserve">.sqlite</w:t>
      </w:r>
      <w:r>
        <w:t xml:space="preserve">-Datei; die Diagnosedaten nennen Lizenznummer, Firma und Datenbankpfad, wie der Block im Dialog. Das KI-Protokoll kann Eingaben des Anwenders enthalten und kommt deshalb nur mit dem Haken hinein. EPOS-Plan versendet das Paket nicht selbst.</w:t>
      </w:r>
    </w:p>
    <w:p>
      <w:pPr>
        <w:pStyle w:val="Heading2"/>
      </w:pPr>
      <w:r>
        <w:t xml:space="preserve">3.4 Wo der Support sonst nachsieht [heute]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83"/>
        <w:gridCol w:w="6355"/>
      </w:tblGrid>
      <w:tr>
        <w:trPr>
          <w:cantSplit/>
          <w:tblHeader/>
        </w:trPr>
        <w:tc>
          <w:tcPr>
            <w:tcW w:type="dxa" w:w="3283"/>
            <w:tcBorders>
              <w:top w:val="single" w:color="A6A6A6" w:sz="4"/>
              <w:left w:val="single" w:color="A6A6A6" w:sz="4"/>
              <w:bottom w:val="single" w:color="A6A6A6" w:sz="4"/>
              <w:right w:val="single" w:color="A6A6A6" w:sz="4"/>
            </w:tcBorders>
            <w:shd w:fill="D9D9D9" w:color="auto" w:val="clear"/>
            <w:tcMar>
              <w:top w:type="dxa" w:w="50"/>
              <w:left w:type="dxa" w:w="90"/>
              <w:bottom w:type="dxa" w:w="50"/>
              <w:right w:type="dxa" w:w="90"/>
            </w:tcMar>
          </w:tcPr>
          <w:p>
            <w:pPr>
              <w:spacing w:after="0"/>
            </w:pPr>
            <w:r>
              <w:rPr>
                <w:b/>
                <w:bCs/>
                <w:sz w:val="19"/>
                <w:szCs w:val="19"/>
              </w:rPr>
              <w:t xml:space="preserve">Ort</w:t>
            </w:r>
          </w:p>
        </w:tc>
        <w:tc>
          <w:tcPr>
            <w:tcW w:type="dxa" w:w="6355"/>
            <w:tcBorders>
              <w:top w:val="single" w:color="A6A6A6" w:sz="4"/>
              <w:left w:val="single" w:color="A6A6A6" w:sz="4"/>
              <w:bottom w:val="single" w:color="A6A6A6" w:sz="4"/>
              <w:right w:val="single" w:color="A6A6A6" w:sz="4"/>
            </w:tcBorders>
            <w:shd w:fill="D9D9D9" w:color="auto" w:val="clear"/>
            <w:tcMar>
              <w:top w:type="dxa" w:w="50"/>
              <w:left w:type="dxa" w:w="90"/>
              <w:bottom w:type="dxa" w:w="50"/>
              <w:right w:type="dxa" w:w="90"/>
            </w:tcMar>
          </w:tcPr>
          <w:p>
            <w:pPr>
              <w:spacing w:after="0"/>
            </w:pPr>
            <w:r>
              <w:rPr>
                <w:b/>
                <w:bCs/>
                <w:sz w:val="19"/>
                <w:szCs w:val="19"/>
              </w:rPr>
              <w:t xml:space="preserve">Inhalt</w:t>
            </w:r>
          </w:p>
        </w:tc>
      </w:tr>
      <w:tr>
        <w:trPr>
          <w:cantSplit/>
          <w:tblHeader w:val="false"/>
        </w:trPr>
        <w:tc>
          <w:tcPr>
            <w:tcW w:type="dxa" w:w="328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onsolas" w:cs="Consolas" w:eastAsia="Consolas" w:hAnsi="Consolas"/>
                <w:sz w:val="18"/>
                <w:szCs w:val="18"/>
              </w:rPr>
              <w:t xml:space="preserve">HKLM\SOFTWARE\INEKON\EPOS-Plan</w:t>
            </w:r>
          </w:p>
        </w:tc>
        <w:tc>
          <w:tcPr>
            <w:tcW w:type="dxa" w:w="635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onsolas" w:cs="Consolas" w:eastAsia="Consolas" w:hAnsi="Consolas"/>
                <w:sz w:val="18"/>
                <w:szCs w:val="18"/>
              </w:rPr>
              <w:t xml:space="preserve">InstallDir</w:t>
            </w:r>
            <w:r>
              <w:rPr>
                <w:sz w:val="19"/>
                <w:szCs w:val="19"/>
              </w:rPr>
              <w:t xml:space="preserve">, </w:t>
            </w:r>
            <w:r>
              <w:rPr>
                <w:rFonts w:ascii="Consolas" w:cs="Consolas" w:eastAsia="Consolas" w:hAnsi="Consolas"/>
                <w:sz w:val="18"/>
                <w:szCs w:val="18"/>
              </w:rPr>
              <w:t xml:space="preserve">Version</w:t>
            </w:r>
            <w:r>
              <w:rPr>
                <w:sz w:val="19"/>
                <w:szCs w:val="19"/>
              </w:rPr>
              <w:t xml:space="preserve"> (vom Setup)</w:t>
            </w:r>
          </w:p>
        </w:tc>
      </w:tr>
      <w:tr>
        <w:trPr>
          <w:cantSplit/>
          <w:tblHeader w:val="false"/>
        </w:trPr>
        <w:tc>
          <w:tcPr>
            <w:tcW w:type="dxa" w:w="328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onsolas" w:cs="Consolas" w:eastAsia="Consolas" w:hAnsi="Consolas"/>
                <w:sz w:val="18"/>
                <w:szCs w:val="18"/>
              </w:rPr>
              <w:t xml:space="preserve">HKCU\Software\wp-plan</w:t>
            </w:r>
          </w:p>
        </w:tc>
        <w:tc>
          <w:tcPr>
            <w:tcW w:type="dxa" w:w="635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Sprache, KI-Werte, Einwilligung, Lizenzanker, </w:t>
            </w:r>
            <w:r>
              <w:rPr>
                <w:rFonts w:ascii="Consolas" w:cs="Consolas" w:eastAsia="Consolas" w:hAnsi="Consolas"/>
                <w:sz w:val="18"/>
                <w:szCs w:val="18"/>
              </w:rPr>
              <w:t xml:space="preserve">Entwicklermodus</w:t>
            </w:r>
          </w:p>
        </w:tc>
      </w:tr>
      <w:tr>
        <w:trPr>
          <w:cantSplit/>
          <w:tblHeader w:val="false"/>
        </w:trPr>
        <w:tc>
          <w:tcPr>
            <w:tcW w:type="dxa" w:w="328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onsolas" w:cs="Consolas" w:eastAsia="Consolas" w:hAnsi="Consolas"/>
                <w:sz w:val="18"/>
                <w:szCs w:val="18"/>
              </w:rPr>
              <w:t xml:space="preserve">HKLM\SOFTWARE\wp-plan</w:t>
            </w:r>
          </w:p>
        </w:tc>
        <w:tc>
          <w:tcPr>
            <w:tcW w:type="dxa" w:w="635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maschinenweite Sperren: </w:t>
            </w:r>
            <w:r>
              <w:rPr>
                <w:rFonts w:ascii="Consolas" w:cs="Consolas" w:eastAsia="Consolas" w:hAnsi="Consolas"/>
                <w:sz w:val="18"/>
                <w:szCs w:val="18"/>
              </w:rPr>
              <w:t xml:space="preserve">KiDeaktiviert</w:t>
            </w:r>
            <w:r>
              <w:rPr>
                <w:sz w:val="19"/>
                <w:szCs w:val="19"/>
              </w:rPr>
              <w:t xml:space="preserve">, </w:t>
            </w:r>
            <w:r>
              <w:rPr>
                <w:rFonts w:ascii="Consolas" w:cs="Consolas" w:eastAsia="Consolas" w:hAnsi="Consolas"/>
                <w:sz w:val="18"/>
                <w:szCs w:val="18"/>
              </w:rPr>
              <w:t xml:space="preserve">EntwicklermodusGesperrt</w:t>
            </w:r>
          </w:p>
        </w:tc>
      </w:tr>
      <w:tr>
        <w:trPr>
          <w:cantSplit/>
          <w:tblHeader w:val="false"/>
        </w:trPr>
        <w:tc>
          <w:tcPr>
            <w:tcW w:type="dxa" w:w="328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onsolas" w:cs="Consolas" w:eastAsia="Consolas" w:hAnsi="Consolas"/>
                <w:sz w:val="18"/>
                <w:szCs w:val="18"/>
              </w:rPr>
              <w:t xml:space="preserve">user.config</w:t>
            </w:r>
            <w:r>
              <w:rPr>
                <w:sz w:val="19"/>
                <w:szCs w:val="19"/>
              </w:rPr>
              <w:t xml:space="preserve"> der Anwendung</w:t>
            </w:r>
          </w:p>
        </w:tc>
        <w:tc>
          <w:tcPr>
            <w:tcW w:type="dxa" w:w="635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onsolas" w:cs="Consolas" w:eastAsia="Consolas" w:hAnsi="Consolas"/>
                <w:sz w:val="18"/>
                <w:szCs w:val="18"/>
              </w:rPr>
              <w:t xml:space="preserve">DBPath</w:t>
            </w:r>
            <w:r>
              <w:rPr>
                <w:sz w:val="19"/>
                <w:szCs w:val="19"/>
              </w:rPr>
              <w:t xml:space="preserve">, </w:t>
            </w:r>
            <w:r>
              <w:rPr>
                <w:rFonts w:ascii="Consolas" w:cs="Consolas" w:eastAsia="Consolas" w:hAnsi="Consolas"/>
                <w:sz w:val="18"/>
                <w:szCs w:val="18"/>
              </w:rPr>
              <w:t xml:space="preserve">DBName</w:t>
            </w:r>
            <w:r>
              <w:rPr>
                <w:sz w:val="19"/>
                <w:szCs w:val="19"/>
              </w:rPr>
              <w:t xml:space="preserve">, Web-Adressen, Pfade (Einstellungsdialog)</w:t>
            </w:r>
          </w:p>
        </w:tc>
      </w:tr>
      <w:tr>
        <w:trPr>
          <w:cantSplit/>
          <w:tblHeader w:val="false"/>
        </w:trPr>
        <w:tc>
          <w:tcPr>
            <w:tcW w:type="dxa" w:w="328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onsolas" w:cs="Consolas" w:eastAsia="Consolas" w:hAnsi="Consolas"/>
                <w:sz w:val="18"/>
                <w:szCs w:val="18"/>
              </w:rPr>
              <w:t xml:space="preserve">%APPDATA%\wp-plan\</w:t>
            </w:r>
          </w:p>
        </w:tc>
        <w:tc>
          <w:tcPr>
            <w:tcW w:type="dxa" w:w="635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onsolas" w:cs="Consolas" w:eastAsia="Consolas" w:hAnsi="Consolas"/>
                <w:sz w:val="18"/>
                <w:szCs w:val="18"/>
              </w:rPr>
              <w:t xml:space="preserve">lizenz.dat</w:t>
            </w:r>
            <w:r>
              <w:rPr>
                <w:sz w:val="19"/>
                <w:szCs w:val="19"/>
              </w:rPr>
              <w:t xml:space="preserve">, </w:t>
            </w:r>
            <w:r>
              <w:rPr>
                <w:rFonts w:ascii="Consolas" w:cs="Consolas" w:eastAsia="Consolas" w:hAnsi="Consolas"/>
                <w:sz w:val="18"/>
                <w:szCs w:val="18"/>
              </w:rPr>
              <w:t xml:space="preserve">lizenz-zeit.dat</w:t>
            </w:r>
            <w:r>
              <w:rPr>
                <w:sz w:val="19"/>
                <w:szCs w:val="19"/>
              </w:rPr>
              <w:t xml:space="preserve">, </w:t>
            </w:r>
            <w:r>
              <w:rPr>
                <w:rFonts w:ascii="Consolas" w:cs="Consolas" w:eastAsia="Consolas" w:hAnsi="Consolas"/>
                <w:sz w:val="18"/>
                <w:szCs w:val="18"/>
              </w:rPr>
              <w:t xml:space="preserve">ki-schluessel.dat</w:t>
            </w:r>
            <w:r>
              <w:rPr>
                <w:sz w:val="19"/>
                <w:szCs w:val="19"/>
              </w:rPr>
              <w:t xml:space="preserve"> (DPAPI)</w:t>
            </w:r>
          </w:p>
        </w:tc>
      </w:tr>
      <w:tr>
        <w:trPr>
          <w:cantSplit/>
          <w:tblHeader w:val="false"/>
        </w:trPr>
        <w:tc>
          <w:tcPr>
            <w:tcW w:type="dxa" w:w="328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onsolas" w:cs="Consolas" w:eastAsia="Consolas" w:hAnsi="Consolas"/>
                <w:sz w:val="18"/>
                <w:szCs w:val="18"/>
              </w:rPr>
              <w:t xml:space="preserve">%ProgramData%\EPOS_PLAN\</w:t>
            </w:r>
          </w:p>
        </w:tc>
        <w:tc>
          <w:tcPr>
            <w:tcW w:type="dxa" w:w="635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onsolas" w:cs="Consolas" w:eastAsia="Consolas" w:hAnsi="Consolas"/>
                <w:sz w:val="18"/>
                <w:szCs w:val="18"/>
              </w:rPr>
              <w:t xml:space="preserve">Kenndaten.sqlite</w:t>
            </w:r>
            <w:r>
              <w:rPr>
                <w:sz w:val="19"/>
                <w:szCs w:val="19"/>
              </w:rPr>
              <w:t xml:space="preserve">, </w:t>
            </w:r>
            <w:r>
              <w:rPr>
                <w:rFonts w:ascii="Consolas" w:cs="Consolas" w:eastAsia="Consolas" w:hAnsi="Consolas"/>
                <w:sz w:val="18"/>
                <w:szCs w:val="18"/>
              </w:rPr>
              <w:t xml:space="preserve">DB-Backup\</w:t>
            </w:r>
            <w:r>
              <w:rPr>
                <w:sz w:val="19"/>
                <w:szCs w:val="19"/>
              </w:rPr>
              <w:t xml:space="preserve">, </w:t>
            </w:r>
            <w:r>
              <w:rPr>
                <w:rFonts w:ascii="Consolas" w:cs="Consolas" w:eastAsia="Consolas" w:hAnsi="Consolas"/>
                <w:sz w:val="18"/>
                <w:szCs w:val="18"/>
              </w:rPr>
              <w:t xml:space="preserve">Logs\</w:t>
            </w:r>
          </w:p>
        </w:tc>
      </w:tr>
      <w:tr>
        <w:trPr>
          <w:cantSplit/>
          <w:tblHeader w:val="false"/>
        </w:trPr>
        <w:tc>
          <w:tcPr>
            <w:tcW w:type="dxa" w:w="328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onsolas" w:cs="Consolas" w:eastAsia="Consolas" w:hAnsi="Consolas"/>
                <w:sz w:val="18"/>
                <w:szCs w:val="18"/>
              </w:rPr>
              <w:t xml:space="preserve">%LOCALAPPDATA%\WP-Plan\WebView2</w:t>
            </w:r>
          </w:p>
        </w:tc>
        <w:tc>
          <w:tcPr>
            <w:tcW w:type="dxa" w:w="635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Daten der WebView2</w:t>
            </w:r>
          </w:p>
        </w:tc>
      </w:tr>
    </w:tbl>
    <w:p>
      <w:pPr>
        <w:spacing w:after="120"/>
      </w:pPr>
    </w:p>
    <w:p>
      <w:pPr>
        <w:spacing w:after="120"/>
      </w:pPr>
      <w:r>
        <w:t xml:space="preserve">Nachstellen eines Falls ohne Fernwartung: Projektpaket (</w:t>
      </w:r>
      <w:r>
        <w:rPr>
          <w:rFonts w:ascii="Consolas" w:cs="Consolas" w:eastAsia="Consolas" w:hAnsi="Consolas"/>
          <w:sz w:val="20"/>
          <w:szCs w:val="20"/>
        </w:rPr>
        <w:t xml:space="preserve">.wpx</w:t>
      </w:r>
      <w:r>
        <w:t xml:space="preserve">) vom Kunden erbitten, bei INEKON importieren, mit dem Referenzlauf rechnen.</w:t>
      </w:r>
    </w:p>
    <w:p>
      <w:pPr>
        <w:pStyle w:val="Heading1"/>
      </w:pPr>
      <w:r>
        <w:t xml:space="preserve">4 Fernwartung aus Supportsicht [Stufe 2]</w:t>
      </w:r>
    </w:p>
    <w:p>
      <w:pPr>
        <w:pStyle w:val="Heading2"/>
      </w:pPr>
      <w:r>
        <w:t xml:space="preserve">4.1 Das Werkzeug</w:t>
      </w:r>
    </w:p>
    <w:p>
      <w:pPr>
        <w:spacing w:after="120"/>
      </w:pPr>
      <w:r>
        <w:t xml:space="preserve">Windows Quick Assist (Entscheid AS-Q7): in Windows 10 und 11 enthalten, von Microsoft signiert, ohne Lizenz und ohne Server. Fernwartungsseite (Anleitung): </w:t>
      </w:r>
      <w:r>
        <w:rPr>
          <w:rFonts w:ascii="Consolas" w:cs="Consolas" w:eastAsia="Consolas" w:hAnsi="Consolas"/>
          <w:sz w:val="20"/>
          <w:szCs w:val="20"/>
        </w:rPr>
        <w:t xml:space="preserve">https://epos-plan.de/support/fernwartung</w:t>
      </w:r>
      <w:r>
        <w:t xml:space="preserve">. Der Support braucht ein Microsoft-Konto (Firmenkonto von INEKON bevorzugt) und Quick Assist am Arbeitsplatz. Zugangsdaten der Konten verwahrt INEKON außerhalb des Repositoriums; sie stehen nie in diesem Handbuch und nie im Quelltext.</w:t>
      </w:r>
    </w:p>
    <w:p>
      <w:pPr>
        <w:pStyle w:val="Heading2"/>
      </w:pPr>
      <w:r>
        <w:t xml:space="preserve">4.2 Was der Anwender tut</w:t>
      </w:r>
    </w:p>
    <w:p>
      <w:pPr>
        <w:pStyle w:val="ListParagraph"/>
        <w:numPr>
          <w:ilvl w:val="0"/>
          <w:numId w:val="4"/>
        </w:numPr>
        <w:spacing w:after="60"/>
      </w:pPr>
      <w:r>
        <w:rPr>
          <w:i/>
          <w:iCs/>
        </w:rPr>
        <w:t xml:space="preserve">Hilfe → Fernwartung…</w:t>
      </w:r>
      <w:r>
        <w:t xml:space="preserve"> öffnet den Dialog: Kontakt, die Angaben für den Support (Abschnitt 3.3), der Erklärtext, die drei Schritte und die Knöpfe „Quick Assist starten" und „Fernwartungsseite öffnen". Ohne bezahlte Lizenz sind die Knöpfe gesperrt, der Grund steht dabei (Abschnitt 4.4). Telefon und E-Mail (Link) stehen im Dialog immer.</w:t>
      </w:r>
    </w:p>
    <w:p>
      <w:pPr>
        <w:pStyle w:val="ListParagraph"/>
        <w:numPr>
          <w:ilvl w:val="0"/>
          <w:numId w:val="4"/>
        </w:numPr>
        <w:spacing w:after="60"/>
      </w:pPr>
      <w:r>
        <w:t xml:space="preserve">Er ruft INEKON an.</w:t>
      </w:r>
    </w:p>
    <w:p>
      <w:pPr>
        <w:pStyle w:val="ListParagraph"/>
        <w:numPr>
          <w:ilvl w:val="0"/>
          <w:numId w:val="4"/>
        </w:numPr>
        <w:spacing w:after="60"/>
      </w:pPr>
      <w:r>
        <w:t xml:space="preserve">Mit „Quick Assist starten" öffnet er Quick Assist und gibt den sechsstelligen Code ein, den der Support nennt. Fehlt Quick Assist, zeigt der Dialog einen Hinweis (Startmenü oder Fernwartungsseite).</w:t>
      </w:r>
    </w:p>
    <w:p>
      <w:pPr>
        <w:pStyle w:val="ListParagraph"/>
        <w:numPr>
          <w:ilvl w:val="0"/>
          <w:numId w:val="4"/>
        </w:numPr>
        <w:spacing w:after="60"/>
      </w:pPr>
      <w:r>
        <w:t xml:space="preserve">Er erlaubt Ansicht oder Steuerung, wenn Quick Assist fragt, und beendet die Sitzung jederzeit in Quick Assist. Es bleibt nichts installiert.</w:t>
      </w:r>
    </w:p>
    <w:p>
      <w:pPr>
        <w:pStyle w:val="Heading2"/>
      </w:pPr>
      <w:r>
        <w:t xml:space="preserve">4.3 Was der Support tut</w:t>
      </w:r>
    </w:p>
    <w:p>
      <w:pPr>
        <w:pStyle w:val="ListParagraph"/>
        <w:numPr>
          <w:ilvl w:val="0"/>
          <w:numId w:val="5"/>
        </w:numPr>
        <w:spacing w:after="60"/>
      </w:pPr>
      <w:r>
        <w:t xml:space="preserve">Quick Assist öffnen, „Einer anderen Person helfen" wählen, mit dem Microsoft-Konto von INEKON anmelden; der Code gilt zehn Minuten. Den Code am Telefon nennen, nach der Annahme „Vollständige Steuerung" oder „Bildschirm anzeigen" wählen; der Anwender bestätigt.</w:t>
      </w:r>
    </w:p>
    <w:p>
      <w:pPr>
        <w:pStyle w:val="ListParagraph"/>
        <w:numPr>
          <w:ilvl w:val="0"/>
          <w:numId w:val="5"/>
        </w:numPr>
        <w:spacing w:after="60"/>
      </w:pPr>
      <w:r>
        <w:t xml:space="preserve">In der Sitzung bei Bedarf den Entwicklermodus einschalten: </w:t>
      </w:r>
      <w:r>
        <w:rPr>
          <w:rFonts w:ascii="Consolas" w:cs="Consolas" w:eastAsia="Consolas" w:hAnsi="Consolas"/>
          <w:sz w:val="20"/>
          <w:szCs w:val="20"/>
        </w:rPr>
        <w:t xml:space="preserve">--entwickler</w:t>
      </w:r>
      <w:r>
        <w:t xml:space="preserve"> über eine Verknüpfung oder die Tastenfolge aus Abschnitt 1.1. </w:t>
      </w:r>
      <w:r>
        <w:rPr>
          <w:b/>
          <w:bCs/>
        </w:rPr>
        <w:t xml:space="preserve">Vor dem Ende der Sitzung wieder ausschalten.</w:t>
      </w:r>
    </w:p>
    <w:p>
      <w:pPr>
        <w:pStyle w:val="ListParagraph"/>
        <w:numPr>
          <w:ilvl w:val="0"/>
          <w:numId w:val="5"/>
        </w:numPr>
        <w:spacing w:after="60"/>
      </w:pPr>
      <w:r>
        <w:t xml:space="preserve">Soll ein Update eingespielt werden, braucht das Setup Administratorrechte. Die Windows-Abfrage sieht der Support nur bei voller Steuerung und wenn Quick Assist sie weitergibt; sonst muss der Anwender sie selbst bestätigen. Vorher mit dem Anwender absprechen.</w:t>
      </w:r>
    </w:p>
    <w:p>
      <w:pPr>
        <w:pStyle w:val="ListParagraph"/>
        <w:numPr>
          <w:ilvl w:val="0"/>
          <w:numId w:val="5"/>
        </w:numPr>
        <w:spacing w:after="60"/>
      </w:pPr>
      <w:r>
        <w:t xml:space="preserve">Ob der Anwender die Fernwartung nutzen darf, prüft der Support an </w:t>
      </w:r>
      <w:r>
        <w:rPr>
          <w:rFonts w:ascii="Consolas" w:cs="Consolas" w:eastAsia="Consolas" w:hAnsi="Consolas"/>
          <w:sz w:val="20"/>
          <w:szCs w:val="20"/>
        </w:rPr>
        <w:t xml:space="preserve">LizenzCtrl.FernwartungErlaubt()</w:t>
      </w:r>
      <w:r>
        <w:t xml:space="preserve"> (Erlaubt, Grund) oder am Menüpunkt: ist er gesperrt, steht der Grund im Tooltip. Ist die Lage unklar, lässt er sich den Diagnoseblock aus dem Dialog (Knopf „Kopieren“) per E-Mail schicken. Führt der Knopf „Fernwartungsseite öffnen" ins Leere, fehlt die Seite </w:t>
      </w:r>
      <w:r>
        <w:rPr>
          <w:rFonts w:ascii="Consolas" w:cs="Consolas" w:eastAsia="Consolas" w:hAnsi="Consolas"/>
          <w:sz w:val="20"/>
          <w:szCs w:val="20"/>
        </w:rPr>
        <w:t xml:space="preserve">Fernwartung.SEITE</w:t>
      </w:r>
      <w:r>
        <w:t xml:space="preserve"> (</w:t>
      </w:r>
      <w:r>
        <w:rPr>
          <w:rFonts w:ascii="Consolas" w:cs="Consolas" w:eastAsia="Consolas" w:hAnsi="Consolas"/>
          <w:sz w:val="20"/>
          <w:szCs w:val="20"/>
        </w:rPr>
        <w:t xml:space="preserve">EPOS.Kern/Allgemein/Support/Fernwartung.cs</w:t>
      </w:r>
      <w:r>
        <w:t xml:space="preserve">) bei INEKON: Seite prüfen (4.6) und bis dahin den Weg Telefon und E-Mail nehmen.</w:t>
      </w:r>
    </w:p>
    <w:p>
      <w:pPr>
        <w:pStyle w:val="ListParagraph"/>
        <w:numPr>
          <w:ilvl w:val="0"/>
          <w:numId w:val="5"/>
        </w:numPr>
        <w:spacing w:after="60"/>
      </w:pPr>
      <w:r>
        <w:t xml:space="preserve">Nach der Sitzung: kein Eintrag in EPOS-Plan; EPOS-Plan zeichnet nichts auf.</w:t>
      </w:r>
    </w:p>
    <w:p>
      <w:pPr>
        <w:pStyle w:val="Heading2"/>
      </w:pPr>
      <w:r>
        <w:t xml:space="preserve">4.4 Die Lizenzbedingung (AS-Q8, Lesart b)</w:t>
      </w:r>
    </w:p>
    <w:p>
      <w:pPr>
        <w:spacing w:after="120"/>
      </w:pPr>
      <w:r>
        <w:t xml:space="preserve">Der Knopf ist frei, wenn ein Lizenz-Token vom Typ </w:t>
      </w:r>
      <w:r>
        <w:rPr>
          <w:rFonts w:ascii="Consolas" w:cs="Consolas" w:eastAsia="Consolas" w:hAnsi="Consolas"/>
          <w:sz w:val="20"/>
          <w:szCs w:val="20"/>
        </w:rPr>
        <w:t xml:space="preserve">person</w:t>
      </w:r>
      <w:r>
        <w:t xml:space="preserve"> oder </w:t>
      </w:r>
      <w:r>
        <w:rPr>
          <w:rFonts w:ascii="Consolas" w:cs="Consolas" w:eastAsia="Consolas" w:hAnsi="Consolas"/>
          <w:sz w:val="20"/>
          <w:szCs w:val="20"/>
        </w:rPr>
        <w:t xml:space="preserve">firma</w:t>
      </w:r>
      <w:r>
        <w:t xml:space="preserve"> vorhanden ist — gleich ob gültig, in Kulanz oder abgelaufen (Lesemodus). Gesperrt bleibt er in der Testversion (</w:t>
      </w:r>
      <w:r>
        <w:rPr>
          <w:rFonts w:ascii="Consolas" w:cs="Consolas" w:eastAsia="Consolas" w:hAnsi="Consolas"/>
          <w:sz w:val="20"/>
          <w:szCs w:val="20"/>
        </w:rPr>
        <w:t xml:space="preserve">demo</w:t>
      </w:r>
      <w:r>
        <w:t xml:space="preserve">, Grund </w:t>
      </w:r>
      <w:r>
        <w:rPr>
          <w:rFonts w:ascii="Consolas" w:cs="Consolas" w:eastAsia="Consolas" w:hAnsi="Consolas"/>
          <w:sz w:val="20"/>
          <w:szCs w:val="20"/>
        </w:rPr>
        <w:t xml:space="preserve">FW_SPERRE_TEST</w:t>
      </w:r>
      <w:r>
        <w:t xml:space="preserve">), ohne Aktivierung (</w:t>
      </w:r>
      <w:r>
        <w:rPr>
          <w:rFonts w:ascii="Consolas" w:cs="Consolas" w:eastAsia="Consolas" w:hAnsi="Consolas"/>
          <w:sz w:val="20"/>
          <w:szCs w:val="20"/>
        </w:rPr>
        <w:t xml:space="preserve">NichtAktiviert</w:t>
      </w:r>
      <w:r>
        <w:t xml:space="preserve">, Grund </w:t>
      </w:r>
      <w:r>
        <w:rPr>
          <w:rFonts w:ascii="Consolas" w:cs="Consolas" w:eastAsia="Consolas" w:hAnsi="Consolas"/>
          <w:sz w:val="20"/>
          <w:szCs w:val="20"/>
        </w:rPr>
        <w:t xml:space="preserve">FW_SPERRE_LIZENZ</w:t>
      </w:r>
      <w:r>
        <w:t xml:space="preserve">), bei manipulierter Uhr (</w:t>
      </w:r>
      <w:r>
        <w:rPr>
          <w:rFonts w:ascii="Consolas" w:cs="Consolas" w:eastAsia="Consolas" w:hAnsi="Consolas"/>
          <w:sz w:val="20"/>
          <w:szCs w:val="20"/>
        </w:rPr>
        <w:t xml:space="preserve">UhrManipuliert</w:t>
      </w:r>
      <w:r>
        <w:t xml:space="preserve">), bei unbekanntem Lizenztyp und bei einem Token eines fremden Geräts. Für diese Fälle gilt Telefon und E-Mail mit Diagnosedaten; eine Testversion bekommt keine Fernwartung. Die Frage stellt </w:t>
      </w:r>
      <w:r>
        <w:rPr>
          <w:rFonts w:ascii="Consolas" w:cs="Consolas" w:eastAsia="Consolas" w:hAnsi="Consolas"/>
          <w:sz w:val="20"/>
          <w:szCs w:val="20"/>
        </w:rPr>
        <w:t xml:space="preserve">LizenzCtrl.FernwartungErlaubt()</w:t>
      </w:r>
      <w:r>
        <w:t xml:space="preserve"> (ohne Nebenwirkung, liefert </w:t>
      </w:r>
      <w:r>
        <w:rPr>
          <w:rFonts w:ascii="Consolas" w:cs="Consolas" w:eastAsia="Consolas" w:hAnsi="Consolas"/>
          <w:sz w:val="20"/>
          <w:szCs w:val="20"/>
        </w:rPr>
        <w:t xml:space="preserve">Fernwartungsfreigabe(Erlaubt, Grund)</w:t>
      </w:r>
      <w:r>
        <w:t xml:space="preserve">); ein Supportvertrag im Token (</w:t>
      </w:r>
      <w:r>
        <w:rPr>
          <w:rFonts w:ascii="Consolas" w:cs="Consolas" w:eastAsia="Consolas" w:hAnsi="Consolas"/>
          <w:sz w:val="20"/>
          <w:szCs w:val="20"/>
        </w:rPr>
        <w:t xml:space="preserve">support_bis</w:t>
      </w:r>
      <w:r>
        <w:t xml:space="preserve">) ist Stufe 4 und ändert die Regel erst dann.</w:t>
      </w:r>
    </w:p>
    <w:p>
      <w:pPr>
        <w:spacing w:after="120"/>
      </w:pPr>
      <w:r>
        <w:t xml:space="preserve">Fundstellen des Dialogs: </w:t>
      </w:r>
      <w:r>
        <w:rPr>
          <w:rFonts w:ascii="Consolas" w:cs="Consolas" w:eastAsia="Consolas" w:hAnsi="Consolas"/>
          <w:sz w:val="20"/>
          <w:szCs w:val="20"/>
        </w:rPr>
        <w:t xml:space="preserve">FernwartungDialog</w:t>
      </w:r>
      <w:r>
        <w:t xml:space="preserve"> und </w:t>
      </w:r>
      <w:r>
        <w:rPr>
          <w:rFonts w:ascii="Consolas" w:cs="Consolas" w:eastAsia="Consolas" w:hAnsi="Consolas"/>
          <w:sz w:val="20"/>
          <w:szCs w:val="20"/>
        </w:rPr>
        <w:t xml:space="preserve">FernwartungFenster</w:t>
      </w:r>
      <w:r>
        <w:t xml:space="preserve">; der Start von Quick Assist liegt in </w:t>
      </w:r>
      <w:r>
        <w:rPr>
          <w:rFonts w:ascii="Consolas" w:cs="Consolas" w:eastAsia="Consolas" w:hAnsi="Consolas"/>
          <w:sz w:val="20"/>
          <w:szCs w:val="20"/>
        </w:rPr>
        <w:t xml:space="preserve">WindowsFormsApplication1/Allgemein/Support/QuickAssistStart.cs</w:t>
      </w:r>
      <w:r>
        <w:t xml:space="preserve"> (Abschnitt 6).</w:t>
      </w:r>
    </w:p>
    <w:p>
      <w:pPr>
        <w:pStyle w:val="Heading2"/>
      </w:pPr>
      <w:r>
        <w:t xml:space="preserve">4.5 iPad</w:t>
      </w:r>
    </w:p>
    <w:p>
      <w:pPr>
        <w:spacing w:after="120"/>
      </w:pPr>
      <w:r>
        <w:t xml:space="preserve">Zurückgestellt (Anwender 11.10.2026: „wird später bearbeitet"). Stufe 2 baut die Fernwartung für Windows; auf dem iPad gibt es weder Menüpunkt noch Dialog, bis der iPad-Weg entschieden ist. Befund für dann: Quick Assist gibt es auf dem iPad nicht. Der Supportweg vom iPad ist bis dahin Telefon und E-Mail.</w:t>
      </w:r>
    </w:p>
    <w:p>
      <w:pPr>
        <w:pStyle w:val="Heading2"/>
      </w:pPr>
      <w:r>
        <w:t xml:space="preserve">4.6 Betrieb bei INEKON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34"/>
        <w:gridCol w:w="6804"/>
      </w:tblGrid>
      <w:tr>
        <w:trPr>
          <w:cantSplit/>
          <w:tblHeader/>
        </w:trPr>
        <w:tc>
          <w:tcPr>
            <w:tcW w:type="dxa" w:w="2834"/>
            <w:tcBorders>
              <w:top w:val="single" w:color="A6A6A6" w:sz="4"/>
              <w:left w:val="single" w:color="A6A6A6" w:sz="4"/>
              <w:bottom w:val="single" w:color="A6A6A6" w:sz="4"/>
              <w:right w:val="single" w:color="A6A6A6" w:sz="4"/>
            </w:tcBorders>
            <w:shd w:fill="D9D9D9" w:color="auto" w:val="clear"/>
            <w:tcMar>
              <w:top w:type="dxa" w:w="50"/>
              <w:left w:type="dxa" w:w="90"/>
              <w:bottom w:type="dxa" w:w="50"/>
              <w:right w:type="dxa" w:w="90"/>
            </w:tcMar>
          </w:tcPr>
          <w:p>
            <w:pPr>
              <w:spacing w:after="0"/>
            </w:pPr>
            <w:r>
              <w:rPr>
                <w:b/>
                <w:bCs/>
                <w:sz w:val="19"/>
                <w:szCs w:val="19"/>
              </w:rPr>
              <w:t xml:space="preserve">Aufgabe</w:t>
            </w:r>
          </w:p>
        </w:tc>
        <w:tc>
          <w:tcPr>
            <w:tcW w:type="dxa" w:w="6804"/>
            <w:tcBorders>
              <w:top w:val="single" w:color="A6A6A6" w:sz="4"/>
              <w:left w:val="single" w:color="A6A6A6" w:sz="4"/>
              <w:bottom w:val="single" w:color="A6A6A6" w:sz="4"/>
              <w:right w:val="single" w:color="A6A6A6" w:sz="4"/>
            </w:tcBorders>
            <w:shd w:fill="D9D9D9" w:color="auto" w:val="clear"/>
            <w:tcMar>
              <w:top w:type="dxa" w:w="50"/>
              <w:left w:type="dxa" w:w="90"/>
              <w:bottom w:type="dxa" w:w="50"/>
              <w:right w:type="dxa" w:w="90"/>
            </w:tcMar>
          </w:tcPr>
          <w:p>
            <w:pPr>
              <w:spacing w:after="0"/>
            </w:pPr>
            <w:r>
              <w:rPr>
                <w:b/>
                <w:bCs/>
                <w:sz w:val="19"/>
                <w:szCs w:val="19"/>
              </w:rPr>
              <w:t xml:space="preserve">Wie</w:t>
            </w:r>
          </w:p>
        </w:tc>
      </w:tr>
      <w:tr>
        <w:trPr>
          <w:cantSplit/>
          <w:tblHeader w:val="false"/>
        </w:trPr>
        <w:tc>
          <w:tcPr>
            <w:tcW w:type="dxa" w:w="283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Support-Konto anlegen</w:t>
            </w:r>
          </w:p>
        </w:tc>
        <w:tc>
          <w:tcPr>
            <w:tcW w:type="dxa" w:w="680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Microsoft-Konto je Mitarbeiter (Firmenkonto bevorzugt); Quick Assist am Arbeitsplatz einmal anmelden und eine Probesitzung zwischen zwei INEKON-Rechnern fahren</w:t>
            </w:r>
          </w:p>
        </w:tc>
      </w:tr>
      <w:tr>
        <w:trPr>
          <w:cantSplit/>
          <w:tblHeader w:val="false"/>
        </w:trPr>
        <w:tc>
          <w:tcPr>
            <w:tcW w:type="dxa" w:w="283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Fernwartungsseite pflegen</w:t>
            </w:r>
          </w:p>
        </w:tc>
        <w:tc>
          <w:tcPr>
            <w:tcW w:type="dxa" w:w="680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Anleitung auf epos-plan.de prüfen, wenn Quick Assist seine Oberfläche ändert; Schritte, Bilder, Telefon und Zeiten, Satz für das iPad</w:t>
            </w:r>
          </w:p>
        </w:tc>
      </w:tr>
      <w:tr>
        <w:trPr>
          <w:cantSplit/>
          <w:tblHeader w:val="false"/>
        </w:trPr>
        <w:tc>
          <w:tcPr>
            <w:tcW w:type="dxa" w:w="283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Quick Assist gesperrt</w:t>
            </w:r>
          </w:p>
        </w:tc>
        <w:tc>
          <w:tcPr>
            <w:tcW w:type="dxa" w:w="680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Reserve: quelloffener RustDesk-Client mit Serverangabe im Dateinamen </w:t>
            </w:r>
            <w:r>
              <w:rPr>
                <w:rFonts w:ascii="Consolas" w:cs="Consolas" w:eastAsia="Consolas" w:hAnsi="Consolas"/>
                <w:sz w:val="18"/>
                <w:szCs w:val="18"/>
              </w:rPr>
              <w:t xml:space="preserve">rustdesk-host=&lt;server&gt;,key=&lt;schlüssel&gt;.exe</w:t>
            </w:r>
            <w:r>
              <w:rPr>
                <w:sz w:val="19"/>
                <w:szCs w:val="19"/>
              </w:rPr>
              <w:t xml:space="preserve"> gegen einen eigenen quelloffenen Server; erst einrichten, wenn der Fall eintritt</w:t>
            </w:r>
          </w:p>
        </w:tc>
      </w:tr>
    </w:tbl>
    <w:p>
      <w:pPr>
        <w:spacing w:after="120"/>
      </w:pPr>
    </w:p>
    <w:p>
      <w:pPr>
        <w:pStyle w:val="Heading1"/>
      </w:pPr>
      <w:r>
        <w:t xml:space="preserve">5 Wachen und 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89"/>
        <w:gridCol w:w="4589"/>
        <w:gridCol w:w="460"/>
      </w:tblGrid>
      <w:tr>
        <w:trPr>
          <w:cantSplit/>
          <w:tblHeader/>
        </w:trPr>
        <w:tc>
          <w:tcPr>
            <w:tcW w:type="dxa" w:w="4589"/>
            <w:tcBorders>
              <w:top w:val="single" w:color="A6A6A6" w:sz="4"/>
              <w:left w:val="single" w:color="A6A6A6" w:sz="4"/>
              <w:bottom w:val="single" w:color="A6A6A6" w:sz="4"/>
              <w:right w:val="single" w:color="A6A6A6" w:sz="4"/>
            </w:tcBorders>
            <w:shd w:fill="D9D9D9" w:color="auto" w:val="clear"/>
            <w:tcMar>
              <w:top w:type="dxa" w:w="50"/>
              <w:left w:type="dxa" w:w="90"/>
              <w:bottom w:type="dxa" w:w="50"/>
              <w:right w:type="dxa" w:w="90"/>
            </w:tcMar>
          </w:tcPr>
          <w:p>
            <w:pPr>
              <w:spacing w:after="0"/>
            </w:pPr>
            <w:r>
              <w:rPr>
                <w:b/>
                <w:bCs/>
                <w:sz w:val="19"/>
                <w:szCs w:val="19"/>
              </w:rPr>
              <w:t xml:space="preserve">Wache</w:t>
            </w:r>
          </w:p>
        </w:tc>
        <w:tc>
          <w:tcPr>
            <w:tcW w:type="dxa" w:w="4589"/>
            <w:tcBorders>
              <w:top w:val="single" w:color="A6A6A6" w:sz="4"/>
              <w:left w:val="single" w:color="A6A6A6" w:sz="4"/>
              <w:bottom w:val="single" w:color="A6A6A6" w:sz="4"/>
              <w:right w:val="single" w:color="A6A6A6" w:sz="4"/>
            </w:tcBorders>
            <w:shd w:fill="D9D9D9" w:color="auto" w:val="clear"/>
            <w:tcMar>
              <w:top w:type="dxa" w:w="50"/>
              <w:left w:type="dxa" w:w="90"/>
              <w:bottom w:type="dxa" w:w="50"/>
              <w:right w:type="dxa" w:w="90"/>
            </w:tcMar>
          </w:tcPr>
          <w:p>
            <w:pPr>
              <w:spacing w:after="0"/>
            </w:pPr>
            <w:r>
              <w:rPr>
                <w:b/>
                <w:bCs/>
                <w:sz w:val="19"/>
                <w:szCs w:val="19"/>
              </w:rPr>
              <w:t xml:space="preserve">Hält</w:t>
            </w:r>
          </w:p>
        </w:tc>
        <w:tc>
          <w:tcPr>
            <w:tcW w:type="dxa" w:w="460"/>
            <w:tcBorders>
              <w:top w:val="single" w:color="A6A6A6" w:sz="4"/>
              <w:left w:val="single" w:color="A6A6A6" w:sz="4"/>
              <w:bottom w:val="single" w:color="A6A6A6" w:sz="4"/>
              <w:right w:val="single" w:color="A6A6A6" w:sz="4"/>
            </w:tcBorders>
            <w:shd w:fill="D9D9D9" w:color="auto" w:val="clear"/>
            <w:tcMar>
              <w:top w:type="dxa" w:w="50"/>
              <w:left w:type="dxa" w:w="90"/>
              <w:bottom w:type="dxa" w:w="50"/>
              <w:right w:type="dxa" w:w="90"/>
            </w:tcMar>
          </w:tcPr>
          <w:p>
            <w:pPr>
              <w:spacing w:after="0"/>
            </w:pPr>
            <w:r>
              <w:rPr>
                <w:b/>
                <w:bCs/>
                <w:sz w:val="19"/>
                <w:szCs w:val="19"/>
              </w:rPr>
              <w:t xml:space="preserve">Stufe</w:t>
            </w:r>
          </w:p>
        </w:tc>
      </w:tr>
      <w:tr>
        <w:trPr>
          <w:cantSplit/>
          <w:tblHeader w:val="false"/>
        </w:trPr>
        <w:tc>
          <w:tcPr>
            <w:tcW w:type="dxa" w:w="458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onsolas" w:cs="Consolas" w:eastAsia="Consolas" w:hAnsi="Consolas"/>
                <w:sz w:val="18"/>
                <w:szCs w:val="18"/>
              </w:rPr>
              <w:t xml:space="preserve">EPOS.UI.Tests/Bausteine/EntwicklerbereicheWacheTests</w:t>
            </w:r>
            <w:r>
              <w:rPr>
                <w:sz w:val="19"/>
                <w:szCs w:val="19"/>
              </w:rPr>
              <w:t xml:space="preserve"> (Teil 1)</w:t>
            </w:r>
          </w:p>
        </w:tc>
        <w:tc>
          <w:tcPr>
            <w:tcW w:type="dxa" w:w="458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Anwenderbaum ohne Entwicklerpunkt, keine leeren Untermenüs, keine doppelten Trenner; jeder Schlüssel des Registers hat eine Fundstelle; jedes </w:t>
            </w:r>
            <w:r>
              <w:rPr>
                <w:rFonts w:ascii="Consolas" w:cs="Consolas" w:eastAsia="Consolas" w:hAnsi="Consolas"/>
                <w:sz w:val="18"/>
                <w:szCs w:val="18"/>
              </w:rPr>
              <w:t xml:space="preserve">data-stufe="entwickler"</w:t>
            </w:r>
            <w:r>
              <w:rPr>
                <w:sz w:val="19"/>
                <w:szCs w:val="19"/>
              </w:rPr>
              <w:t xml:space="preserve"> hängt an einem Gaben-Kennzeichen</w:t>
            </w:r>
          </w:p>
        </w:tc>
        <w:tc>
          <w:tcPr>
            <w:tcW w:type="dxa" w:w="4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heute</w:t>
            </w:r>
          </w:p>
        </w:tc>
      </w:tr>
      <w:tr>
        <w:trPr>
          <w:cantSplit/>
          <w:tblHeader w:val="false"/>
        </w:trPr>
        <w:tc>
          <w:tcPr>
            <w:tcW w:type="dxa" w:w="458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onsolas" w:cs="Consolas" w:eastAsia="Consolas" w:hAnsi="Consolas"/>
                <w:sz w:val="18"/>
                <w:szCs w:val="18"/>
              </w:rPr>
              <w:t xml:space="preserve">EPOS.UI.Tests/Bausteine/EntwicklerbereicheQuellenWacheTests</w:t>
            </w:r>
            <w:r>
              <w:rPr>
                <w:sz w:val="19"/>
                <w:szCs w:val="19"/>
              </w:rPr>
              <w:t xml:space="preserve"> (Teil 2), </w:t>
            </w:r>
            <w:r>
              <w:rPr>
                <w:rFonts w:ascii="Consolas" w:cs="Consolas" w:eastAsia="Consolas" w:hAnsi="Consolas"/>
                <w:sz w:val="18"/>
                <w:szCs w:val="18"/>
              </w:rPr>
              <w:t xml:space="preserve">KiEntwicklerbereichTests</w:t>
            </w:r>
          </w:p>
        </w:tc>
        <w:tc>
          <w:tcPr>
            <w:tcW w:type="dxa" w:w="458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Quellen der Elemente tragen </w:t>
            </w:r>
            <w:r>
              <w:rPr>
                <w:rFonts w:ascii="Consolas" w:cs="Consolas" w:eastAsia="Consolas" w:hAnsi="Consolas"/>
                <w:sz w:val="18"/>
                <w:szCs w:val="18"/>
              </w:rPr>
              <w:t xml:space="preserve">data-stufe</w:t>
            </w:r>
            <w:r>
              <w:rPr>
                <w:sz w:val="19"/>
                <w:szCs w:val="19"/>
              </w:rPr>
              <w:t xml:space="preserve">/</w:t>
            </w:r>
            <w:r>
              <w:rPr>
                <w:rFonts w:ascii="Consolas" w:cs="Consolas" w:eastAsia="Consolas" w:hAnsi="Consolas"/>
                <w:sz w:val="18"/>
                <w:szCs w:val="18"/>
              </w:rPr>
              <w:t xml:space="preserve">data-bereich</w:t>
            </w:r>
            <w:r>
              <w:rPr>
                <w:sz w:val="19"/>
                <w:szCs w:val="19"/>
              </w:rPr>
              <w:t xml:space="preserve"> und hängen am Gaben-Kennzeichen; KI-Feldkarten und Absage ohne Modus</w:t>
            </w:r>
          </w:p>
        </w:tc>
        <w:tc>
          <w:tcPr>
            <w:tcW w:type="dxa" w:w="4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heute</w:t>
            </w:r>
          </w:p>
        </w:tc>
      </w:tr>
      <w:tr>
        <w:trPr>
          <w:cantSplit/>
          <w:tblHeader w:val="false"/>
        </w:trPr>
        <w:tc>
          <w:tcPr>
            <w:tcW w:type="dxa" w:w="458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onsolas" w:cs="Consolas" w:eastAsia="Consolas" w:hAnsi="Consolas"/>
                <w:sz w:val="18"/>
                <w:szCs w:val="18"/>
              </w:rPr>
              <w:t xml:space="preserve">MenuebandTests</w:t>
            </w:r>
          </w:p>
        </w:tc>
        <w:tc>
          <w:tcPr>
            <w:tcW w:type="dxa" w:w="458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Zählungen beider Bäume, Regel „kein Untermenü mit nur einem Punkt"</w:t>
            </w:r>
          </w:p>
        </w:tc>
        <w:tc>
          <w:tcPr>
            <w:tcW w:type="dxa" w:w="4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heute</w:t>
            </w:r>
          </w:p>
        </w:tc>
      </w:tr>
      <w:tr>
        <w:trPr>
          <w:cantSplit/>
          <w:tblHeader w:val="false"/>
        </w:trPr>
        <w:tc>
          <w:tcPr>
            <w:tcW w:type="dxa" w:w="458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bunit </w:t>
            </w:r>
            <w:r>
              <w:rPr>
                <w:rFonts w:ascii="Consolas" w:cs="Consolas" w:eastAsia="Consolas" w:hAnsi="Consolas"/>
                <w:sz w:val="18"/>
                <w:szCs w:val="18"/>
              </w:rPr>
              <w:t xml:space="preserve">GebaeudeImportDialog</w:t>
            </w:r>
            <w:r>
              <w:rPr>
                <w:sz w:val="19"/>
                <w:szCs w:val="19"/>
              </w:rPr>
              <w:t xml:space="preserve">, </w:t>
            </w:r>
            <w:r>
              <w:rPr>
                <w:rFonts w:ascii="Consolas" w:cs="Consolas" w:eastAsia="Consolas" w:hAnsi="Consolas"/>
                <w:sz w:val="18"/>
                <w:szCs w:val="18"/>
              </w:rPr>
              <w:t xml:space="preserve">RaumnutzungBlatt</w:t>
            </w:r>
            <w:r>
              <w:rPr>
                <w:sz w:val="19"/>
                <w:szCs w:val="19"/>
              </w:rPr>
              <w:t xml:space="preserve">, </w:t>
            </w:r>
            <w:r>
              <w:rPr>
                <w:rFonts w:ascii="Consolas" w:cs="Consolas" w:eastAsia="Consolas" w:hAnsi="Consolas"/>
                <w:sz w:val="18"/>
                <w:szCs w:val="18"/>
              </w:rPr>
              <w:t xml:space="preserve">HauptfensterTests</w:t>
            </w:r>
            <w:r>
              <w:rPr>
                <w:sz w:val="19"/>
                <w:szCs w:val="19"/>
              </w:rPr>
              <w:t xml:space="preserve"> (Marke, Menü)</w:t>
            </w:r>
          </w:p>
        </w:tc>
        <w:tc>
          <w:tcPr>
            <w:tcW w:type="dxa" w:w="458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ohne Kennzeichen kein Projektdatei-Element, mit Kennzeichen alle</w:t>
            </w:r>
          </w:p>
        </w:tc>
        <w:tc>
          <w:tcPr>
            <w:tcW w:type="dxa" w:w="4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heute</w:t>
            </w:r>
          </w:p>
        </w:tc>
      </w:tr>
      <w:tr>
        <w:trPr>
          <w:cantSplit/>
          <w:tblHeader w:val="false"/>
        </w:trPr>
        <w:tc>
          <w:tcPr>
            <w:tcW w:type="dxa" w:w="458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onsolas" w:cs="Consolas" w:eastAsia="Consolas" w:hAnsi="Consolas"/>
                <w:sz w:val="18"/>
                <w:szCs w:val="18"/>
              </w:rPr>
              <w:t xml:space="preserve">EntwicklermodusTests</w:t>
            </w:r>
            <w:r>
              <w:rPr>
                <w:sz w:val="19"/>
                <w:szCs w:val="19"/>
              </w:rPr>
              <w:t xml:space="preserve"> (Kern)</w:t>
            </w:r>
          </w:p>
        </w:tc>
        <w:tc>
          <w:tcPr>
            <w:tcW w:type="dxa" w:w="458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Sperre schlägt alles; Quelle richtig benannt</w:t>
            </w:r>
          </w:p>
        </w:tc>
        <w:tc>
          <w:tcPr>
            <w:tcW w:type="dxa" w:w="4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heute</w:t>
            </w:r>
          </w:p>
        </w:tc>
      </w:tr>
      <w:tr>
        <w:trPr>
          <w:cantSplit/>
          <w:tblHeader w:val="false"/>
        </w:trPr>
        <w:tc>
          <w:tcPr>
            <w:tcW w:type="dxa" w:w="458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onsolas" w:cs="Consolas" w:eastAsia="Consolas" w:hAnsi="Consolas"/>
                <w:sz w:val="18"/>
                <w:szCs w:val="18"/>
              </w:rPr>
              <w:t xml:space="preserve">LizenzCtrlTests</w:t>
            </w:r>
          </w:p>
        </w:tc>
        <w:tc>
          <w:tcPr>
            <w:tcW w:type="dxa" w:w="458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onsolas" w:cs="Consolas" w:eastAsia="Consolas" w:hAnsi="Consolas"/>
                <w:sz w:val="18"/>
                <w:szCs w:val="18"/>
              </w:rPr>
              <w:t xml:space="preserve">FernwartungErlaubt</w:t>
            </w:r>
            <w:r>
              <w:rPr>
                <w:sz w:val="19"/>
                <w:szCs w:val="19"/>
              </w:rPr>
              <w:t xml:space="preserve"> für die vier Lesarten</w:t>
            </w:r>
          </w:p>
        </w:tc>
        <w:tc>
          <w:tcPr>
            <w:tcW w:type="dxa" w:w="4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2</w:t>
            </w:r>
          </w:p>
        </w:tc>
      </w:tr>
      <w:tr>
        <w:trPr>
          <w:cantSplit/>
          <w:tblHeader w:val="false"/>
        </w:trPr>
        <w:tc>
          <w:tcPr>
            <w:tcW w:type="dxa" w:w="458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bunit </w:t>
            </w:r>
            <w:r>
              <w:rPr>
                <w:rFonts w:ascii="Consolas" w:cs="Consolas" w:eastAsia="Consolas" w:hAnsi="Consolas"/>
                <w:sz w:val="18"/>
                <w:szCs w:val="18"/>
              </w:rPr>
              <w:t xml:space="preserve">FernwartungDialog</w:t>
            </w:r>
          </w:p>
        </w:tc>
        <w:tc>
          <w:tcPr>
            <w:tcW w:type="dxa" w:w="458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gesperrt und frei; Knopf ruft die Adresse</w:t>
            </w:r>
          </w:p>
        </w:tc>
        <w:tc>
          <w:tcPr>
            <w:tcW w:type="dxa" w:w="4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2</w:t>
            </w:r>
          </w:p>
        </w:tc>
      </w:tr>
      <w:tr>
        <w:trPr>
          <w:cantSplit/>
          <w:tblHeader w:val="false"/>
        </w:trPr>
        <w:tc>
          <w:tcPr>
            <w:tcW w:type="dxa" w:w="458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onsolas" w:cs="Consolas" w:eastAsia="Consolas" w:hAnsi="Consolas"/>
                <w:sz w:val="18"/>
                <w:szCs w:val="18"/>
              </w:rPr>
              <w:t xml:space="preserve">DiagnosedatenTests</w:t>
            </w:r>
            <w:r>
              <w:rPr>
                <w:sz w:val="19"/>
                <w:szCs w:val="19"/>
              </w:rPr>
              <w:t xml:space="preserve">, bunit </w:t>
            </w:r>
            <w:r>
              <w:rPr>
                <w:rFonts w:ascii="Consolas" w:cs="Consolas" w:eastAsia="Consolas" w:hAnsi="Consolas"/>
                <w:sz w:val="18"/>
                <w:szCs w:val="18"/>
              </w:rPr>
              <w:t xml:space="preserve">UeberDialog</w:t>
            </w:r>
          </w:p>
        </w:tc>
        <w:tc>
          <w:tcPr>
            <w:tcW w:type="dxa" w:w="458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Textblock vollständig; Geste schaltet</w:t>
            </w:r>
          </w:p>
        </w:tc>
        <w:tc>
          <w:tcPr>
            <w:tcW w:type="dxa" w:w="4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3</w:t>
            </w:r>
          </w:p>
        </w:tc>
      </w:tr>
      <w:tr>
        <w:trPr>
          <w:cantSplit/>
          <w:tblHeader w:val="false"/>
        </w:trPr>
        <w:tc>
          <w:tcPr>
            <w:tcW w:type="dxa" w:w="458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onsolas" w:cs="Consolas" w:eastAsia="Consolas" w:hAnsi="Consolas"/>
                <w:sz w:val="18"/>
                <w:szCs w:val="18"/>
              </w:rPr>
              <w:t xml:space="preserve">SupportpaketTests</w:t>
            </w:r>
            <w:r>
              <w:rPr>
                <w:sz w:val="19"/>
                <w:szCs w:val="19"/>
              </w:rPr>
              <w:t xml:space="preserve"> (Kern), bunit </w:t>
            </w:r>
            <w:r>
              <w:rPr>
                <w:rFonts w:ascii="Consolas" w:cs="Consolas" w:eastAsia="Consolas" w:hAnsi="Consolas"/>
                <w:sz w:val="18"/>
                <w:szCs w:val="18"/>
              </w:rPr>
              <w:t xml:space="preserve">UeberDialog</w:t>
            </w:r>
          </w:p>
        </w:tc>
        <w:tc>
          <w:tcPr>
            <w:tcW w:type="dxa" w:w="458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Paket mit Diagnosedaten, vorhandene Protokolle drin, fehlende benannt, KI-Protokoll nur mit Haken, nie </w:t>
            </w:r>
            <w:r>
              <w:rPr>
                <w:rFonts w:ascii="Consolas" w:cs="Consolas" w:eastAsia="Consolas" w:hAnsi="Consolas"/>
                <w:sz w:val="18"/>
                <w:szCs w:val="18"/>
              </w:rPr>
              <w:t xml:space="preserve">.sqlite</w:t>
            </w:r>
            <w:r>
              <w:rPr>
                <w:sz w:val="19"/>
                <w:szCs w:val="19"/>
              </w:rPr>
              <w:t xml:space="preserve">, Schreibfehler benannt; ohne Rückruf kein Knopf, Klick übergibt den Haken, Ergebniszeile</w:t>
            </w:r>
          </w:p>
        </w:tc>
        <w:tc>
          <w:tcPr>
            <w:tcW w:type="dxa" w:w="4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3</w:t>
            </w:r>
          </w:p>
        </w:tc>
      </w:tr>
    </w:tbl>
    <w:p>
      <w:pPr>
        <w:spacing w:after="120"/>
      </w:pPr>
    </w:p>
    <w:p>
      <w:pPr>
        <w:spacing w:after="120"/>
      </w:pPr>
      <w:r>
        <w:t xml:space="preserve">Laufen wie üblich über den Kern-Filter:</w:t>
      </w:r>
    </w:p>
    <w:p>
      <w:pPr>
        <w:shd w:fill="F2F2F2" w:color="auto" w:val="clear"/>
        <w:spacing w:after="0"/>
      </w:pPr>
      <w:r>
        <w:rPr>
          <w:rFonts w:ascii="Consolas" w:cs="Consolas" w:eastAsia="Consolas" w:hAnsi="Consolas"/>
          <w:sz w:val="18"/>
          <w:szCs w:val="18"/>
        </w:rPr>
        <w:t xml:space="preserve">dotnet build WP-Plan.Kern.slnf -c Release -nologo -v q -clp:ErrorsOnly</w:t>
      </w:r>
    </w:p>
    <w:p>
      <w:pPr>
        <w:shd w:fill="F2F2F2" w:color="auto" w:val="clear"/>
        <w:spacing w:after="0"/>
      </w:pPr>
      <w:r>
        <w:rPr>
          <w:rFonts w:ascii="Consolas" w:cs="Consolas" w:eastAsia="Consolas" w:hAnsi="Consolas"/>
          <w:sz w:val="18"/>
          <w:szCs w:val="18"/>
        </w:rPr>
        <w:t xml:space="preserve">dotnet test  WP-Plan.Kern.slnf -c Release --no-build --filter "FullyQualifiedName~Entwicklerbereiche" -- xUnit.ParallelizeTestCollections=false xUnit.MaxParallelThreads=2</w:t>
      </w:r>
    </w:p>
    <w:p>
      <w:pPr>
        <w:spacing w:after="120"/>
      </w:pPr>
    </w:p>
    <w:p>
      <w:pPr>
        <w:spacing w:after="120"/>
      </w:pPr>
      <w:r>
        <w:t xml:space="preserve">Die Windows-Schale (Startargument, Fenster, Explorer-Hüllen) baut auch auf Linux:</w:t>
      </w:r>
    </w:p>
    <w:p>
      <w:pPr>
        <w:shd w:fill="F2F2F2" w:color="auto" w:val="clear"/>
        <w:spacing w:after="0"/>
      </w:pPr>
      <w:r>
        <w:rPr>
          <w:rFonts w:ascii="Consolas" w:cs="Consolas" w:eastAsia="Consolas" w:hAnsi="Consolas"/>
          <w:sz w:val="18"/>
          <w:szCs w:val="18"/>
        </w:rPr>
        <w:t xml:space="preserve">dotnet build WindowsFormsApplication1/WindowsFormsApplication1.csproj -c Debug -p:Platform=x64 -p:EnableWindowsTargeting=true</w:t>
      </w:r>
    </w:p>
    <w:p>
      <w:pPr>
        <w:spacing w:after="120"/>
      </w:pPr>
    </w:p>
    <w:p>
      <w:pPr>
        <w:pStyle w:val="Heading1"/>
      </w:pPr>
      <w:r>
        <w:t xml:space="preserve">6 Fundstellen im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73"/>
        <w:gridCol w:w="5209"/>
        <w:gridCol w:w="956"/>
      </w:tblGrid>
      <w:tr>
        <w:trPr>
          <w:cantSplit/>
          <w:tblHeader/>
        </w:trPr>
        <w:tc>
          <w:tcPr>
            <w:tcW w:type="dxa" w:w="3473"/>
            <w:tcBorders>
              <w:top w:val="single" w:color="A6A6A6" w:sz="4"/>
              <w:left w:val="single" w:color="A6A6A6" w:sz="4"/>
              <w:bottom w:val="single" w:color="A6A6A6" w:sz="4"/>
              <w:right w:val="single" w:color="A6A6A6" w:sz="4"/>
            </w:tcBorders>
            <w:shd w:fill="D9D9D9" w:color="auto" w:val="clear"/>
            <w:tcMar>
              <w:top w:type="dxa" w:w="50"/>
              <w:left w:type="dxa" w:w="90"/>
              <w:bottom w:type="dxa" w:w="50"/>
              <w:right w:type="dxa" w:w="90"/>
            </w:tcMar>
          </w:tcPr>
          <w:p>
            <w:pPr>
              <w:spacing w:after="0"/>
            </w:pPr>
            <w:r>
              <w:rPr>
                <w:b/>
                <w:bCs/>
                <w:sz w:val="19"/>
                <w:szCs w:val="19"/>
              </w:rPr>
              <w:t xml:space="preserve">Baustein</w:t>
            </w:r>
          </w:p>
        </w:tc>
        <w:tc>
          <w:tcPr>
            <w:tcW w:type="dxa" w:w="5209"/>
            <w:tcBorders>
              <w:top w:val="single" w:color="A6A6A6" w:sz="4"/>
              <w:left w:val="single" w:color="A6A6A6" w:sz="4"/>
              <w:bottom w:val="single" w:color="A6A6A6" w:sz="4"/>
              <w:right w:val="single" w:color="A6A6A6" w:sz="4"/>
            </w:tcBorders>
            <w:shd w:fill="D9D9D9" w:color="auto" w:val="clear"/>
            <w:tcMar>
              <w:top w:type="dxa" w:w="50"/>
              <w:left w:type="dxa" w:w="90"/>
              <w:bottom w:type="dxa" w:w="50"/>
              <w:right w:type="dxa" w:w="90"/>
            </w:tcMar>
          </w:tcPr>
          <w:p>
            <w:pPr>
              <w:spacing w:after="0"/>
            </w:pPr>
            <w:r>
              <w:rPr>
                <w:b/>
                <w:bCs/>
                <w:sz w:val="19"/>
                <w:szCs w:val="19"/>
              </w:rPr>
              <w:t xml:space="preserve">Pfad</w:t>
            </w:r>
          </w:p>
        </w:tc>
        <w:tc>
          <w:tcPr>
            <w:tcW w:type="dxa" w:w="956"/>
            <w:tcBorders>
              <w:top w:val="single" w:color="A6A6A6" w:sz="4"/>
              <w:left w:val="single" w:color="A6A6A6" w:sz="4"/>
              <w:bottom w:val="single" w:color="A6A6A6" w:sz="4"/>
              <w:right w:val="single" w:color="A6A6A6" w:sz="4"/>
            </w:tcBorders>
            <w:shd w:fill="D9D9D9" w:color="auto" w:val="clear"/>
            <w:tcMar>
              <w:top w:type="dxa" w:w="50"/>
              <w:left w:type="dxa" w:w="90"/>
              <w:bottom w:type="dxa" w:w="50"/>
              <w:right w:type="dxa" w:w="90"/>
            </w:tcMar>
          </w:tcPr>
          <w:p>
            <w:pPr>
              <w:spacing w:after="0"/>
            </w:pPr>
            <w:r>
              <w:rPr>
                <w:b/>
                <w:bCs/>
                <w:sz w:val="19"/>
                <w:szCs w:val="19"/>
              </w:rPr>
              <w:t xml:space="preserve">Stufe</w:t>
            </w:r>
          </w:p>
        </w:tc>
      </w:tr>
      <w:tr>
        <w:trPr>
          <w:cantSplit/>
          <w:tblHeader w:val="false"/>
        </w:trPr>
        <w:tc>
          <w:tcPr>
            <w:tcW w:type="dxa" w:w="347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Entwicklermodus, Freigabestufe, Register</w:t>
            </w:r>
          </w:p>
        </w:tc>
        <w:tc>
          <w:tcPr>
            <w:tcW w:type="dxa" w:w="520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onsolas" w:cs="Consolas" w:eastAsia="Consolas" w:hAnsi="Consolas"/>
                <w:sz w:val="18"/>
                <w:szCs w:val="18"/>
              </w:rPr>
              <w:t xml:space="preserve">EPOS.Kern/Allgemein/Freigabe/Entwicklermodus.cs</w:t>
            </w:r>
            <w:r>
              <w:rPr>
                <w:sz w:val="19"/>
                <w:szCs w:val="19"/>
              </w:rPr>
              <w:t xml:space="preserve">, </w:t>
            </w:r>
            <w:r>
              <w:rPr>
                <w:rFonts w:ascii="Consolas" w:cs="Consolas" w:eastAsia="Consolas" w:hAnsi="Consolas"/>
                <w:sz w:val="18"/>
                <w:szCs w:val="18"/>
              </w:rPr>
              <w:t xml:space="preserve">Entwicklerbereiche.cs</w:t>
            </w:r>
          </w:p>
        </w:tc>
        <w:tc>
          <w:tcPr>
            <w:tcW w:type="dxa" w:w="95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heute</w:t>
            </w:r>
          </w:p>
        </w:tc>
      </w:tr>
      <w:tr>
        <w:trPr>
          <w:cantSplit/>
          <w:tblHeader w:val="false"/>
        </w:trPr>
        <w:tc>
          <w:tcPr>
            <w:tcW w:type="dxa" w:w="347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Menüzeile mit Stufe, Zuschnitt</w:t>
            </w:r>
          </w:p>
        </w:tc>
        <w:tc>
          <w:tcPr>
            <w:tcW w:type="dxa" w:w="520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onsolas" w:cs="Consolas" w:eastAsia="Consolas" w:hAnsi="Consolas"/>
                <w:sz w:val="18"/>
                <w:szCs w:val="18"/>
              </w:rPr>
              <w:t xml:space="preserve">EPOS.UI/Bausteine/Menuepunkt.cs</w:t>
            </w:r>
            <w:r>
              <w:rPr>
                <w:sz w:val="19"/>
                <w:szCs w:val="19"/>
              </w:rPr>
              <w:t xml:space="preserve">, </w:t>
            </w:r>
            <w:r>
              <w:rPr>
                <w:rFonts w:ascii="Consolas" w:cs="Consolas" w:eastAsia="Consolas" w:hAnsi="Consolas"/>
                <w:sz w:val="18"/>
                <w:szCs w:val="18"/>
              </w:rPr>
              <w:t xml:space="preserve">Menuetabelle.cs</w:t>
            </w:r>
            <w:r>
              <w:rPr>
                <w:sz w:val="19"/>
                <w:szCs w:val="19"/>
              </w:rPr>
              <w:t xml:space="preserve"> (</w:t>
            </w:r>
            <w:r>
              <w:rPr>
                <w:rFonts w:ascii="Consolas" w:cs="Consolas" w:eastAsia="Consolas" w:hAnsi="Consolas"/>
                <w:sz w:val="18"/>
                <w:szCs w:val="18"/>
              </w:rPr>
              <w:t xml:space="preserve">Sichtbar</w:t>
            </w:r>
            <w:r>
              <w:rPr>
                <w:sz w:val="19"/>
                <w:szCs w:val="19"/>
              </w:rPr>
              <w:t xml:space="preserve">)</w:t>
            </w:r>
          </w:p>
        </w:tc>
        <w:tc>
          <w:tcPr>
            <w:tcW w:type="dxa" w:w="95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heute</w:t>
            </w:r>
          </w:p>
        </w:tc>
      </w:tr>
      <w:tr>
        <w:trPr>
          <w:cantSplit/>
          <w:tblHeader w:val="false"/>
        </w:trPr>
        <w:tc>
          <w:tcPr>
            <w:tcW w:type="dxa" w:w="347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Marke und Fenstertitel</w:t>
            </w:r>
          </w:p>
        </w:tc>
        <w:tc>
          <w:tcPr>
            <w:tcW w:type="dxa" w:w="520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onsolas" w:cs="Consolas" w:eastAsia="Consolas" w:hAnsi="Consolas"/>
                <w:sz w:val="18"/>
                <w:szCs w:val="18"/>
              </w:rPr>
              <w:t xml:space="preserve">EPOS.UI/Seiten/Hauptfenster.razor</w:t>
            </w:r>
            <w:r>
              <w:rPr>
                <w:sz w:val="19"/>
                <w:szCs w:val="19"/>
              </w:rPr>
              <w:t xml:space="preserve">, </w:t>
            </w:r>
            <w:r>
              <w:rPr>
                <w:rFonts w:ascii="Consolas" w:cs="Consolas" w:eastAsia="Consolas" w:hAnsi="Consolas"/>
                <w:sz w:val="18"/>
                <w:szCs w:val="18"/>
              </w:rPr>
              <w:t xml:space="preserve">WindowsFormsApplication1/Views/Hauptformular/</w:t>
            </w:r>
          </w:p>
        </w:tc>
        <w:tc>
          <w:tcPr>
            <w:tcW w:type="dxa" w:w="95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heute</w:t>
            </w:r>
          </w:p>
        </w:tc>
      </w:tr>
      <w:tr>
        <w:trPr>
          <w:cantSplit/>
          <w:tblHeader w:val="false"/>
        </w:trPr>
        <w:tc>
          <w:tcPr>
            <w:tcW w:type="dxa" w:w="347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Startargument</w:t>
            </w:r>
          </w:p>
        </w:tc>
        <w:tc>
          <w:tcPr>
            <w:tcW w:type="dxa" w:w="520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onsolas" w:cs="Consolas" w:eastAsia="Consolas" w:hAnsi="Consolas"/>
                <w:sz w:val="18"/>
                <w:szCs w:val="18"/>
              </w:rPr>
              <w:t xml:space="preserve">WindowsFormsApplication1/Program.cs</w:t>
            </w:r>
            <w:r>
              <w:rPr>
                <w:sz w:val="19"/>
                <w:szCs w:val="19"/>
              </w:rPr>
              <w:t xml:space="preserve"> (</w:t>
            </w:r>
            <w:r>
              <w:rPr>
                <w:rFonts w:ascii="Consolas" w:cs="Consolas" w:eastAsia="Consolas" w:hAnsi="Consolas"/>
                <w:sz w:val="18"/>
                <w:szCs w:val="18"/>
              </w:rPr>
              <w:t xml:space="preserve">Main(string[] args)</w:t>
            </w:r>
            <w:r>
              <w:rPr>
                <w:sz w:val="19"/>
                <w:szCs w:val="19"/>
              </w:rPr>
              <w:t xml:space="preserve">)</w:t>
            </w:r>
          </w:p>
        </w:tc>
        <w:tc>
          <w:tcPr>
            <w:tcW w:type="dxa" w:w="95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heute</w:t>
            </w:r>
          </w:p>
        </w:tc>
      </w:tr>
      <w:tr>
        <w:trPr>
          <w:cantSplit/>
          <w:tblHeader w:val="false"/>
        </w:trPr>
        <w:tc>
          <w:tcPr>
            <w:tcW w:type="dxa" w:w="347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Projektdatei-Einstiege</w:t>
            </w:r>
          </w:p>
        </w:tc>
        <w:tc>
          <w:tcPr>
            <w:tcW w:type="dxa" w:w="520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siehe Abschnitt 2.1</w:t>
            </w:r>
          </w:p>
        </w:tc>
        <w:tc>
          <w:tcPr>
            <w:tcW w:type="dxa" w:w="95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heute</w:t>
            </w:r>
          </w:p>
        </w:tc>
      </w:tr>
      <w:tr>
        <w:trPr>
          <w:cantSplit/>
          <w:tblHeader w:val="false"/>
        </w:trPr>
        <w:tc>
          <w:tcPr>
            <w:tcW w:type="dxa" w:w="347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Ausnahmeprotokoll</w:t>
            </w:r>
          </w:p>
        </w:tc>
        <w:tc>
          <w:tcPr>
            <w:tcW w:type="dxa" w:w="520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onsolas" w:cs="Consolas" w:eastAsia="Consolas" w:hAnsi="Consolas"/>
                <w:sz w:val="18"/>
                <w:szCs w:val="18"/>
              </w:rPr>
              <w:t xml:space="preserve">EPOS.Kern/Allgemein/Diagnose/Ausnahmeprotokoll.cs</w:t>
            </w:r>
            <w:r>
              <w:rPr>
                <w:sz w:val="19"/>
                <w:szCs w:val="19"/>
              </w:rPr>
              <w:t xml:space="preserve">, eingeschaltet in </w:t>
            </w:r>
            <w:r>
              <w:rPr>
                <w:rFonts w:ascii="Consolas" w:cs="Consolas" w:eastAsia="Consolas" w:hAnsi="Consolas"/>
                <w:sz w:val="18"/>
                <w:szCs w:val="18"/>
              </w:rPr>
              <w:t xml:space="preserve">Program.Main</w:t>
            </w:r>
          </w:p>
        </w:tc>
        <w:tc>
          <w:tcPr>
            <w:tcW w:type="dxa" w:w="95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heute</w:t>
            </w:r>
          </w:p>
        </w:tc>
      </w:tr>
      <w:tr>
        <w:trPr>
          <w:cantSplit/>
          <w:tblHeader w:val="false"/>
        </w:trPr>
        <w:tc>
          <w:tcPr>
            <w:tcW w:type="dxa" w:w="347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Lizenzstand</w:t>
            </w:r>
          </w:p>
        </w:tc>
        <w:tc>
          <w:tcPr>
            <w:tcW w:type="dxa" w:w="520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onsolas" w:cs="Consolas" w:eastAsia="Consolas" w:hAnsi="Consolas"/>
                <w:sz w:val="18"/>
                <w:szCs w:val="18"/>
              </w:rPr>
              <w:t xml:space="preserve">EPOS.Kern/Allgemein/Lizenz/LizenzManager.cs</w:t>
            </w:r>
            <w:r>
              <w:rPr>
                <w:sz w:val="19"/>
                <w:szCs w:val="19"/>
              </w:rPr>
              <w:t xml:space="preserve"> (</w:t>
            </w:r>
            <w:r>
              <w:rPr>
                <w:rFonts w:ascii="Consolas" w:cs="Consolas" w:eastAsia="Consolas" w:hAnsi="Consolas"/>
                <w:sz w:val="18"/>
                <w:szCs w:val="18"/>
              </w:rPr>
              <w:t xml:space="preserve">LizenzStatus</w:t>
            </w:r>
            <w:r>
              <w:rPr>
                <w:sz w:val="19"/>
                <w:szCs w:val="19"/>
              </w:rPr>
              <w:t xml:space="preserve">), </w:t>
            </w:r>
            <w:r>
              <w:rPr>
                <w:rFonts w:ascii="Consolas" w:cs="Consolas" w:eastAsia="Consolas" w:hAnsi="Consolas"/>
                <w:sz w:val="18"/>
                <w:szCs w:val="18"/>
              </w:rPr>
              <w:t xml:space="preserve">LizenzToken.cs</w:t>
            </w:r>
            <w:r>
              <w:rPr>
                <w:sz w:val="19"/>
                <w:szCs w:val="19"/>
              </w:rPr>
              <w:t xml:space="preserve"> (</w:t>
            </w:r>
            <w:r>
              <w:rPr>
                <w:rFonts w:ascii="Consolas" w:cs="Consolas" w:eastAsia="Consolas" w:hAnsi="Consolas"/>
                <w:sz w:val="18"/>
                <w:szCs w:val="18"/>
              </w:rPr>
              <w:t xml:space="preserve">Typ</w:t>
            </w:r>
            <w:r>
              <w:rPr>
                <w:sz w:val="19"/>
                <w:szCs w:val="19"/>
              </w:rPr>
              <w:t xml:space="preserve">), </w:t>
            </w:r>
            <w:r>
              <w:rPr>
                <w:rFonts w:ascii="Consolas" w:cs="Consolas" w:eastAsia="Consolas" w:hAnsi="Consolas"/>
                <w:sz w:val="18"/>
                <w:szCs w:val="18"/>
              </w:rPr>
              <w:t xml:space="preserve">EPOS.Kern/Controller/LizenzCtrl.cs</w:t>
            </w:r>
          </w:p>
        </w:tc>
        <w:tc>
          <w:tcPr>
            <w:tcW w:type="dxa" w:w="95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heute</w:t>
            </w:r>
          </w:p>
        </w:tc>
      </w:tr>
      <w:tr>
        <w:trPr>
          <w:cantSplit/>
          <w:tblHeader w:val="false"/>
        </w:trPr>
        <w:tc>
          <w:tcPr>
            <w:tcW w:type="dxa" w:w="347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Adresse öffnen</w:t>
            </w:r>
          </w:p>
        </w:tc>
        <w:tc>
          <w:tcPr>
            <w:tcW w:type="dxa" w:w="520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onsolas" w:cs="Consolas" w:eastAsia="Consolas" w:hAnsi="Consolas"/>
                <w:sz w:val="18"/>
                <w:szCs w:val="18"/>
              </w:rPr>
              <w:t xml:space="preserve">EPOS.Kern/Allgemein/Dienste/IDateiDienst.cs</w:t>
            </w:r>
            <w:r>
              <w:rPr>
                <w:sz w:val="19"/>
                <w:szCs w:val="19"/>
              </w:rPr>
              <w:t xml:space="preserve"> (</w:t>
            </w:r>
            <w:r>
              <w:rPr>
                <w:rFonts w:ascii="Consolas" w:cs="Consolas" w:eastAsia="Consolas" w:hAnsi="Consolas"/>
                <w:sz w:val="18"/>
                <w:szCs w:val="18"/>
              </w:rPr>
              <w:t xml:space="preserve">AdresseOeffnen</w:t>
            </w:r>
            <w:r>
              <w:rPr>
                <w:sz w:val="19"/>
                <w:szCs w:val="19"/>
              </w:rPr>
              <w:t xml:space="preserve">), </w:t>
            </w:r>
            <w:r>
              <w:rPr>
                <w:rFonts w:ascii="Consolas" w:cs="Consolas" w:eastAsia="Consolas" w:hAnsi="Consolas"/>
                <w:sz w:val="18"/>
                <w:szCs w:val="18"/>
              </w:rPr>
              <w:t xml:space="preserve">WindowsFormsApplication1/Dienste/WindowsDateiDienst.cs</w:t>
            </w:r>
            <w:r>
              <w:rPr>
                <w:sz w:val="19"/>
                <w:szCs w:val="19"/>
              </w:rPr>
              <w:t xml:space="preserve">; der iOS-Adapter liefert heute die Vorgabe </w:t>
            </w:r>
            <w:r>
              <w:rPr>
                <w:rFonts w:ascii="Consolas" w:cs="Consolas" w:eastAsia="Consolas" w:hAnsi="Consolas"/>
                <w:sz w:val="18"/>
                <w:szCs w:val="18"/>
              </w:rPr>
              <w:t xml:space="preserve">false</w:t>
            </w:r>
          </w:p>
        </w:tc>
        <w:tc>
          <w:tcPr>
            <w:tcW w:type="dxa" w:w="95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heute</w:t>
            </w:r>
          </w:p>
        </w:tc>
      </w:tr>
      <w:tr>
        <w:trPr>
          <w:cantSplit/>
          <w:tblHeader w:val="false"/>
        </w:trPr>
        <w:tc>
          <w:tcPr>
            <w:tcW w:type="dxa" w:w="347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Fernwartungsdialog</w:t>
            </w:r>
          </w:p>
        </w:tc>
        <w:tc>
          <w:tcPr>
            <w:tcW w:type="dxa" w:w="520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onsolas" w:cs="Consolas" w:eastAsia="Consolas" w:hAnsi="Consolas"/>
                <w:sz w:val="18"/>
                <w:szCs w:val="18"/>
              </w:rPr>
              <w:t xml:space="preserve">EPOS.UI/Dialoge/Hilfe/FernwartungDialog.razor</w:t>
            </w:r>
            <w:r>
              <w:rPr>
                <w:sz w:val="19"/>
                <w:szCs w:val="19"/>
              </w:rPr>
              <w:t xml:space="preserve">, </w:t>
            </w:r>
            <w:r>
              <w:rPr>
                <w:rFonts w:ascii="Consolas" w:cs="Consolas" w:eastAsia="Consolas" w:hAnsi="Consolas"/>
                <w:sz w:val="18"/>
                <w:szCs w:val="18"/>
              </w:rPr>
              <w:t xml:space="preserve">FernwartungDaten.cs</w:t>
            </w:r>
            <w:r>
              <w:rPr>
                <w:sz w:val="19"/>
                <w:szCs w:val="19"/>
              </w:rPr>
              <w:t xml:space="preserve"> (mit </w:t>
            </w:r>
            <w:r>
              <w:rPr>
                <w:rFonts w:ascii="Consolas" w:cs="Consolas" w:eastAsia="Consolas" w:hAnsi="Consolas"/>
                <w:sz w:val="18"/>
                <w:szCs w:val="18"/>
              </w:rPr>
              <w:t xml:space="preserve">FernwartungTexte</w:t>
            </w:r>
            <w:r>
              <w:rPr>
                <w:sz w:val="19"/>
                <w:szCs w:val="19"/>
              </w:rPr>
              <w:t xml:space="preserve">), Hülle </w:t>
            </w:r>
            <w:r>
              <w:rPr>
                <w:rFonts w:ascii="Consolas" w:cs="Consolas" w:eastAsia="Consolas" w:hAnsi="Consolas"/>
                <w:sz w:val="18"/>
                <w:szCs w:val="18"/>
              </w:rPr>
              <w:t xml:space="preserve">EPOS.UI.Daten/Hilfe/FernwartungHuelle.cs</w:t>
            </w:r>
            <w:r>
              <w:rPr>
                <w:sz w:val="19"/>
                <w:szCs w:val="19"/>
              </w:rPr>
              <w:t xml:space="preserve">, Fenster </w:t>
            </w:r>
            <w:r>
              <w:rPr>
                <w:rFonts w:ascii="Consolas" w:cs="Consolas" w:eastAsia="Consolas" w:hAnsi="Consolas"/>
                <w:sz w:val="18"/>
                <w:szCs w:val="18"/>
              </w:rPr>
              <w:t xml:space="preserve">WindowsFormsApplication1/Views/Help/FernwartungFenster.cs</w:t>
            </w:r>
          </w:p>
        </w:tc>
        <w:tc>
          <w:tcPr>
            <w:tcW w:type="dxa" w:w="95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2</w:t>
            </w:r>
          </w:p>
        </w:tc>
      </w:tr>
      <w:tr>
        <w:trPr>
          <w:cantSplit/>
          <w:tblHeader w:val="false"/>
        </w:trPr>
        <w:tc>
          <w:tcPr>
            <w:tcW w:type="dxa" w:w="347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Start von Quick Assist</w:t>
            </w:r>
          </w:p>
        </w:tc>
        <w:tc>
          <w:tcPr>
            <w:tcW w:type="dxa" w:w="520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onsolas" w:cs="Consolas" w:eastAsia="Consolas" w:hAnsi="Consolas"/>
                <w:sz w:val="18"/>
                <w:szCs w:val="18"/>
              </w:rPr>
              <w:t xml:space="preserve">WindowsFormsApplication1/Allgemein/Support/QuickAssistStart.cs</w:t>
            </w:r>
          </w:p>
        </w:tc>
        <w:tc>
          <w:tcPr>
            <w:tcW w:type="dxa" w:w="95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2 (Nachzug)</w:t>
            </w:r>
          </w:p>
        </w:tc>
      </w:tr>
      <w:tr>
        <w:trPr>
          <w:cantSplit/>
          <w:tblHeader w:val="false"/>
        </w:trPr>
        <w:tc>
          <w:tcPr>
            <w:tcW w:type="dxa" w:w="347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Fernwartungsregel, Adresse</w:t>
            </w:r>
          </w:p>
        </w:tc>
        <w:tc>
          <w:tcPr>
            <w:tcW w:type="dxa" w:w="520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onsolas" w:cs="Consolas" w:eastAsia="Consolas" w:hAnsi="Consolas"/>
                <w:sz w:val="18"/>
                <w:szCs w:val="18"/>
              </w:rPr>
              <w:t xml:space="preserve">EPOS.Kern/Allgemein/Support/Fernwartung.cs</w:t>
            </w:r>
            <w:r>
              <w:rPr>
                <w:sz w:val="19"/>
                <w:szCs w:val="19"/>
              </w:rPr>
              <w:t xml:space="preserve"> (</w:t>
            </w:r>
            <w:r>
              <w:rPr>
                <w:rFonts w:ascii="Consolas" w:cs="Consolas" w:eastAsia="Consolas" w:hAnsi="Consolas"/>
                <w:sz w:val="18"/>
                <w:szCs w:val="18"/>
              </w:rPr>
              <w:t xml:space="preserve">SEITE</w:t>
            </w:r>
            <w:r>
              <w:rPr>
                <w:sz w:val="19"/>
                <w:szCs w:val="19"/>
              </w:rPr>
              <w:t xml:space="preserve">, </w:t>
            </w:r>
            <w:r>
              <w:rPr>
                <w:rFonts w:ascii="Consolas" w:cs="Consolas" w:eastAsia="Consolas" w:hAnsi="Consolas"/>
                <w:sz w:val="18"/>
                <w:szCs w:val="18"/>
              </w:rPr>
              <w:t xml:space="preserve">Fernwartungsfreigabe</w:t>
            </w:r>
            <w:r>
              <w:rPr>
                <w:sz w:val="19"/>
                <w:szCs w:val="19"/>
              </w:rPr>
              <w:t xml:space="preserve">), </w:t>
            </w:r>
            <w:r>
              <w:rPr>
                <w:rFonts w:ascii="Consolas" w:cs="Consolas" w:eastAsia="Consolas" w:hAnsi="Consolas"/>
                <w:sz w:val="18"/>
                <w:szCs w:val="18"/>
              </w:rPr>
              <w:t xml:space="preserve">EPOS.Kern/Controller/LizenzCtrl.cs</w:t>
            </w:r>
            <w:r>
              <w:rPr>
                <w:sz w:val="19"/>
                <w:szCs w:val="19"/>
              </w:rPr>
              <w:t xml:space="preserve"> (</w:t>
            </w:r>
            <w:r>
              <w:rPr>
                <w:rFonts w:ascii="Consolas" w:cs="Consolas" w:eastAsia="Consolas" w:hAnsi="Consolas"/>
                <w:sz w:val="18"/>
                <w:szCs w:val="18"/>
              </w:rPr>
              <w:t xml:space="preserve">FernwartungErlaubt</w:t>
            </w:r>
            <w:r>
              <w:rPr>
                <w:sz w:val="19"/>
                <w:szCs w:val="19"/>
              </w:rPr>
              <w:t xml:space="preserve">), </w:t>
            </w:r>
            <w:r>
              <w:rPr>
                <w:rFonts w:ascii="Consolas" w:cs="Consolas" w:eastAsia="Consolas" w:hAnsi="Consolas"/>
                <w:sz w:val="18"/>
                <w:szCs w:val="18"/>
              </w:rPr>
              <w:t xml:space="preserve">LizenzManager.AnkerOhneSchreiben</w:t>
            </w:r>
          </w:p>
        </w:tc>
        <w:tc>
          <w:tcPr>
            <w:tcW w:type="dxa" w:w="95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2</w:t>
            </w:r>
          </w:p>
        </w:tc>
      </w:tr>
      <w:tr>
        <w:trPr>
          <w:cantSplit/>
          <w:tblHeader w:val="false"/>
        </w:trPr>
        <w:tc>
          <w:tcPr>
            <w:tcW w:type="dxa" w:w="347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Menüsperre</w:t>
            </w:r>
          </w:p>
        </w:tc>
        <w:tc>
          <w:tcPr>
            <w:tcW w:type="dxa" w:w="520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onsolas" w:cs="Consolas" w:eastAsia="Consolas" w:hAnsi="Consolas"/>
                <w:sz w:val="18"/>
                <w:szCs w:val="18"/>
              </w:rPr>
              <w:t xml:space="preserve">EPOS.UI/Bausteine/Menuepunkt.cs</w:t>
            </w:r>
            <w:r>
              <w:rPr>
                <w:sz w:val="19"/>
                <w:szCs w:val="19"/>
              </w:rPr>
              <w:t xml:space="preserve"> (</w:t>
            </w:r>
            <w:r>
              <w:rPr>
                <w:rFonts w:ascii="Consolas" w:cs="Consolas" w:eastAsia="Consolas" w:hAnsi="Consolas"/>
                <w:sz w:val="18"/>
                <w:szCs w:val="18"/>
              </w:rPr>
              <w:t xml:space="preserve">Sperrgrund</w:t>
            </w:r>
            <w:r>
              <w:rPr>
                <w:sz w:val="19"/>
                <w:szCs w:val="19"/>
              </w:rPr>
              <w:t xml:space="preserve">), </w:t>
            </w:r>
            <w:r>
              <w:rPr>
                <w:rFonts w:ascii="Consolas" w:cs="Consolas" w:eastAsia="Consolas" w:hAnsi="Consolas"/>
                <w:sz w:val="18"/>
                <w:szCs w:val="18"/>
              </w:rPr>
              <w:t xml:space="preserve">Menuetabelle.cs</w:t>
            </w:r>
            <w:r>
              <w:rPr>
                <w:sz w:val="19"/>
                <w:szCs w:val="19"/>
              </w:rPr>
              <w:t xml:space="preserve"> (Punkt </w:t>
            </w:r>
            <w:r>
              <w:rPr>
                <w:rFonts w:ascii="Consolas" w:cs="Consolas" w:eastAsia="Consolas" w:hAnsi="Consolas"/>
                <w:sz w:val="18"/>
                <w:szCs w:val="18"/>
              </w:rPr>
              <w:t xml:space="preserve">MenuItem_Fernwartung</w:t>
            </w:r>
            <w:r>
              <w:rPr>
                <w:sz w:val="19"/>
                <w:szCs w:val="19"/>
              </w:rPr>
              <w:t xml:space="preserve">), </w:t>
            </w:r>
            <w:r>
              <w:rPr>
                <w:rFonts w:ascii="Consolas" w:cs="Consolas" w:eastAsia="Consolas" w:hAnsi="Consolas"/>
                <w:sz w:val="18"/>
                <w:szCs w:val="18"/>
              </w:rPr>
              <w:t xml:space="preserve">Menueband.razor</w:t>
            </w:r>
            <w:r>
              <w:rPr>
                <w:sz w:val="19"/>
                <w:szCs w:val="19"/>
              </w:rPr>
              <w:t xml:space="preserve">, </w:t>
            </w:r>
            <w:r>
              <w:rPr>
                <w:rFonts w:ascii="Consolas" w:cs="Consolas" w:eastAsia="Consolas" w:hAnsi="Consolas"/>
                <w:sz w:val="18"/>
                <w:szCs w:val="18"/>
              </w:rPr>
              <w:t xml:space="preserve">HauptfensterHuelle.cs</w:t>
            </w:r>
            <w:r>
              <w:rPr>
                <w:sz w:val="19"/>
                <w:szCs w:val="19"/>
              </w:rPr>
              <w:t xml:space="preserve"> (Fall </w:t>
            </w:r>
            <w:r>
              <w:rPr>
                <w:rFonts w:ascii="Consolas" w:cs="Consolas" w:eastAsia="Consolas" w:hAnsi="Consolas"/>
                <w:sz w:val="18"/>
                <w:szCs w:val="18"/>
              </w:rPr>
              <w:t xml:space="preserve">Fernwartung</w:t>
            </w:r>
            <w:r>
              <w:rPr>
                <w:sz w:val="19"/>
                <w:szCs w:val="19"/>
              </w:rPr>
              <w:t xml:space="preserve">)</w:t>
            </w:r>
          </w:p>
        </w:tc>
        <w:tc>
          <w:tcPr>
            <w:tcW w:type="dxa" w:w="95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2</w:t>
            </w:r>
          </w:p>
        </w:tc>
      </w:tr>
      <w:tr>
        <w:trPr>
          <w:cantSplit/>
          <w:tblHeader w:val="false"/>
        </w:trPr>
        <w:tc>
          <w:tcPr>
            <w:tcW w:type="dxa" w:w="347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Tests der Fernwartung</w:t>
            </w:r>
          </w:p>
        </w:tc>
        <w:tc>
          <w:tcPr>
            <w:tcW w:type="dxa" w:w="520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onsolas" w:cs="Consolas" w:eastAsia="Consolas" w:hAnsi="Consolas"/>
                <w:sz w:val="18"/>
                <w:szCs w:val="18"/>
              </w:rPr>
              <w:t xml:space="preserve">EPOS.Kern.Tests/FernwartungFreigabeTests.cs</w:t>
            </w:r>
            <w:r>
              <w:rPr>
                <w:sz w:val="19"/>
                <w:szCs w:val="19"/>
              </w:rPr>
              <w:t xml:space="preserve">, </w:t>
            </w:r>
            <w:r>
              <w:rPr>
                <w:rFonts w:ascii="Consolas" w:cs="Consolas" w:eastAsia="Consolas" w:hAnsi="Consolas"/>
                <w:sz w:val="18"/>
                <w:szCs w:val="18"/>
              </w:rPr>
              <w:t xml:space="preserve">EPOS.UI.Tests/Dialoge/FernwartungDialogTests.cs</w:t>
            </w:r>
            <w:r>
              <w:rPr>
                <w:sz w:val="19"/>
                <w:szCs w:val="19"/>
              </w:rPr>
              <w:t xml:space="preserve">, </w:t>
            </w:r>
            <w:r>
              <w:rPr>
                <w:rFonts w:ascii="Consolas" w:cs="Consolas" w:eastAsia="Consolas" w:hAnsi="Consolas"/>
                <w:sz w:val="18"/>
                <w:szCs w:val="18"/>
              </w:rPr>
              <w:t xml:space="preserve">MenuebandTests</w:t>
            </w:r>
          </w:p>
        </w:tc>
        <w:tc>
          <w:tcPr>
            <w:tcW w:type="dxa" w:w="95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2</w:t>
            </w:r>
          </w:p>
        </w:tc>
      </w:tr>
      <w:tr>
        <w:trPr>
          <w:cantSplit/>
          <w:tblHeader w:val="false"/>
        </w:trPr>
        <w:tc>
          <w:tcPr>
            <w:tcW w:type="dxa" w:w="347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Wiki-Quelle</w:t>
            </w:r>
          </w:p>
        </w:tc>
        <w:tc>
          <w:tcPr>
            <w:tcW w:type="dxa" w:w="520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onsolas" w:cs="Consolas" w:eastAsia="Consolas" w:hAnsi="Consolas"/>
                <w:sz w:val="18"/>
                <w:szCs w:val="18"/>
              </w:rPr>
              <w:t xml:space="preserve">Projekte/Wiki/Programm Dokumentation - Fernwartung.wiki</w:t>
            </w:r>
          </w:p>
        </w:tc>
        <w:tc>
          <w:tcPr>
            <w:tcW w:type="dxa" w:w="95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2</w:t>
            </w:r>
          </w:p>
        </w:tc>
      </w:tr>
      <w:tr>
        <w:trPr>
          <w:cantSplit/>
          <w:tblHeader w:val="false"/>
        </w:trPr>
        <w:tc>
          <w:tcPr>
            <w:tcW w:type="dxa" w:w="347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Über-Dialog</w:t>
            </w:r>
          </w:p>
        </w:tc>
        <w:tc>
          <w:tcPr>
            <w:tcW w:type="dxa" w:w="520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onsolas" w:cs="Consolas" w:eastAsia="Consolas" w:hAnsi="Consolas"/>
                <w:sz w:val="18"/>
                <w:szCs w:val="18"/>
              </w:rPr>
              <w:t xml:space="preserve">EPOS.UI/Dialoge/Hilfe/UeberDialog.razor</w:t>
            </w:r>
            <w:r>
              <w:rPr>
                <w:sz w:val="19"/>
                <w:szCs w:val="19"/>
              </w:rPr>
              <w:t xml:space="preserve">, </w:t>
            </w:r>
            <w:r>
              <w:rPr>
                <w:rFonts w:ascii="Consolas" w:cs="Consolas" w:eastAsia="Consolas" w:hAnsi="Consolas"/>
                <w:sz w:val="18"/>
                <w:szCs w:val="18"/>
              </w:rPr>
              <w:t xml:space="preserve">UeberDaten.cs</w:t>
            </w:r>
            <w:r>
              <w:rPr>
                <w:sz w:val="19"/>
                <w:szCs w:val="19"/>
              </w:rPr>
              <w:t xml:space="preserve"> (mit </w:t>
            </w:r>
            <w:r>
              <w:rPr>
                <w:rFonts w:ascii="Consolas" w:cs="Consolas" w:eastAsia="Consolas" w:hAnsi="Consolas"/>
                <w:sz w:val="18"/>
                <w:szCs w:val="18"/>
              </w:rPr>
              <w:t xml:space="preserve">UeberAnstoss</w:t>
            </w:r>
            <w:r>
              <w:rPr>
                <w:sz w:val="19"/>
                <w:szCs w:val="19"/>
              </w:rPr>
              <w:t xml:space="preserve">, </w:t>
            </w:r>
            <w:r>
              <w:rPr>
                <w:rFonts w:ascii="Consolas" w:cs="Consolas" w:eastAsia="Consolas" w:hAnsi="Consolas"/>
                <w:sz w:val="18"/>
                <w:szCs w:val="18"/>
              </w:rPr>
              <w:t xml:space="preserve">UeberTexte</w:t>
            </w:r>
            <w:r>
              <w:rPr>
                <w:sz w:val="19"/>
                <w:szCs w:val="19"/>
              </w:rPr>
              <w:t xml:space="preserve">), Hülle </w:t>
            </w:r>
            <w:r>
              <w:rPr>
                <w:rFonts w:ascii="Consolas" w:cs="Consolas" w:eastAsia="Consolas" w:hAnsi="Consolas"/>
                <w:sz w:val="18"/>
                <w:szCs w:val="18"/>
              </w:rPr>
              <w:t xml:space="preserve">EPOS.UI.Daten/Hilfe/UeberHuelle.cs</w:t>
            </w:r>
            <w:r>
              <w:rPr>
                <w:sz w:val="19"/>
                <w:szCs w:val="19"/>
              </w:rPr>
              <w:t xml:space="preserve">, Fenster </w:t>
            </w:r>
            <w:r>
              <w:rPr>
                <w:rFonts w:ascii="Consolas" w:cs="Consolas" w:eastAsia="Consolas" w:hAnsi="Consolas"/>
                <w:sz w:val="18"/>
                <w:szCs w:val="18"/>
              </w:rPr>
              <w:t xml:space="preserve">WindowsFormsApplication1/Views/Help/UeberFenster.cs</w:t>
            </w:r>
            <w:r>
              <w:rPr>
                <w:sz w:val="19"/>
                <w:szCs w:val="19"/>
              </w:rPr>
              <w:t xml:space="preserve">, Fall </w:t>
            </w:r>
            <w:r>
              <w:rPr>
                <w:rFonts w:ascii="Consolas" w:cs="Consolas" w:eastAsia="Consolas" w:hAnsi="Consolas"/>
                <w:sz w:val="18"/>
                <w:szCs w:val="18"/>
              </w:rPr>
              <w:t xml:space="preserve">Version</w:t>
            </w:r>
            <w:r>
              <w:rPr>
                <w:sz w:val="19"/>
                <w:szCs w:val="19"/>
              </w:rPr>
              <w:t xml:space="preserve"> in </w:t>
            </w:r>
            <w:r>
              <w:rPr>
                <w:rFonts w:ascii="Consolas" w:cs="Consolas" w:eastAsia="Consolas" w:hAnsi="Consolas"/>
                <w:sz w:val="18"/>
                <w:szCs w:val="18"/>
              </w:rPr>
              <w:t xml:space="preserve">HauptfensterHuelle.cs</w:t>
            </w:r>
          </w:p>
        </w:tc>
        <w:tc>
          <w:tcPr>
            <w:tcW w:type="dxa" w:w="95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heute</w:t>
            </w:r>
          </w:p>
        </w:tc>
      </w:tr>
      <w:tr>
        <w:trPr>
          <w:cantSplit/>
          <w:tblHeader w:val="false"/>
        </w:trPr>
        <w:tc>
          <w:tcPr>
            <w:tcW w:type="dxa" w:w="347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Geste des Entwicklermodus</w:t>
            </w:r>
          </w:p>
        </w:tc>
        <w:tc>
          <w:tcPr>
            <w:tcW w:type="dxa" w:w="520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onsolas" w:cs="Consolas" w:eastAsia="Consolas" w:hAnsi="Consolas"/>
                <w:sz w:val="18"/>
                <w:szCs w:val="18"/>
              </w:rPr>
              <w:t xml:space="preserve">UeberDialog</w:t>
            </w:r>
            <w:r>
              <w:rPr>
                <w:sz w:val="19"/>
                <w:szCs w:val="19"/>
              </w:rPr>
              <w:t xml:space="preserve"> (erkennt Strg+Umschalt+F12 selbst) und </w:t>
            </w:r>
            <w:r>
              <w:rPr>
                <w:rFonts w:ascii="Consolas" w:cs="Consolas" w:eastAsia="Consolas" w:hAnsi="Consolas"/>
                <w:sz w:val="18"/>
                <w:szCs w:val="18"/>
              </w:rPr>
              <w:t xml:space="preserve">UeberFenster</w:t>
            </w:r>
            <w:r>
              <w:rPr>
                <w:sz w:val="19"/>
                <w:szCs w:val="19"/>
              </w:rPr>
              <w:t xml:space="preserve"> (fängt dieselbe Folge über </w:t>
            </w:r>
            <w:r>
              <w:rPr>
                <w:rFonts w:ascii="Consolas" w:cs="Consolas" w:eastAsia="Consolas" w:hAnsi="Consolas"/>
                <w:sz w:val="18"/>
                <w:szCs w:val="18"/>
              </w:rPr>
              <w:t xml:space="preserve">BlazorDialogForm.Befehlstaste</w:t>
            </w:r>
            <w:r>
              <w:rPr>
                <w:sz w:val="19"/>
                <w:szCs w:val="19"/>
              </w:rPr>
              <w:t xml:space="preserve"> zusätzlich ab), </w:t>
            </w:r>
            <w:r>
              <w:rPr>
                <w:rFonts w:ascii="Consolas" w:cs="Consolas" w:eastAsia="Consolas" w:hAnsi="Consolas"/>
                <w:sz w:val="18"/>
                <w:szCs w:val="18"/>
              </w:rPr>
              <w:t xml:space="preserve">WindowsFormsApplication1/Views/Entwicklung/EntwicklungHuelle.cs</w:t>
            </w:r>
            <w:r>
              <w:rPr>
                <w:sz w:val="19"/>
                <w:szCs w:val="19"/>
              </w:rPr>
              <w:t xml:space="preserve"> (</w:t>
            </w:r>
            <w:r>
              <w:rPr>
                <w:rFonts w:ascii="Consolas" w:cs="Consolas" w:eastAsia="Consolas" w:hAnsi="Consolas"/>
                <w:sz w:val="18"/>
                <w:szCs w:val="18"/>
              </w:rPr>
              <w:t xml:space="preserve">GesteUmschalten</w:t>
            </w:r>
            <w:r>
              <w:rPr>
                <w:sz w:val="19"/>
                <w:szCs w:val="19"/>
              </w:rPr>
              <w:t xml:space="preserve">)</w:t>
            </w:r>
          </w:p>
        </w:tc>
        <w:tc>
          <w:tcPr>
            <w:tcW w:type="dxa" w:w="95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heute</w:t>
            </w:r>
          </w:p>
        </w:tc>
      </w:tr>
      <w:tr>
        <w:trPr>
          <w:cantSplit/>
          <w:tblHeader w:val="false"/>
        </w:trPr>
        <w:tc>
          <w:tcPr>
            <w:tcW w:type="dxa" w:w="347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Diagnosedaten</w:t>
            </w:r>
          </w:p>
        </w:tc>
        <w:tc>
          <w:tcPr>
            <w:tcW w:type="dxa" w:w="520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onsolas" w:cs="Consolas" w:eastAsia="Consolas" w:hAnsi="Consolas"/>
                <w:sz w:val="18"/>
                <w:szCs w:val="18"/>
              </w:rPr>
              <w:t xml:space="preserve">EPOS.Kern/Allgemein/Diagnose/Diagnosedaten.cs</w:t>
            </w:r>
            <w:r>
              <w:rPr>
                <w:sz w:val="19"/>
                <w:szCs w:val="19"/>
              </w:rPr>
              <w:t xml:space="preserve"> (</w:t>
            </w:r>
            <w:r>
              <w:rPr>
                <w:rFonts w:ascii="Consolas" w:cs="Consolas" w:eastAsia="Consolas" w:hAnsi="Consolas"/>
                <w:sz w:val="18"/>
                <w:szCs w:val="18"/>
              </w:rPr>
              <w:t xml:space="preserve">Textblock</w:t>
            </w:r>
            <w:r>
              <w:rPr>
                <w:sz w:val="19"/>
                <w:szCs w:val="19"/>
              </w:rPr>
              <w:t xml:space="preserve">, </w:t>
            </w:r>
            <w:r>
              <w:rPr>
                <w:rFonts w:ascii="Consolas" w:cs="Consolas" w:eastAsia="Consolas" w:hAnsi="Consolas"/>
                <w:sz w:val="18"/>
                <w:szCs w:val="18"/>
              </w:rPr>
              <w:t xml:space="preserve">ProtokollordnerPfad</w:t>
            </w:r>
            <w:r>
              <w:rPr>
                <w:sz w:val="19"/>
                <w:szCs w:val="19"/>
              </w:rPr>
              <w:t xml:space="preserve">)</w:t>
            </w:r>
          </w:p>
        </w:tc>
        <w:tc>
          <w:tcPr>
            <w:tcW w:type="dxa" w:w="95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heute</w:t>
            </w:r>
          </w:p>
        </w:tc>
      </w:tr>
      <w:tr>
        <w:trPr>
          <w:cantSplit/>
          <w:tblHeader w:val="false"/>
        </w:trPr>
        <w:tc>
          <w:tcPr>
            <w:tcW w:type="dxa" w:w="347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Tests des Über-Dialogs</w:t>
            </w:r>
          </w:p>
        </w:tc>
        <w:tc>
          <w:tcPr>
            <w:tcW w:type="dxa" w:w="520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onsolas" w:cs="Consolas" w:eastAsia="Consolas" w:hAnsi="Consolas"/>
                <w:sz w:val="18"/>
                <w:szCs w:val="18"/>
              </w:rPr>
              <w:t xml:space="preserve">EPOS.UI.Tests/Dialoge/UeberDialogTests.cs</w:t>
            </w:r>
            <w:r>
              <w:rPr>
                <w:sz w:val="19"/>
                <w:szCs w:val="19"/>
              </w:rPr>
              <w:t xml:space="preserve">, </w:t>
            </w:r>
            <w:r>
              <w:rPr>
                <w:rFonts w:ascii="Consolas" w:cs="Consolas" w:eastAsia="Consolas" w:hAnsi="Consolas"/>
                <w:sz w:val="18"/>
                <w:szCs w:val="18"/>
              </w:rPr>
              <w:t xml:space="preserve">EPOS.Kern.Tests/DiagnosedatenTests.cs</w:t>
            </w:r>
          </w:p>
        </w:tc>
        <w:tc>
          <w:tcPr>
            <w:tcW w:type="dxa" w:w="95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heute</w:t>
            </w:r>
          </w:p>
        </w:tc>
      </w:tr>
      <w:tr>
        <w:trPr>
          <w:cantSplit/>
          <w:tblHeader w:val="false"/>
        </w:trPr>
        <w:tc>
          <w:tcPr>
            <w:tcW w:type="dxa" w:w="347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Supportpaket</w:t>
            </w:r>
          </w:p>
        </w:tc>
        <w:tc>
          <w:tcPr>
            <w:tcW w:type="dxa" w:w="520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onsolas" w:cs="Consolas" w:eastAsia="Consolas" w:hAnsi="Consolas"/>
                <w:sz w:val="18"/>
                <w:szCs w:val="18"/>
              </w:rPr>
              <w:t xml:space="preserve">EPOS.Kern/Allgemein/Support/Supportpaket.cs</w:t>
            </w:r>
            <w:r>
              <w:rPr>
                <w:sz w:val="19"/>
                <w:szCs w:val="19"/>
              </w:rPr>
              <w:t xml:space="preserve"> (</w:t>
            </w:r>
            <w:r>
              <w:rPr>
                <w:rFonts w:ascii="Consolas" w:cs="Consolas" w:eastAsia="Consolas" w:hAnsi="Consolas"/>
                <w:sz w:val="18"/>
                <w:szCs w:val="18"/>
              </w:rPr>
              <w:t xml:space="preserve">Erstellen</w:t>
            </w:r>
            <w:r>
              <w:rPr>
                <w:sz w:val="19"/>
                <w:szCs w:val="19"/>
              </w:rPr>
              <w:t xml:space="preserve">, </w:t>
            </w:r>
            <w:r>
              <w:rPr>
                <w:rFonts w:ascii="Consolas" w:cs="Consolas" w:eastAsia="Consolas" w:hAnsi="Consolas"/>
                <w:sz w:val="18"/>
                <w:szCs w:val="18"/>
              </w:rPr>
              <w:t xml:space="preserve">Vorgabename</w:t>
            </w:r>
            <w:r>
              <w:rPr>
                <w:sz w:val="19"/>
                <w:szCs w:val="19"/>
              </w:rPr>
              <w:t xml:space="preserve">, </w:t>
            </w:r>
            <w:r>
              <w:rPr>
                <w:rFonts w:ascii="Consolas" w:cs="Consolas" w:eastAsia="Consolas" w:hAnsi="Consolas"/>
                <w:sz w:val="18"/>
                <w:szCs w:val="18"/>
              </w:rPr>
              <w:t xml:space="preserve">Supportpaketergebnis</w:t>
            </w:r>
            <w:r>
              <w:rPr>
                <w:sz w:val="19"/>
                <w:szCs w:val="19"/>
              </w:rPr>
              <w:t xml:space="preserve">), Anzeigeform </w:t>
            </w:r>
            <w:r>
              <w:rPr>
                <w:rFonts w:ascii="Consolas" w:cs="Consolas" w:eastAsia="Consolas" w:hAnsi="Consolas"/>
                <w:sz w:val="18"/>
                <w:szCs w:val="18"/>
              </w:rPr>
              <w:t xml:space="preserve">SupportpaketAnzeige</w:t>
            </w:r>
            <w:r>
              <w:rPr>
                <w:sz w:val="19"/>
                <w:szCs w:val="19"/>
              </w:rPr>
              <w:t xml:space="preserve"> in </w:t>
            </w:r>
            <w:r>
              <w:rPr>
                <w:rFonts w:ascii="Consolas" w:cs="Consolas" w:eastAsia="Consolas" w:hAnsi="Consolas"/>
                <w:sz w:val="18"/>
                <w:szCs w:val="18"/>
              </w:rPr>
              <w:t xml:space="preserve">EPOS.UI/Dialoge/Hilfe/UeberDaten.cs</w:t>
            </w:r>
            <w:r>
              <w:rPr>
                <w:sz w:val="19"/>
                <w:szCs w:val="19"/>
              </w:rPr>
              <w:t xml:space="preserve">, Hülle </w:t>
            </w:r>
            <w:r>
              <w:rPr>
                <w:rFonts w:ascii="Consolas" w:cs="Consolas" w:eastAsia="Consolas" w:hAnsi="Consolas"/>
                <w:sz w:val="18"/>
                <w:szCs w:val="18"/>
              </w:rPr>
              <w:t xml:space="preserve">UeberHuelle.SupportpaketSpeichern</w:t>
            </w:r>
            <w:r>
              <w:rPr>
                <w:sz w:val="19"/>
                <w:szCs w:val="19"/>
              </w:rPr>
              <w:t xml:space="preserve">, Speicherdialog in </w:t>
            </w:r>
            <w:r>
              <w:rPr>
                <w:rFonts w:ascii="Consolas" w:cs="Consolas" w:eastAsia="Consolas" w:hAnsi="Consolas"/>
                <w:sz w:val="18"/>
                <w:szCs w:val="18"/>
              </w:rPr>
              <w:t xml:space="preserve">UeberFenster.SupportpaketSpeichern</w:t>
            </w:r>
            <w:r>
              <w:rPr>
                <w:sz w:val="19"/>
                <w:szCs w:val="19"/>
              </w:rPr>
              <w:t xml:space="preserve">, Tests </w:t>
            </w:r>
            <w:r>
              <w:rPr>
                <w:rFonts w:ascii="Consolas" w:cs="Consolas" w:eastAsia="Consolas" w:hAnsi="Consolas"/>
                <w:sz w:val="18"/>
                <w:szCs w:val="18"/>
              </w:rPr>
              <w:t xml:space="preserve">EPOS.Kern.Tests/SupportpaketTests.cs</w:t>
            </w:r>
            <w:r>
              <w:rPr>
                <w:sz w:val="19"/>
                <w:szCs w:val="19"/>
              </w:rPr>
              <w:t xml:space="preserve">; der Haken steht in </w:t>
            </w:r>
            <w:r>
              <w:rPr>
                <w:rFonts w:ascii="Consolas" w:cs="Consolas" w:eastAsia="Consolas" w:hAnsi="Consolas"/>
                <w:sz w:val="18"/>
                <w:szCs w:val="18"/>
              </w:rPr>
              <w:t xml:space="preserve">KiDialogAusnahmen</w:t>
            </w:r>
            <w:r>
              <w:rPr>
                <w:sz w:val="19"/>
                <w:szCs w:val="19"/>
              </w:rPr>
              <w:t xml:space="preserve"> (Grund Export)</w:t>
            </w:r>
          </w:p>
        </w:tc>
        <w:tc>
          <w:tcPr>
            <w:tcW w:type="dxa" w:w="95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heute</w:t>
            </w:r>
          </w:p>
        </w:tc>
      </w:tr>
      <w:tr>
        <w:trPr>
          <w:cantSplit/>
          <w:tblHeader w:val="false"/>
        </w:trPr>
        <w:tc>
          <w:tcPr>
            <w:tcW w:type="dxa" w:w="347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Maschinenweite Werte</w:t>
            </w:r>
          </w:p>
        </w:tc>
        <w:tc>
          <w:tcPr>
            <w:tcW w:type="dxa" w:w="520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onsolas" w:cs="Consolas" w:eastAsia="Consolas" w:hAnsi="Consolas"/>
                <w:sz w:val="18"/>
                <w:szCs w:val="18"/>
              </w:rPr>
              <w:t xml:space="preserve">EPOS.Kern/Allgemein/Dienste/IEinstellungen.cs</w:t>
            </w:r>
            <w:r>
              <w:rPr>
                <w:sz w:val="19"/>
                <w:szCs w:val="19"/>
              </w:rPr>
              <w:t xml:space="preserve"> (</w:t>
            </w:r>
            <w:r>
              <w:rPr>
                <w:rFonts w:ascii="Consolas" w:cs="Consolas" w:eastAsia="Consolas" w:hAnsi="Consolas"/>
                <w:sz w:val="18"/>
                <w:szCs w:val="18"/>
              </w:rPr>
              <w:t xml:space="preserve">LiesMaschine</w:t>
            </w:r>
            <w:r>
              <w:rPr>
                <w:sz w:val="19"/>
                <w:szCs w:val="19"/>
              </w:rPr>
              <w:t xml:space="preserve">), </w:t>
            </w:r>
            <w:r>
              <w:rPr>
                <w:rFonts w:ascii="Consolas" w:cs="Consolas" w:eastAsia="Consolas" w:hAnsi="Consolas"/>
                <w:sz w:val="18"/>
                <w:szCs w:val="18"/>
              </w:rPr>
              <w:t xml:space="preserve">WindowsFormsApplication1/Dienste/RegistryEinstellungen.cs</w:t>
            </w:r>
          </w:p>
        </w:tc>
        <w:tc>
          <w:tcPr>
            <w:tcW w:type="dxa" w:w="95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heute</w:t>
            </w:r>
          </w:p>
        </w:tc>
      </w:tr>
    </w:tbl>
    <w:p>
      <w:pPr>
        <w:spacing w:after="120"/>
      </w:pPr>
    </w:p>
    <w:p>
      <w:pPr>
        <w:pStyle w:val="Heading1"/>
      </w:pPr>
      <w:r>
        <w:t xml:space="preserve">7 Stufenstand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8"/>
        <w:gridCol w:w="4589"/>
        <w:gridCol w:w="4591"/>
      </w:tblGrid>
      <w:tr>
        <w:trPr>
          <w:cantSplit/>
          <w:tblHeader/>
        </w:trPr>
        <w:tc>
          <w:tcPr>
            <w:tcW w:type="dxa" w:w="458"/>
            <w:tcBorders>
              <w:top w:val="single" w:color="A6A6A6" w:sz="4"/>
              <w:left w:val="single" w:color="A6A6A6" w:sz="4"/>
              <w:bottom w:val="single" w:color="A6A6A6" w:sz="4"/>
              <w:right w:val="single" w:color="A6A6A6" w:sz="4"/>
            </w:tcBorders>
            <w:shd w:fill="D9D9D9" w:color="auto" w:val="clear"/>
            <w:tcMar>
              <w:top w:type="dxa" w:w="50"/>
              <w:left w:type="dxa" w:w="90"/>
              <w:bottom w:type="dxa" w:w="50"/>
              <w:right w:type="dxa" w:w="90"/>
            </w:tcMar>
          </w:tcPr>
          <w:p>
            <w:pPr>
              <w:spacing w:after="0"/>
            </w:pPr>
            <w:r>
              <w:rPr>
                <w:b/>
                <w:bCs/>
                <w:sz w:val="19"/>
                <w:szCs w:val="19"/>
              </w:rPr>
              <w:t xml:space="preserve">Stufe</w:t>
            </w:r>
          </w:p>
        </w:tc>
        <w:tc>
          <w:tcPr>
            <w:tcW w:type="dxa" w:w="4589"/>
            <w:tcBorders>
              <w:top w:val="single" w:color="A6A6A6" w:sz="4"/>
              <w:left w:val="single" w:color="A6A6A6" w:sz="4"/>
              <w:bottom w:val="single" w:color="A6A6A6" w:sz="4"/>
              <w:right w:val="single" w:color="A6A6A6" w:sz="4"/>
            </w:tcBorders>
            <w:shd w:fill="D9D9D9" w:color="auto" w:val="clear"/>
            <w:tcMar>
              <w:top w:type="dxa" w:w="50"/>
              <w:left w:type="dxa" w:w="90"/>
              <w:bottom w:type="dxa" w:w="50"/>
              <w:right w:type="dxa" w:w="90"/>
            </w:tcMar>
          </w:tcPr>
          <w:p>
            <w:pPr>
              <w:spacing w:after="0"/>
            </w:pPr>
            <w:r>
              <w:rPr>
                <w:b/>
                <w:bCs/>
                <w:sz w:val="19"/>
                <w:szCs w:val="19"/>
              </w:rPr>
              <w:t xml:space="preserve">Inhalt</w:t>
            </w:r>
          </w:p>
        </w:tc>
        <w:tc>
          <w:tcPr>
            <w:tcW w:type="dxa" w:w="4591"/>
            <w:tcBorders>
              <w:top w:val="single" w:color="A6A6A6" w:sz="4"/>
              <w:left w:val="single" w:color="A6A6A6" w:sz="4"/>
              <w:bottom w:val="single" w:color="A6A6A6" w:sz="4"/>
              <w:right w:val="single" w:color="A6A6A6" w:sz="4"/>
            </w:tcBorders>
            <w:shd w:fill="D9D9D9" w:color="auto" w:val="clear"/>
            <w:tcMar>
              <w:top w:type="dxa" w:w="50"/>
              <w:left w:type="dxa" w:w="90"/>
              <w:bottom w:type="dxa" w:w="50"/>
              <w:right w:type="dxa" w:w="90"/>
            </w:tcMar>
          </w:tcPr>
          <w:p>
            <w:pPr>
              <w:spacing w:after="0"/>
            </w:pPr>
            <w:r>
              <w:rPr>
                <w:b/>
                <w:bCs/>
                <w:sz w:val="19"/>
                <w:szCs w:val="19"/>
              </w:rPr>
              <w:t xml:space="preserve">Stand</w:t>
            </w:r>
          </w:p>
        </w:tc>
      </w:tr>
      <w:tr>
        <w:trPr>
          <w:cantSplit/>
          <w:tblHeader w:val="false"/>
        </w:trPr>
        <w:tc>
          <w:tcPr>
            <w:tcW w:type="dxa" w:w="45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1</w:t>
            </w:r>
          </w:p>
        </w:tc>
        <w:tc>
          <w:tcPr>
            <w:tcW w:type="dxa" w:w="458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Entwicklermodus, Entwicklerbereiche, Menükopf „Entwicklung", Projektdatei verborgen</w:t>
            </w:r>
          </w:p>
        </w:tc>
        <w:tc>
          <w:tcPr>
            <w:tcW w:type="dxa" w:w="459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umgesetzt (11.10.2026, #974); die Zapfprofil-Vorgaben sind Anwenderrubrik „Zapfprofil" statt Entwicklerbereich (Nachzug 11.10.2026, #986)</w:t>
            </w:r>
          </w:p>
        </w:tc>
      </w:tr>
      <w:tr>
        <w:trPr>
          <w:cantSplit/>
          <w:tblHeader w:val="false"/>
        </w:trPr>
        <w:tc>
          <w:tcPr>
            <w:tcW w:type="dxa" w:w="45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2</w:t>
            </w:r>
          </w:p>
        </w:tc>
        <w:tc>
          <w:tcPr>
            <w:tcW w:type="dxa" w:w="458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Fernwartung unter Windows: Menüpunkt, Dialog, Lizenzbedingung, Fernwartungsseite; Zuarbeit INEKON: Microsoft-Konto, Seite. Das iPad ist zurückgestellt</w:t>
            </w:r>
          </w:p>
        </w:tc>
        <w:tc>
          <w:tcPr>
            <w:tcW w:type="dxa" w:w="459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umgesetzt (11.10.2026, #985); Nachzug Quick Assist (#1001); offen beim Anwender: Microsoft-Konto des Supports, Fernwartungsseite als Anleitung</w:t>
            </w:r>
          </w:p>
        </w:tc>
      </w:tr>
      <w:tr>
        <w:trPr>
          <w:cantSplit/>
          <w:tblHeader w:val="false"/>
        </w:trPr>
        <w:tc>
          <w:tcPr>
            <w:tcW w:type="dxa" w:w="45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3</w:t>
            </w:r>
          </w:p>
        </w:tc>
        <w:tc>
          <w:tcPr>
            <w:tcW w:type="dxa" w:w="458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Dialog „Über EPOS-Plan", Diagnosedaten, Supportpaket</w:t>
            </w:r>
          </w:p>
        </w:tc>
        <w:tc>
          <w:tcPr>
            <w:tcW w:type="dxa" w:w="459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umgesetzt (11.10.2026, #987): 3a (Dialog, Diagnoseblock, Geste im Dialog), 3b (Supportpaket)</w:t>
            </w:r>
          </w:p>
        </w:tc>
      </w:tr>
      <w:tr>
        <w:trPr>
          <w:cantSplit/>
          <w:tblHeader w:val="false"/>
        </w:trPr>
        <w:tc>
          <w:tcPr>
            <w:tcW w:type="dxa" w:w="45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4</w:t>
            </w:r>
          </w:p>
        </w:tc>
        <w:tc>
          <w:tcPr>
            <w:tcW w:type="dxa" w:w="458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Supportvertrag im Lizenz-Token (</w:t>
            </w:r>
            <w:r>
              <w:rPr>
                <w:rFonts w:ascii="Consolas" w:cs="Consolas" w:eastAsia="Consolas" w:hAnsi="Consolas"/>
                <w:sz w:val="18"/>
                <w:szCs w:val="18"/>
              </w:rPr>
              <w:t xml:space="preserve">support_bis</w:t>
            </w:r>
            <w:r>
              <w:rPr>
                <w:sz w:val="19"/>
                <w:szCs w:val="19"/>
              </w:rPr>
              <w:t xml:space="preserve">)</w:t>
            </w:r>
          </w:p>
        </w:tc>
        <w:tc>
          <w:tcPr>
            <w:tcW w:type="dxa" w:w="459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sz w:val="19"/>
                <w:szCs w:val="19"/>
              </w:rPr>
              <w:t xml:space="preserve">offen, auf Zuruf</w:t>
            </w:r>
          </w:p>
        </w:tc>
      </w:tr>
    </w:tbl>
    <w:p>
      <w:pPr>
        <w:spacing w:after="120"/>
      </w:pPr>
    </w:p>
    <w:p>
      <w:pPr>
        <w:pStyle w:val="Heading1"/>
      </w:pPr>
      <w:r>
        <w:t xml:space="preserve">8 Pflege dieses Handbuchs</w:t>
      </w:r>
    </w:p>
    <w:p>
      <w:pPr>
        <w:pStyle w:val="ListParagraph"/>
        <w:numPr>
          <w:ilvl w:val="0"/>
          <w:numId w:val="2"/>
        </w:numPr>
        <w:spacing w:after="60"/>
      </w:pPr>
      <w:r>
        <w:t xml:space="preserve">Die Markdown-Datei ist die Quelle. Wer eine Stufe umsetzt, trägt die Stufe in Abschnitt 7 als umgesetzt ein, ersetzt in den betroffenen Abschnitten „[Stufe n]" durch „[heute]" und berichtigt Namen und Pfade nach dem gebauten Stand.</w:t>
      </w:r>
    </w:p>
    <w:p>
      <w:pPr>
        <w:pStyle w:val="ListParagraph"/>
        <w:numPr>
          <w:ilvl w:val="0"/>
          <w:numId w:val="2"/>
        </w:numPr>
        <w:spacing w:after="60"/>
      </w:pPr>
      <w:r>
        <w:t xml:space="preserve">Danach wird die Word-Fassung neu erzeugt (Agent mit dem docx-Skill, Vorlage: dieses Dokument, A4, Überschriften und Tabellen wie hier) und im selben Commit abgelegt.</w:t>
      </w:r>
    </w:p>
    <w:p>
      <w:pPr>
        <w:pStyle w:val="ListParagraph"/>
        <w:numPr>
          <w:ilvl w:val="0"/>
          <w:numId w:val="2"/>
        </w:numPr>
        <w:spacing w:after="60"/>
      </w:pPr>
      <w:r>
        <w:t xml:space="preserve">Nichts aus diesem Handbuch wird ins Wiki übernommen; die Anwenderseite der Fernwartung steht in den Wiki-Quellen unter </w:t>
      </w:r>
      <w:r>
        <w:rPr>
          <w:rFonts w:ascii="Consolas" w:cs="Consolas" w:eastAsia="Consolas" w:hAnsi="Consolas"/>
          <w:sz w:val="20"/>
          <w:szCs w:val="20"/>
        </w:rPr>
        <w:t xml:space="preserve">Projekte/Wiki/</w:t>
      </w:r>
      <w:r>
        <w:t xml:space="preserve"> ohne Produktnamen.</w:t>
      </w:r>
    </w:p>
    <w:sectPr>
      <w:headerReference w:type="default" r:id="rId11"/>
      <w:footerReference w:type="default" r:id="rId12"/>
      <w:type w:val="nextPage"/>
      <w:pgSz w:w="11906" w:h="16838" w:orient="portrait"/>
      <w:pgMar w:top="1417" w:right="1134" w:bottom="1417"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Seite </w:t>
    </w:r>
    <w:r>
      <w:rPr>
        <w:sz w:val="18"/>
        <w:szCs w:val="18"/>
      </w:rPr>
      <w:fldChar w:fldCharType="begin"/>
      <w:instrText xml:space="preserve">PAGE</w:instrText>
      <w:fldChar w:fldCharType="separate"/>
      <w:fldChar w:fldCharType="end"/>
    </w:r>
    <w:r>
      <w:rPr>
        <w:sz w:val="18"/>
        <w:szCs w:val="18"/>
      </w:rPr>
      <w:t xml:space="preserve"> von </w:t>
    </w:r>
    <w:r>
      <w:rPr>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Seite </w:t>
    </w:r>
    <w:r>
      <w:rPr>
        <w:sz w:val="18"/>
        <w:szCs w:val="18"/>
      </w:rPr>
      <w:fldChar w:fldCharType="begin"/>
      <w:instrText xml:space="preserve">PAGE</w:instrText>
      <w:fldChar w:fldCharType="separate"/>
      <w:fldChar w:fldCharType="end"/>
    </w:r>
    <w:r>
      <w:rPr>
        <w:sz w:val="18"/>
        <w:szCs w:val="18"/>
      </w:rPr>
      <w:t xml:space="preserve"> von </w:t>
    </w:r>
    <w:r>
      <w:rPr>
        <w:sz w:val="18"/>
        <w:szCs w:val="18"/>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Seite </w:t>
    </w:r>
    <w:r>
      <w:rPr>
        <w:sz w:val="18"/>
        <w:szCs w:val="18"/>
      </w:rPr>
      <w:fldChar w:fldCharType="begin"/>
      <w:instrText xml:space="preserve">PAGE</w:instrText>
      <w:fldChar w:fldCharType="separate"/>
      <w:fldChar w:fldCharType="end"/>
    </w:r>
    <w:r>
      <w:rPr>
        <w:sz w:val="18"/>
        <w:szCs w:val="18"/>
      </w:rPr>
      <w:t xml:space="preserve"> von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6A6" w:sz="4" w:space="2"/>
      </w:pBdr>
    </w:pPr>
    <w:r>
      <w:rPr>
        <w:color w:val="595959"/>
        <w:sz w:val="18"/>
        <w:szCs w:val="18"/>
      </w:rPr>
      <w:t xml:space="preserve">EPOS-Plan · Entwicklerhandbuch Administration und Support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6A6" w:sz="4" w:space="2"/>
      </w:pBdr>
    </w:pPr>
    <w:r>
      <w:rPr>
        <w:color w:val="595959"/>
        <w:sz w:val="18"/>
        <w:szCs w:val="18"/>
      </w:rPr>
      <w:t xml:space="preserve">EPOS-Plan · Entwicklerhandbuch Administration und Support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6A6" w:sz="4" w:space="2"/>
      </w:pBdr>
    </w:pPr>
    <w:r>
      <w:rPr>
        <w:color w:val="595959"/>
        <w:sz w:val="18"/>
        <w:szCs w:val="18"/>
      </w:rPr>
      <w:t xml:space="preserve">EPOS-Plan · Entwicklerhandbuch Administration und Support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lang w:val="de-DE"/>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6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2026-10-11T22:17:38.839Z</dcterms:created>
  <dcterms:modified xsi:type="dcterms:W3CDTF">2026-10-11T22:17:38.847Z</dcterms:modified>
</cp:coreProperties>
</file>

<file path=docProps/custom.xml><?xml version="1.0" encoding="utf-8"?>
<Properties xmlns="http://schemas.openxmlformats.org/officeDocument/2006/custom-properties" xmlns:vt="http://schemas.openxmlformats.org/officeDocument/2006/docPropsVTypes"/>
</file>