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Vorheizzeit </w:t>
      </w:r>
      <w:r>
        <w:rPr>
          <w:noProof/>
        </w:rPr>
        <w:t xml:space="preserve">{{gebaeude.ergebnis.vorheizzeit}}</w:t>
      </w:r>
      <w:r>
        <w:t xml:space="preserve">, Vorheizleistung </w:t>
      </w:r>
      <w:r>
        <w:rPr>
          <w:noProof/>
        </w:rPr>
        <w:t xml:space="preserve">{{gebaeude.ergebnis.vorheizleistung}}</w:t>
      </w:r>
      <w:r>
        <w:t xml:space="preserve">, Tage ohne Ankunft </w:t>
      </w:r>
      <w:r>
        <w:rPr>
          <w:noProof/>
        </w:rPr>
        <w:t xml:space="preserve">{{gebaeude.ergebnis.vorheiz_tage_verfehlt}}</w:t>
      </w:r>
      <w:r>
        <w:t xml:space="preserve">, Mehrwärme des Vorheizens </w:t>
      </w:r>
      <w:r>
        <w:rPr>
          <w:noProof/>
        </w:rPr>
        <w:t xml:space="preserve">{{gebaeude.ergebnis.vorheiz_mehrwaerme}}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 Mit vorgegebener oder berechneter Vorheizzeit folgt ({{#wenn hat.vorheizen}}) ein Satz mit Verfahren, Vorheizzeit, Vorheizleistung, Tagen ohne Ankunft und Mehrwärme.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20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