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preheat time </w:t>
      </w:r>
      <w:r>
        <w:rPr>
          <w:noProof/>
        </w:rPr>
        <w:t xml:space="preserve">{{gebaeude.ergebnis.vorheizzeit}}</w:t>
      </w:r>
      <w:r>
        <w:t xml:space="preserve">, preheat power </w:t>
      </w:r>
      <w:r>
        <w:rPr>
          <w:noProof/>
        </w:rPr>
        <w:t xml:space="preserve">{{gebaeude.ergebnis.vorheizleistung}}</w:t>
      </w:r>
      <w:r>
        <w:t xml:space="preserve">, days without arrival </w:t>
      </w:r>
      <w:r>
        <w:rPr>
          <w:noProof/>
        </w:rPr>
        <w:t xml:space="preserve">{{gebaeude.ergebnis.vorheiz_tage_verfehlt}}</w:t>
      </w:r>
      <w:r>
        <w:t xml:space="preserve">, additional heat from preheating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 With a specified or calculated preheat time ({{#wenn hat.vorheizen}}) a sentence follows with method, preheat time, preheat power, days without arrival and additional heat; with effective rapid heat-up it ends with “, with rapid heat-up (+2.0 K)”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21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