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commentRangeStart w:id="0"/>
      <w:r>
        <w:rPr>
          <w:noProof/>
        </w:rPr>
        <w:t xml:space="preserve">{{bericht.titel}}</w:t>
      </w:r>
    </w:p>
    <w:p>
      <w:pPr>
        <w:pStyle w:val="Subtitle"/>
      </w:pPr>
      <w:r>
        <w:t xml:space="preserve">Summary report</w:t>
      </w:r>
    </w:p>
    <w:tbl>
      <w:tblPr>
        <w:tblW w:w="9355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800"/>
        <w:gridCol w:w="6555"/>
      </w:tblGrid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Client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{{projekt.kunde}}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Prepared by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{{projekt.bearbeiter}}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Issued by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{{ersteller.firma}}</w:t>
            </w:r>
          </w:p>
        </w:tc>
      </w:tr>
      <w:tr>
        <w:tc>
          <w:tcPr>
            <w:tcW w:w="2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Date</w:t>
            </w:r>
          </w:p>
        </w:tc>
        <w:tc>
          <w:tcPr>
            <w:tcW w:w="6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{{bericht.datum}}</w:t>
            </w:r>
          </w:p>
        </w:tc>
      </w:tr>
    </w:tbl>
    <w:p>
      <w:pPr>
        <w:pStyle w:val="Hinweis"/>
      </w:pPr>
      <w:r>
        <w:t xml:space="preserve">Compared: </w:t>
      </w:r>
      <w:r>
        <w:rPr>
          <w:noProof/>
        </w:rPr>
        <w:t xml:space="preserve">{{bericht.varianten.liste}}</w:t>
      </w:r>
    </w:p>
    <w:p>
      <w:pPr>
        <w:pStyle w:val="Hinweis"/>
        <w:sectPr>
          <w:pgSz w:w="11906" w:h="16838" w:orient="portrait"/>
          <w:pgMar w:top="1133" w:right="1133" w:bottom="1020" w:left="1417" w:header="708" w:footer="708" w:gutter="0"/>
          <w:pgNumType/>
          <w:docGrid w:linePitch="360"/>
        </w:sectPr>
      </w:pPr>
      <w:r>
        <w:t xml:space="preserve">Created with </w:t>
      </w:r>
      <w:r>
        <w:rPr>
          <w:noProof/>
        </w:rPr>
        <w:t xml:space="preserve">{{ersteller.programm}}</w:t>
      </w:r>
      <w:r>
        <w:t xml:space="preserve"> </w:t>
      </w:r>
      <w:r>
        <w:rPr>
          <w:noProof/>
        </w:rPr>
        <w:t xml:space="preserve">{{ersteller.version}}</w:t>
      </w:r>
      <w:commentRangeEnd w:id="0"/>
      <w:r>
        <w:commentReference w:id="0"/>
      </w:r>
    </w:p>
    <w:p>
      <w:pPr>
        <w:pStyle w:val="Heading1"/>
      </w:pPr>
      <w:commentRangeStart w:id="1"/>
      <w:r>
        <w:t xml:space="preserve">Initial situation</w:t>
      </w:r>
      <w:commentRangeEnd w:id="1"/>
      <w:r>
        <w:commentReference w:id="1"/>
      </w:r>
    </w:p>
    <w:p>
      <w:pPr>
        <w:pStyle w:val="Normal"/>
      </w:pPr>
      <w:r>
        <w:rPr>
          <w:noProof/>
        </w:rPr>
        <w:t xml:space="preserve">{{projekt.beschreibung}}</w:t>
      </w:r>
    </w:p>
    <w:p>
      <w:pPr>
        <w:pStyle w:val="Normal"/>
      </w:pPr>
      <w:r>
        <w:t xml:space="preserve">Climate region: </w:t>
      </w:r>
      <w:r>
        <w:rPr>
          <w:noProof/>
        </w:rPr>
        <w:t xml:space="preserve">{{projekt.klimaregion}}</w:t>
      </w:r>
    </w:p>
    <w:p>
      <w:pPr>
        <w:pStyle w:val="Heading1"/>
      </w:pPr>
      <w:commentRangeStart w:id="2"/>
      <w:r>
        <w:t xml:space="preserve">Results at a glance</w:t>
      </w:r>
      <w:commentRangeEnd w:id="2"/>
      <w:r>
        <w:commentReference w:id="2"/>
      </w:r>
    </w:p>
    <w:tbl>
      <w:tblPr>
        <w:tblW w:w="9355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555"/>
        <w:gridCol w:w="1700"/>
        <w:gridCol w:w="1100"/>
        <w:gridCol w:w="1700"/>
        <w:gridCol w:w="2300"/>
      </w:tblGrid>
      <w:tr>
        <w:trPr>
          <w:tblHeader/>
        </w:trPr>
        <w:tc>
          <w:tcPr>
            <w:tcW w:w="255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Variant</w:t>
            </w:r>
          </w:p>
        </w:tc>
        <w:tc>
          <w:tcPr>
            <w:tcW w:w="17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Heat demand [</w:t>
            </w:r>
            <w:r>
              <w:rPr>
                <w:b/>
                <w:noProof/>
                <w:sz w:val="18"/>
              </w:rPr>
              <w:t xml:space="preserve">{{kennzahl.energie.waermebedarf.einheit}}</w:t>
            </w:r>
            <w:r>
              <w:rPr>
                <w:b/>
                <w:sz w:val="18"/>
              </w:rPr>
              <w:t xml:space="preserve">]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SPF</w:t>
            </w:r>
          </w:p>
        </w:tc>
        <w:tc>
          <w:tcPr>
            <w:tcW w:w="17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CO₂ [</w:t>
            </w:r>
            <w:r>
              <w:rPr>
                <w:b/>
                <w:noProof/>
                <w:sz w:val="18"/>
              </w:rPr>
              <w:t xml:space="preserve">{{kennzahl.em.co2.einheit}}</w:t>
            </w:r>
            <w:r>
              <w:rPr>
                <w:b/>
                <w:sz w:val="18"/>
              </w:rPr>
              <w:t xml:space="preserve">]</w:t>
            </w:r>
          </w:p>
        </w:tc>
        <w:tc>
          <w:tcPr>
            <w:tcW w:w="23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Net present value difference</w:t>
            </w:r>
          </w:p>
        </w:tc>
      </w:tr>
      <w:tr>
        <w:tc>
          <w:tcPr>
            <w:tcW w:w="2555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{{#je stand}}</w:t>
            </w:r>
            <w:r>
              <w:rPr>
                <w:noProof/>
                <w:sz w:val="18"/>
              </w:rPr>
              <w:t xml:space="preserve">{{stand.anzeige}}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{{stand.kennzahl.energie.waermebedarf|ohne einheit}}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{{stand.kennzahl.eff.jaz|stellen 1}}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{{stand.kennzahl.em.co2|ohne einheit}}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t xml:space="preserve">{{stand.wirtschaft.kapitalwert_diff|mit grund}}</w:t>
            </w:r>
            <w:r>
              <w:rPr>
                <w:noProof/>
                <w:sz w:val="18"/>
              </w:rPr>
              <w:t xml:space="preserve">{{/je}}</w:t>
            </w:r>
          </w:p>
        </w:tc>
      </w:tr>
    </w:tbl>
    <w:p>
      <w:pPr>
        <w:pStyle w:val="Normal"/>
      </w:pPr>
      <w:r>
        <w:rPr>
          <w:noProof/>
        </w:rPr>
        <w:t xml:space="preserve">{{bericht.warnungen}}</w:t>
      </w:r>
    </w:p>
    <w:p>
      <w:pPr>
        <w:pStyle w:val="Heading1"/>
      </w:pPr>
      <w:commentRangeStart w:id="3"/>
      <w:r>
        <w:t xml:space="preserve">Recommendation</w:t>
      </w:r>
      <w:commentRangeEnd w:id="3"/>
      <w:r>
        <w:commentReference w:id="3"/>
      </w:r>
    </w:p>
    <w:p>
      <w:pPr>
        <w:pStyle w:val="Normal"/>
      </w:pPr>
      <w:r>
        <w:t xml:space="preserve">Best variant: </w:t>
      </w:r>
      <w:r>
        <w:rPr>
          <w:noProof/>
        </w:rPr>
        <w:t xml:space="preserve">{{wirtschaft.beste.anzeige}}</w:t>
      </w:r>
      <w:r>
        <w:t xml:space="preserve"> with a net present value difference of </w:t>
      </w:r>
      <w:r>
        <w:rPr>
          <w:noProof/>
        </w:rPr>
        <w:t xml:space="preserve">{{wirtschaft.beste.kapitalwert_diff}}</w:t>
      </w:r>
      <w:r>
        <w:t xml:space="preserve">.</w:t>
      </w:r>
    </w:p>
    <w:p>
      <w:pPr>
        <w:pStyle w:val="Normal"/>
      </w:pPr>
      <w:r>
        <w:rPr>
          <w:noProof/>
        </w:rPr>
        <w:t xml:space="preserve">{{wirtschaft.vorschlag}}</w:t>
      </w:r>
    </w:p>
    <w:p>
      <w:pPr>
        <w:pStyle w:val="Heading1"/>
      </w:pPr>
      <w:commentRangeStart w:id="4"/>
      <w:r>
        <w:t xml:space="preserve">Economic viability</w:t>
      </w:r>
      <w:commentRangeEnd w:id="4"/>
      <w:r>
        <w:commentReference w:id="4"/>
      </w:r>
    </w:p>
    <w:p>
      <w:pPr>
        <w:pStyle w:val="Normal"/>
      </w:pPr>
      <w:r>
        <w:rPr>
          <w:noProof/>
        </w:rPr>
        <w:t xml:space="preserve">{{#wenn hat.bild.wirtschaft.spanne}}</w:t>
      </w:r>
    </w:p>
    <w:p>
      <w:pPr>
        <w:pStyle w:val="Normal"/>
      </w:pPr>
      <w:r>
        <w:rPr>
          <w:noProof/>
        </w:rPr>
        <w:drawing>
          <wp:inline distT="0" distB="0" distL="0" distR="0">
            <wp:extent cx="5940425" cy="2970212"/>
            <wp:effectExtent l="0" t="0" r="0" b="0"/>
            <wp:docPr id="101" name="Bildplatzhalter 101" descr="{{bild.wirtschaft.spann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platzhalter.png"/>
                    <pic:cNvPicPr/>
                  </pic:nvPicPr>
                  <pic:blipFill>
                    <a:blip r:embed="rIdBildplatzhalter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r>
        <w:rPr>
          <w:noProof/>
        </w:rPr>
        <w:t xml:space="preserve">{{tabelle.wirtschaft.szenarien}}</w:t>
      </w:r>
    </w:p>
    <w:p>
      <w:pPr>
        <w:pStyle w:val="Normal"/>
      </w:pPr>
      <w:r>
        <w:rPr>
          <w:noProof/>
        </w:rPr>
        <w:t xml:space="preserve">{{wirtschaft.warnungen}}</w:t>
      </w:r>
    </w:p>
    <w:p>
      <w:pPr>
        <w:pStyle w:val="Normal"/>
      </w:pPr>
      <w:commentRangeStart w:id="5"/>
      <w:r>
        <w:rPr>
          <w:noProof/>
        </w:rPr>
        <w:t xml:space="preserve">{{#wenn hat.kaelte}}</w:t>
      </w:r>
      <w:commentRangeEnd w:id="5"/>
      <w:r>
        <w:commentReference w:id="5"/>
      </w:r>
    </w:p>
    <w:p>
      <w:pPr>
        <w:pStyle w:val="Heading2"/>
      </w:pPr>
      <w:r>
        <w:t xml:space="preserve">Cooling</w:t>
      </w:r>
    </w:p>
    <w:p>
      <w:pPr>
        <w:pStyle w:val="Normal"/>
      </w:pPr>
      <w:r>
        <w:rPr>
          <w:noProof/>
        </w:rPr>
        <w:t xml:space="preserve">{{#wenn nicht hat.kaelte.dezentral}}</w:t>
      </w:r>
    </w:p>
    <w:p>
      <w:pPr>
        <w:pStyle w:val="Normal"/>
      </w:pPr>
      <w:r>
        <w:t xml:space="preserve">The cooling demand is </w:t>
      </w:r>
      <w:r>
        <w:rPr>
          <w:noProof/>
        </w:rPr>
        <w:t xml:space="preserve">{{stamm.kennzahl.kaelte.jahresbedarf}}</w:t>
      </w:r>
      <w:r>
        <w:t xml:space="preserve">; the system covers </w:t>
      </w:r>
      <w:r>
        <w:rPr>
          <w:noProof/>
        </w:rPr>
        <w:t xml:space="preserve">{{stamm.kennzahl.kaelte.deckungsgrad}}</w:t>
      </w:r>
      <w:r>
        <w:t xml:space="preserve"> of it.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r>
        <w:rPr>
          <w:noProof/>
        </w:rPr>
        <w:t xml:space="preserve">{{#wenn hat.kaelte.dezentral}}</w:t>
      </w:r>
    </w:p>
    <w:p>
      <w:pPr>
        <w:pStyle w:val="Normal"/>
      </w:pPr>
      <w:r>
        <w:rPr>
          <w:noProof/>
        </w:rPr>
        <w:t xml:space="preserve">{{#wenn hat.kaelte.kaeltefolge}}</w:t>
      </w:r>
    </w:p>
    <w:p>
      <w:pPr>
        <w:pStyle w:val="Normal"/>
      </w:pPr>
      <w:r>
        <w:t xml:space="preserve">The cooling demand is </w:t>
      </w:r>
      <w:r>
        <w:rPr>
          <w:noProof/>
        </w:rPr>
        <w:t xml:space="preserve">{{stamm.kennzahl.kaelte.jahresbedarf}}</w:t>
      </w:r>
      <w:r>
        <w:t xml:space="preserve">; the system and the decentralised split units cover </w:t>
      </w:r>
      <w:r>
        <w:rPr>
          <w:noProof/>
        </w:rPr>
        <w:t xml:space="preserve">{{stamm.kennzahl.kaelte.deckungsgrad_gesamt}}</w:t>
      </w:r>
      <w:r>
        <w:t xml:space="preserve"> of it, of which the cooling sequence covers </w:t>
      </w:r>
      <w:r>
        <w:rPr>
          <w:noProof/>
        </w:rPr>
        <w:t xml:space="preserve">{{stamm.kennzahl.kaelte.deckungsgrad_kaeltefolge}}</w:t>
      </w:r>
      <w:r>
        <w:t xml:space="preserve"> of the centrally supplied cooling demand.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r>
        <w:rPr>
          <w:noProof/>
        </w:rPr>
        <w:t xml:space="preserve">{{#wenn nicht hat.kaelte.kaeltefolge}}</w:t>
      </w:r>
    </w:p>
    <w:p>
      <w:pPr>
        <w:pStyle w:val="Normal"/>
      </w:pPr>
      <w:r>
        <w:t xml:space="preserve">The cooling demand is </w:t>
      </w:r>
      <w:r>
        <w:rPr>
          <w:noProof/>
        </w:rPr>
        <w:t xml:space="preserve">{{stamm.kennzahl.kaelte.jahresbedarf}}</w:t>
      </w:r>
      <w:r>
        <w:t xml:space="preserve">; the decentralised split units cover </w:t>
      </w:r>
      <w:r>
        <w:rPr>
          <w:noProof/>
        </w:rPr>
        <w:t xml:space="preserve">{{stamm.kennzahl.kaelte.deckungsgrad_gesamt}}</w:t>
      </w:r>
      <w:r>
        <w:t xml:space="preserve"> of it.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commentRangeStart w:id="9"/>
      <w:r>
        <w:rPr>
          <w:noProof/>
        </w:rPr>
        <w:t xml:space="preserve">{{#wenn hat.aufheizung}}</w:t>
      </w:r>
      <w:commentRangeEnd w:id="9"/>
      <w:r>
        <w:commentReference w:id="9"/>
      </w:r>
    </w:p>
    <w:p>
      <w:pPr>
        <w:pStyle w:val="Heading2"/>
      </w:pPr>
      <w:r>
        <w:t xml:space="preserve">Preheating</w:t>
      </w:r>
    </w:p>
    <w:p>
      <w:pPr>
        <w:pStyle w:val="Normal"/>
      </w:pPr>
      <w:r>
        <w:rPr>
          <w:noProof/>
        </w:rPr>
        <w:t xml:space="preserve">{{#je gebaeude}}</w:t>
      </w:r>
    </w:p>
    <w:p>
      <w:pPr>
        <w:pStyle w:val="Normal"/>
      </w:pPr>
      <w:r>
        <w:rPr>
          <w:noProof/>
        </w:rPr>
        <w:t xml:space="preserve">{{gebaeude.name}}</w:t>
      </w:r>
      <w:r>
        <w:t xml:space="preserve">: The preheat time is </w:t>
      </w:r>
      <w:r>
        <w:rPr>
          <w:noProof/>
        </w:rPr>
        <w:t xml:space="preserve">{{gebaeude.ergebnis.aufheizzeit}}</w:t>
      </w:r>
      <w:r>
        <w:t xml:space="preserve"> at </w:t>
      </w:r>
      <w:r>
        <w:rPr>
          <w:noProof/>
        </w:rPr>
        <w:t xml:space="preserve">{{gebaeude.ergebnis.aufheiz_aussentemperatur}}</w:t>
      </w:r>
      <w:r>
        <w:t xml:space="preserve">, the preheat power </w:t>
      </w:r>
      <w:r>
        <w:rPr>
          <w:noProof/>
        </w:rPr>
        <w:t xml:space="preserve">{{gebaeude.ergebnis.aufheizleistung}}</w:t>
      </w:r>
      <w:r>
        <w:t xml:space="preserve">; the design capacity </w:t>
      </w:r>
      <w:r>
        <w:rPr>
          <w:noProof/>
        </w:rPr>
        <w:t xml:space="preserve">{{gebaeude.ergebnis.auslegungsgroesse}}</w:t>
      </w:r>
      <w:r>
        <w:t xml:space="preserve"> consists of the design heat load </w:t>
      </w:r>
      <w:r>
        <w:rPr>
          <w:noProof/>
        </w:rPr>
        <w:t xml:space="preserve">{{gebaeude.ergebnis.auslegungsheizlast}}</w:t>
      </w:r>
      <w:r>
        <w:t xml:space="preserve"> and the heating-up capacity </w:t>
      </w:r>
      <w:r>
        <w:rPr>
          <w:noProof/>
        </w:rPr>
        <w:t xml:space="preserve">{{gebaeude.ergebnis.aufheizzuschlag}}</w:t>
      </w:r>
      <w:r>
        <w:t xml:space="preserve">.</w:t>
      </w:r>
    </w:p>
    <w:p>
      <w:pPr>
        <w:pStyle w:val="Normal"/>
      </w:pPr>
      <w:r>
        <w:rPr>
          <w:noProof/>
        </w:rPr>
        <w:t xml:space="preserve">{{gebaeude.ergebnis.aufheizhinweise}}</w:t>
      </w:r>
    </w:p>
    <w:p>
      <w:pPr>
        <w:pStyle w:val="Normal"/>
      </w:pPr>
      <w:r>
        <w:rPr>
          <w:noProof/>
        </w:rPr>
        <w:t xml:space="preserve">{{/je}}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Normal"/>
      </w:pPr>
      <w:r>
        <w:rPr>
          <w:noProof/>
        </w:rPr>
        <w:t xml:space="preserve">{{#wenn hat.vorheizen}}</w:t>
      </w:r>
    </w:p>
    <w:p>
      <w:pPr>
        <w:pStyle w:val="Normal"/>
      </w:pPr>
      <w:r>
        <w:rPr>
          <w:noProof/>
        </w:rPr>
        <w:t xml:space="preserve">{{#je gebaeude}}</w:t>
      </w:r>
    </w:p>
    <w:p>
      <w:pPr>
        <w:pStyle w:val="Normal"/>
      </w:pPr>
      <w:r>
        <w:rPr>
          <w:noProof/>
        </w:rPr>
        <w:t xml:space="preserve">{{gebaeude.name}}</w:t>
      </w:r>
      <w:r>
        <w:t xml:space="preserve"> – </w:t>
      </w:r>
      <w:r>
        <w:rPr>
          <w:noProof/>
        </w:rPr>
        <w:t xml:space="preserve">{{gebaeude.ergebnis.vorheizverfahren}}</w:t>
      </w:r>
      <w:r>
        <w:t xml:space="preserve">: preheat time </w:t>
      </w:r>
      <w:r>
        <w:rPr>
          <w:noProof/>
        </w:rPr>
        <w:t xml:space="preserve">{{gebaeude.ergebnis.vorheizzeit}}</w:t>
      </w:r>
      <w:r>
        <w:t xml:space="preserve">, preheat power </w:t>
      </w:r>
      <w:r>
        <w:rPr>
          <w:noProof/>
        </w:rPr>
        <w:t xml:space="preserve">{{gebaeude.ergebnis.vorheizleistung}}</w:t>
      </w:r>
      <w:r>
        <w:t xml:space="preserve">, days without arrival </w:t>
      </w:r>
      <w:r>
        <w:rPr>
          <w:noProof/>
        </w:rPr>
        <w:t xml:space="preserve">{{gebaeude.ergebnis.vorheiz_tage_verfehlt}}</w:t>
      </w:r>
      <w:r>
        <w:t xml:space="preserve">, additional heat from preheating </w:t>
      </w:r>
      <w:r>
        <w:rPr>
          <w:noProof/>
        </w:rPr>
        <w:t xml:space="preserve">{{gebaeude.ergebnis.vorheiz_mehrwaerme}}</w:t>
      </w:r>
      <w:r>
        <w:rPr>
          <w:noProof/>
        </w:rPr>
        <w:t xml:space="preserve">{{gebaeude.ergebnis.vorheiz_schnellaufheizung}}</w:t>
      </w:r>
      <w:r>
        <w:t xml:space="preserve">.</w:t>
      </w:r>
    </w:p>
    <w:p>
      <w:pPr>
        <w:pStyle w:val="Normal"/>
      </w:pPr>
      <w:r>
        <w:rPr>
          <w:noProof/>
        </w:rPr>
        <w:t xml:space="preserve">{{/je}}</w:t>
      </w:r>
    </w:p>
    <w:p>
      <w:pPr>
        <w:pStyle w:val="Normal"/>
      </w:pPr>
      <w:r>
        <w:rPr>
          <w:noProof/>
        </w:rPr>
        <w:t xml:space="preserve">{{/wenn}}</w:t>
      </w:r>
    </w:p>
    <w:p>
      <w:pPr>
        <w:pStyle w:val="Heading1"/>
      </w:pPr>
      <w:commentRangeStart w:id="6"/>
      <w:r>
        <w:t xml:space="preserve">Coverage per variant</w:t>
      </w:r>
      <w:commentRangeEnd w:id="6"/>
      <w:r>
        <w:commentReference w:id="6"/>
      </w:r>
    </w:p>
    <w:p>
      <w:pPr>
        <w:pStyle w:val="Normal"/>
      </w:pPr>
      <w:r>
        <w:rPr>
          <w:noProof/>
        </w:rPr>
        <w:t xml:space="preserve">{{#je stand}}</w:t>
      </w:r>
    </w:p>
    <w:p>
      <w:pPr>
        <w:pStyle w:val="Heading2"/>
      </w:pPr>
      <w:r>
        <w:rPr>
          <w:noProof/>
        </w:rPr>
        <w:t xml:space="preserve">{{stand.anzeige}}</w:t>
      </w:r>
    </w:p>
    <w:tbl>
      <w:tblPr>
        <w:tblW w:w="9354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4677"/>
        <w:gridCol w:w="4677"/>
      </w:tblGrid>
      <w:tr>
        <w:tc>
          <w:tcPr>
            <w:tcW w:w="4677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drawing>
                <wp:inline distT="0" distB="0" distL="0" distR="0">
                  <wp:extent cx="2808000" cy="1752000"/>
                  <wp:effectExtent l="0" t="0" r="0" b="0"/>
                  <wp:docPr id="102" name="Bildplatzhalter 102" descr="{{stand.bild.deckung_waerme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platzhalter.png"/>
                          <pic:cNvPicPr/>
                        </pic:nvPicPr>
                        <pic:blipFill>
                          <a:blip r:embed="rIdBildplatzhalter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center"/>
          </w:tcPr>
          <w:p>
            <w:pPr>
              <w:spacing w:before="20" w:after="20"/>
            </w:pPr>
            <w:r>
              <w:rPr>
                <w:noProof/>
                <w:sz w:val="18"/>
              </w:rPr>
              <w:drawing>
                <wp:inline distT="0" distB="0" distL="0" distR="0">
                  <wp:extent cx="2808000" cy="1752000"/>
                  <wp:effectExtent l="0" t="0" r="0" b="0"/>
                  <wp:docPr id="103" name="Bildplatzhalter 103" descr="{{stand.bild.deckung_strom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platzhalter.png"/>
                          <pic:cNvPicPr/>
                        </pic:nvPicPr>
                        <pic:blipFill>
                          <a:blip r:embed="rIdBildplatzhalter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</w:pPr>
      <w:r>
        <w:rPr>
          <w:noProof/>
        </w:rPr>
        <w:t xml:space="preserve">{{/je}}</w:t>
      </w:r>
    </w:p>
    <w:p>
      <w:pPr>
        <w:pStyle w:val="EPOSKapitelkopf"/>
      </w:pPr>
      <w:commentRangeStart w:id="7"/>
      <w:r>
        <w:t xml:space="preserve">Appendix</w:t>
      </w:r>
      <w:commentRangeEnd w:id="7"/>
      <w:r>
        <w:commentReference w:id="7"/>
      </w:r>
    </w:p>
    <w:p>
      <w:pPr>
        <w:pStyle w:val="Normal"/>
      </w:pPr>
      <w:r>
        <w:rPr>
          <w:noProof/>
        </w:rPr>
        <w:t xml:space="preserve">{{kapitel.anhang|ohne titel|ebene 2}}</w:t>
      </w:r>
    </w:p>
    <w:tbl>
      <w:tblPr>
        <w:tblW w:w="9352" w:type="dxa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  <w:tblDescription w:val="{{muster.tabelle}}"/>
      </w:tblPr>
      <w:tblGrid>
        <w:gridCol w:w="2338"/>
        <w:gridCol w:w="2338"/>
        <w:gridCol w:w="2338"/>
        <w:gridCol w:w="2338"/>
      </w:tblGrid>
      <w:tr>
        <w:tc>
          <w:tcPr>
            <w:tcW w:w="2338" w:type="dxa"/>
            <w:shd w:val="clear" w:color="auto" w:fill="F2F2F2"/>
            <w:vAlign w:val="center"/>
          </w:tcPr>
          <w:p>
            <w:pPr>
              <w:spacing w:before="20" w:after="20"/>
            </w:pPr>
            <w:commentRangeStart w:id="8"/>
            <w:r>
              <w:rPr>
                <w:sz w:val="18"/>
              </w:rPr>
              <w:t xml:space="preserve">Base</w:t>
            </w:r>
            <w:commentRangeEnd w:id="8"/>
            <w:r>
              <w:rPr>
                <w:sz w:val="18"/>
              </w:rPr>
              <w:commentReference w:id="8"/>
            </w:r>
          </w:p>
        </w:tc>
        <w:tc>
          <w:tcPr>
            <w:tcW w:w="2338" w:type="dxa"/>
            <w:shd w:val="clear" w:color="auto" w:fill="DCE6F0"/>
            <w:vAlign w:val="center"/>
          </w:tcPr>
          <w:p>
            <w:pPr>
              <w:spacing w:before="20" w:after="20"/>
            </w:pPr>
            <w:r>
              <w:rPr>
                <w:b/>
                <w:color w:val="1F4E79"/>
                <w:sz w:val="18"/>
              </w:rPr>
              <w:t xml:space="preserve">Group</w:t>
            </w:r>
          </w:p>
        </w:tc>
        <w:tc>
          <w:tcPr>
            <w:tcW w:w="2338" w:type="dxa"/>
            <w:shd w:val="clear" w:color="auto" w:fill="E7E6E6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Total</w:t>
            </w:r>
          </w:p>
        </w:tc>
        <w:tc>
          <w:tcPr>
            <w:tcW w:w="2338" w:type="dxa"/>
            <w:vAlign w:val="center"/>
          </w:tcPr>
          <w:p>
            <w:pPr>
              <w:spacing w:before="20" w:after="20"/>
            </w:pPr>
            <w:r>
              <w:rPr>
                <w:color w:val="C00000"/>
                <w:sz w:val="18"/>
              </w:rPr>
              <w:t xml:space="preserve">Warning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3" w:right="1133" w:bottom="1020" w:left="1417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>
  <w:comment w:initials="EP" w:author="EPOS-Plan" w:id="0">
    <w:p>
      <w:r>
        <w:annotationRef/>
      </w:r>
      <w:r>
        <w:t xml:space="preserve">Summary report – a teaching template. It shows how a report is built from single values, blocks, tables and images instead of whole chapters. Text in double curly braces is a placeholder, e.g. {{projekt.kunde}}: when the report is created, EPOS-Plan replaces it with the value from the project, in the font, size and colour of the placeholder.</w:t>
      </w:r>
    </w:p>
    <w:p>
      <w:r>
        <w:t xml:space="preserve">The title page is a section of its own without header and footer. The labels (“Client”, “Date”) are fixed text of this file – the summary report comes in each language. Header, footer and the logo at the top right carry placeholders as well; EPOS-Plan inserts the logo from the settings.</w:t>
      </w:r>
    </w:p>
    <w:p>
      <w:r>
        <w:t xml:space="preserve">This file is read-only. “New template…” creates a copy you can change freely. Comments do not appear in the finished report.</w:t>
      </w:r>
    </w:p>
  </w:comment>
  <w:comment w:initials="EP" w:author="EPOS-Plan" w:id="1">
    <w:p>
      <w:r>
        <w:annotationRef/>
      </w:r>
      <w:r>
        <w:t xml:space="preserve">Single values stand in the middle of a sentence. If a value is missing, a dash appears – or nothing with the option |leer statt strich.</w:t>
      </w:r>
    </w:p>
  </w:comment>
  <w:comment w:initials="EP" w:author="EPOS-Plan" w:id="2">
    <w:p>
      <w:r>
        <w:annotationRef/>
      </w:r>
      <w:r>
        <w:t xml:space="preserve">The second row of the table is a pattern row: {{#je stand}} in the first and {{/je}} in the last cell. EPOS-Plan repeats it for the project and every compared variant – with “Variant 1” and “Variant 2” you get three rows.</w:t>
      </w:r>
    </w:p>
    <w:p>
      <w:r>
        <w:t xml:space="preserve">Options after the vertical bar: |ohne einheit omits the unit (it is shown in the header), |stellen 1 shows one decimal place, |mit grund names the reason when a value is missing. The warnings below appear only if there are any.</w:t>
      </w:r>
    </w:p>
  </w:comment>
  <w:comment w:initials="EP" w:author="EPOS-Plan" w:id="3">
    <w:p>
      <w:r>
        <w:annotationRef/>
      </w:r>
      <w:r>
        <w:t xml:space="preserve">Values of the best variant in running text, e.g. “Best variant: Variant 1 with a net present value difference of €10,000.” The economic viability calculation decides which variant is best.</w:t>
      </w:r>
    </w:p>
  </w:comment>
  <w:comment w:initials="EP" w:author="EPOS-Plan" w:id="4">
    <w:p>
      <w:r>
        <w:annotationRef/>
      </w:r>
      <w:r>
        <w:t xml:space="preserve">An image is a picture frame with the key in its alternative text, here {{bild.wirtschaft.spanne}}. EPOS-Plan draws the chart in the width of the frame. The block {{#wenn hat.bild.wirtschaft.spanne}} drops frame and paragraph when there is nothing to draw.</w:t>
      </w:r>
    </w:p>
    <w:p>
      <w:r>
        <w:t xml:space="preserve">{{tabelle.wirtschaft.szenarien}} alone in a paragraph is a structured table: EPOS-Plan builds rows and columns itself. Its look follows the pattern table at the end of this file.</w:t>
      </w:r>
    </w:p>
  </w:comment>
  <w:comment w:initials="EP" w:author="EPOS-Plan" w:id="5">
    <w:p>
      <w:r>
        <w:annotationRef/>
      </w:r>
      <w:r>
        <w:t xml:space="preserve">A conditional section: everything between {{#wenn hat.kaelte}} and {{/wenn}} appears only if the project calculates cooling. The paragraphs holding the block markers are removed from the report.</w:t>
      </w:r>
    </w:p>
    <w:p>
      <w:r>
        <w:t xml:space="preserve">Inside stands the sentence without local cooling ({{#wenn nicht hat.kaelte.dezentral}}). If a cooling demand row is covered locally by split units, the block {{#wenn hat.kaelte.dezentral}} after it states the coverage including the split units and, with {{#wenn hat.kaelte.kaeltefolge}}, the share of the cooling sequence; without a cooling generator ({{#wenn nicht hat.kaelte.kaeltefolge}}) only the share of the split units. Blocks can be nested at most two levels deep.</w:t>
      </w:r>
    </w:p>
  </w:comment>
  <w:comment w:initials="EP" w:author="EPOS-Plan" w:id="6">
    <w:p>
      <w:r>
        <w:annotationRef/>
      </w:r>
      <w:r>
        <w:t xml:space="preserve">Two images side by side: a two-column table without borders, a picture frame of half width in each cell. EPOS-Plan draws each chart at this size, so the lettering stays legible.</w:t>
      </w:r>
    </w:p>
    <w:p>
      <w:r>
        <w:t xml:space="preserve">The block {{#je stand}} … {{/je}} repeats heading and images for the project and every variant.</w:t>
      </w:r>
    </w:p>
  </w:comment>
  <w:comment w:initials="EP" w:author="EPOS-Plan" w:id="7">
    <w:p>
      <w:r>
        <w:annotationRef/>
      </w:r>
      <w:r>
        <w:t xml:space="preserve">A whole chapter under a chapter heading in the style “EPOS Kapitelkopf”. |ohne titel suppresses the chapter’s own heading, |ebene 2 moves its other headings one level down. If the chapter is deselected, the chapter heading is dropped with it.</w:t>
      </w:r>
    </w:p>
  </w:comment>
  <w:comment w:initials="EP" w:author="EPOS-Plan" w:id="8">
    <w:p>
      <w:r>
        <w:annotationRef/>
      </w:r>
      <w:r>
        <w:t xml:space="preserve">The pattern table with the alternative text {{muster.tabelle}}: shading and font of each cell apply to the rows of that role in all structured tables – base, group, total, warning. EPOS-Plan reads it and removes it from the report.</w:t>
      </w:r>
    </w:p>
  </w:comment>
  <w:comment w:initials="EP" w:author="EPOS-Plan" w:id="9">
    <w:p>
      <w:r>
        <w:annotationRef/>
      </w:r>
      <w:r>
        <w:t xml:space="preserve">One paragraph per building, only with preheat optimisation: {{#wenn hat.aufheizung}} omits the section if no building was calculated with it; {{#je gebaeude}} … {{/je}} repeats the paragraph for every building, for example “Building 1: The preheat time is 4 h at −10.0 °C …”.</w:t>
      </w:r>
    </w:p>
    <w:p>
      <w:r>
        <w:t xml:space="preserve">The values gebaeude.ergebnis.… come from the result of the run. The design capacity is the design heat load plus the heating-up capacity; {{gebaeude.ergebnis.aufheizhinweise}} lists the notes W1 to W5 and stays empty without cause. With a specified or calculated preheat time ({{#wenn hat.vorheizen}}) a sentence follows with method, preheat time, preheat power, days without arrival and additional heat; with effective rapid heat-up it ends with “, with rapid heat-up (+2.0 K)” ({{gebaeude.ergebnis.vorheiz_schnellaufheizung}}).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tabs>
        <w:tab w:val="center" w:pos="4648"/>
        <w:tab w:val="right" w:pos="9026"/>
      </w:tabs>
    </w:pPr>
    <w:r>
      <w:rPr>
        <w:rFonts w:ascii="Calibri" w:hAnsi="Calibri" w:eastAsia="Calibri" w:cs="Calibri"/>
        <w:noProof/>
        <w:color w:val="595959"/>
        <w:sz w:val="16"/>
        <w:szCs w:val="16"/>
      </w:rPr>
      <w:t xml:space="preserve">{{ersteller.firma}}</w:t>
    </w:r>
    <w:r>
      <w:tab/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{{bericht.datum}}</w:t>
    </w:r>
    <w:r>
      <w:tab/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{{text.seite}}</w:t>
    </w:r>
    <w:r>
      <w:rPr>
        <w:rFonts w:ascii="Calibri" w:hAnsi="Calibri" w:eastAsia="Calibri" w:cs="Calibri"/>
        <w:color w:val="595959"/>
        <w:sz w:val="16"/>
        <w:szCs w:val="16"/>
      </w:rPr>
      <w:t xml:space="preserve">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  <w:spacing w:after="120"/>
    </w:pPr>
    <w:r>
      <w:rPr>
        <w:rFonts w:ascii="Calibri" w:hAnsi="Calibri" w:eastAsia="Calibri" w:cs="Calibri"/>
        <w:noProof/>
        <w:color w:val="595959"/>
        <w:sz w:val="16"/>
        <w:szCs w:val="16"/>
      </w:rPr>
      <w:t xml:space="preserve">{{projekt.name}}</w:t>
    </w:r>
    <w:r>
      <w:rPr>
        <w:rFonts w:ascii="Calibri" w:hAnsi="Calibri" w:eastAsia="Calibri" w:cs="Calibri"/>
        <w:color w:val="595959"/>
        <w:sz w:val="16"/>
        <w:szCs w:val="16"/>
      </w:rPr>
      <w:t xml:space="preserve"> · </w:t>
    </w:r>
    <w:r>
      <w:rPr>
        <w:rFonts w:ascii="Calibri" w:hAnsi="Calibri" w:eastAsia="Calibri" w:cs="Calibri"/>
        <w:noProof/>
        <w:color w:val="595959"/>
        <w:sz w:val="16"/>
        <w:szCs w:val="16"/>
      </w:rPr>
      <w:t xml:space="preserve">{{bericht.titel}}</w:t>
    </w:r>
    <w:r>
      <w:tab/>
    </w:r>
    <w:r>
      <w:drawing>
        <wp:inline distT="0" distB="0" distL="0" distR="0">
          <wp:extent cx="857250" cy="466725"/>
          <wp:effectExtent l="0" t="0" r="0" b="0"/>
          <wp:docPr id="1" name="" descr="{{bild.ersteller.logo}}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64"/>
    </w:pPr>
    <w:rPr>
      <w:rFonts w:ascii="Calibri" w:hAnsi="Calibri" w:eastAsia="Calibri" w:cs="Calibri"/>
      <w:sz w:val="21"/>
      <w:szCs w:val="21"/>
    </w:rPr>
  </w:style>
  <w:style w:type="paragraph" w:styleId="Title">
    <w:name w:val="Title"/>
    <w:basedOn w:val="Normal"/>
    <w:next w:val="Normal"/>
    <w:qFormat/>
    <w:pPr>
      <w:spacing w:before="2400" w:after="240"/>
    </w:pPr>
    <w:rPr>
      <w:b/>
      <w:bCs/>
      <w:color w:val="1F4E79"/>
      <w:sz w:val="56"/>
      <w:szCs w:val="56"/>
    </w:rPr>
  </w:style>
  <w:style w:type="paragraph" w:styleId="Subtitle">
    <w:name w:val="Subtitle"/>
    <w:basedOn w:val="Normal"/>
    <w:pPr>
      <w:spacing w:after="120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95959"/>
      <w:sz w:val="22"/>
      <w:szCs w:val="22"/>
    </w:rPr>
  </w:style>
  <w:style w:type="paragraph" w:styleId="Hinweis">
    <w:name w:val="Hinweis"/>
    <w:basedOn w:val="Normal"/>
    <w:pPr>
      <w:spacing w:after="100"/>
    </w:pPr>
    <w:rPr>
      <w:i/>
      <w:iCs/>
      <w:color w:val="595959"/>
      <w:sz w:val="18"/>
      <w:szCs w:val="18"/>
    </w:rPr>
  </w:style>
  <w:style w:type="paragraph" w:styleId="Beschriftung">
    <w:name w:val="Beschriftung"/>
    <w:basedOn w:val="Normal"/>
    <w:pPr>
      <w:spacing w:before="60" w:after="160"/>
    </w:pPr>
    <w:rPr>
      <w:color w:val="595959"/>
      <w:sz w:val="18"/>
      <w:szCs w:val="18"/>
    </w:rPr>
  </w:style>
  <w:style w:type="paragraph" w:styleId="EPOSKapitelkopf" w:customStyle="true">
    <w:name w:val="EPOS Kapitelkopf"/>
    <w:basedOn w:val="Heading1"/>
    <w:next w:val="Normal"/>
    <w:pPr>
      <w:outlineLvl w:val="0"/>
    </w:pPr>
  </w:style>
</w:styles>
</file>

<file path=word/_rels/comments.xml.rels><?xml version="1.0" encoding="UTF-8"?><Relationships xmlns="http://schemas.openxmlformats.org/package/2006/relationships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otnotes" Target="footnotes.xml" Id="rId3" /><Relationship Type="http://schemas.openxmlformats.org/officeDocument/2006/relationships/endnotes" Target="endnotes.xml" Id="rId4" /><Relationship Type="http://schemas.openxmlformats.org/officeDocument/2006/relationships/settings" Target="settings.xml" Id="rId5" /><Relationship Type="http://schemas.openxmlformats.org/officeDocument/2006/relationships/comments" Target="comments.xml" Id="rId6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image" Target="media/bildplatzhalter.png" Id="rIdBildplatzhal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logoplatzhalter.png" Id="rId0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EPOS-Plan report template — summary report</dc:title>
  <dc:creator>EPOS-Plan</dc:creator>
  <dc:description>Teaching template of a summary report built from single values, blocks, tables and images, explained in comments; copy it via “New template…”.</dc:description>
  <lastModifiedBy>EPOS-Plan</lastModifiedBy>
  <revision>1</revision>
  <dcterms:created xsi:type="dcterms:W3CDTF">2026-08-11T19:11:15.2850000Z</dcterms:created>
  <dcterms:modified xsi:type="dcterms:W3CDTF">2026-08-11T19:11:15.3040000Z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EPOS.Katalogfassung">
    <vt:i4>24</vt:i4>
  </op:property>
  <op:property fmtid="{D5CDD505-2E9C-101B-9397-08002B2CF9AE}" pid="3" name="EPOS.Vorlage">
    <vt:lpwstr>kurzbericht</vt:lpwstr>
  </op:property>
  <op:property fmtid="{D5CDD505-2E9C-101B-9397-08002B2CF9AE}" pid="4" name="EPOS.Sprache">
    <vt:lpwstr>en</vt:lpwstr>
  </op:property>
</op:Properties>
</file>