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Aufheizung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Die Aufheizzeit beträgt </w:t>
      </w:r>
      <w:r>
        <w:rPr>
          <w:noProof/>
        </w:rPr>
        <w:t xml:space="preserve">{{gebaeude.ergebnis.aufheizzeit}}</w:t>
      </w:r>
      <w:r>
        <w:t xml:space="preserve"> bei </w:t>
      </w:r>
      <w:r>
        <w:rPr>
          <w:noProof/>
        </w:rPr>
        <w:t xml:space="preserve">{{gebaeude.ergebnis.aufheiz_aussentemperatur}}</w:t>
      </w:r>
      <w:r>
        <w:t xml:space="preserve">, die Aufheizleistung </w:t>
      </w:r>
      <w:r>
        <w:rPr>
          <w:noProof/>
        </w:rPr>
        <w:t xml:space="preserve">{{gebaeude.ergebnis.aufheizleistung}}</w:t>
      </w:r>
      <w:r>
        <w:t xml:space="preserve">; die Auslegungsgröße </w:t>
      </w:r>
      <w:r>
        <w:rPr>
          <w:noProof/>
        </w:rPr>
        <w:t xml:space="preserve">{{gebaeude.ergebnis.auslegungsgroesse}}</w:t>
      </w:r>
      <w:r>
        <w:t xml:space="preserve"> setzt sich aus der Auslegungsheizlast </w:t>
      </w:r>
      <w:r>
        <w:rPr>
          <w:noProof/>
        </w:rPr>
        <w:t xml:space="preserve">{{gebaeude.ergebnis.auslegungsheizlast}}</w:t>
      </w:r>
      <w:r>
        <w:t xml:space="preserve"> und dem Aufheizzuschlag </w:t>
      </w:r>
      <w:r>
        <w:rPr>
          <w:noProof/>
        </w:rPr>
        <w:t xml:space="preserve">{{gebaeude.ergebnis.aufheizzuschlag}}</w:t>
      </w:r>
      <w:r>
        <w:t xml:space="preserve"> zusammen.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Vorheizzeit </w:t>
      </w:r>
      <w:r>
        <w:rPr>
          <w:noProof/>
        </w:rPr>
        <w:t xml:space="preserve">{{gebaeude.ergebnis.vorheizzeit}}</w:t>
      </w:r>
      <w:r>
        <w:t xml:space="preserve">, Vorheizleistung </w:t>
      </w:r>
      <w:r>
        <w:rPr>
          <w:noProof/>
        </w:rPr>
        <w:t xml:space="preserve">{{gebaeude.ergebnis.vorheizleistung}}</w:t>
      </w:r>
      <w:r>
        <w:t xml:space="preserve">, Tage ohne Ankunft </w:t>
      </w:r>
      <w:r>
        <w:rPr>
          <w:noProof/>
        </w:rPr>
        <w:t xml:space="preserve">{{gebaeude.ergebnis.vorheiz_tage_verfehlt}}</w:t>
      </w:r>
      <w:r>
        <w:t xml:space="preserve">, Mehrwärme des Vorheizens </w:t>
      </w:r>
      <w:r>
        <w:rPr>
          <w:noProof/>
        </w:rPr>
        <w:t xml:space="preserve">{{gebaeude.ergebnis.vorheiz_mehrwaerme}}</w:t>
      </w:r>
      <w:r>
        <w:rPr>
          <w:noProof/>
        </w:rPr>
        <w:t xml:space="preserve">{{gebaeude.ergebnis.vorheiz_schnellaufheizung}}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  <w:comment w:initials="EP" w:author="EPOS-Plan" w:id="9">
    <w:p>
      <w:r>
        <w:annotationRef/>
      </w:r>
      <w:r>
        <w:t xml:space="preserve">Ein Absatz je Gebäude, nur mit Aufheizoptimierung: {{#wenn hat.aufheizung}} lässt den Abschnitt entfallen, wenn kein Gebäude mit ihr gerechnet hat; {{#je gebaeude}} … {{/je}} wiederholt den Absatz für jedes Gebäude, etwa „Gebäude 1: Die Aufheizzeit beträgt 4 h bei −10,0 °C …“.</w:t>
      </w:r>
    </w:p>
    <w:p>
      <w:r>
        <w:t xml:space="preserve">Die Werte gebaeude.ergebnis.… kommen aus dem Ergebnis des Laufs. Die Auslegungsgröße ist die Auslegungsheizlast plus der Aufheizzuschlag; {{gebaeude.ergebnis.aufheizhinweise}} nennt die Hinweise W1 bis W5 und bleibt ohne Anlass leer. Mit vorgegebener oder berechneter Vorheizzeit folgt ({{#wenn hat.vorheizen}}) ein Satz mit Verfahren, Vorheizzeit, Vorheizleistung, Tagen ohne Ankunft und Mehrwärme; mit wirksamer Schnellaufheizung endet er mit „, mit Schnellaufheizung (+2,0 K)“ ({{gebaeude.ergebnis.vorheiz_schnellaufheizung}}).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22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