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1 (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1 (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ivalenzpunkt θ_biv,2 (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ivalenzpunkt θ_biv,2 (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1 (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Bivalenzpunkt θ_biv,2 (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1 (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Bivalenzpunkt θ_biv,2 (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1 (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ivalenzpunkt θ_biv,2 (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1 (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ivalenzpunkt θ_biv,2 (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1 (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Bivalenzpunkt θ_biv,2 (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1 (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Bivalenzpunkt θ_biv,2 (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19</vt:i4>
  </op:property>
  <op:property fmtid="{D5CDD505-2E9C-101B-9397-08002B2CF9AE}" pid="3" name="EPOS.Vorlage">
    <vt:lpwstr>bausteine</vt:lpwstr>
  </op:property>
</op:Properties>
</file>