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rPr>
          <w:noProof/>
        </w:rPr>
        <w:t xml:space="preserve">{{#wenn hat.kaelte.kaeltefolge}}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decken die Anlage und die dezentralen Split-Geräte </w:t>
      </w:r>
      <w:r>
        <w:rPr>
          <w:noProof/>
        </w:rPr>
        <w:t xml:space="preserve">{{stamm.kennzahl.kaelte.deckungsgrad_gesamt}}</w:t>
      </w:r>
      <w:r>
        <w:t xml:space="preserve">, davon die Kältefolge </w:t>
      </w:r>
      <w:r>
        <w:rPr>
          <w:noProof/>
        </w:rPr>
        <w:t xml:space="preserve">{{stamm.kennzahl.kaelte.deckungsgrad_kaeltefolge}}</w:t>
      </w:r>
      <w:r>
        <w:t xml:space="preserve"> des zentral zu deckenden Kältebedarfs.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nicht hat.kaelte.kaeltefolge}}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decken die dezentralen Split-Geräte </w:t>
      </w:r>
      <w:r>
        <w:rPr>
          <w:noProof/>
        </w:rPr>
        <w:t xml:space="preserve">{{stamm.kennzahl.kaelte.deckungsgrad_gesamt}}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  <w:p>
      <w:r>
        <w:t xml:space="preserve">Darin steht der Satz ohne dezentrale Deckung ({{#wenn nicht hat.kaelte.dezentral}}). Deckt eine Kältebedarfszeile dezentral über Split-Geräte, nennt der Block {{#wenn hat.kaelte.dezentral}} dahinter den Deckungsgrad samt Split-Geräten und mit {{#wenn hat.kaelte.kaeltefolge}} den Anteil der Kältefolge, ohne Kälteerzeuger ({{#wenn nicht hat.kaelte.kaeltefolge}}) allein den Anteil der Split-Geräte. Blöcke lassen sich höchstens zwei Ebenen tief schachteln.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Mehrwärme; mit wirksamer Schnellaufheizung endet er mit „, mit Schnellaufheizung (+2,0 K)“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27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