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pPr>
      <w:r>
        <w:rPr>
          <w:sz w:val="8"/>
          <w:szCs w:val="8"/>
        </w:rPr>
        <w:t xml:space="preserve"/>
      </w:r>
    </w:p>
    <w:p>
      <w:pPr>
        <w:pBdr>
          <w:bottom w:val="single" w:color="1F3864" w:sz="12" w:space="10"/>
        </w:pBdr>
        <w:spacing w:after="60"/>
      </w:pPr>
      <w:r>
        <w:rPr>
          <w:color w:val="44546A"/>
          <w:spacing w:val="30"/>
          <w:sz w:val="20"/>
          <w:szCs w:val="20"/>
        </w:rPr>
        <w:t xml:space="preserve">pv@now manager · DGS Franken · Energieberatung</w:t>
      </w:r>
    </w:p>
    <w:p>
      <w:pPr>
        <w:spacing w:after="160" w:before="400"/>
      </w:pPr>
      <w:r>
        <w:rPr>
          <w:b/>
          <w:bCs/>
          <w:color w:val="1F3864"/>
          <w:sz w:val="52"/>
          <w:szCs w:val="52"/>
        </w:rPr>
        <w:t xml:space="preserve">Betreibermodelle und Vergütungen</w:t>
      </w:r>
    </w:p>
    <w:p>
      <w:pPr>
        <w:spacing w:after="320"/>
      </w:pPr>
      <w:r>
        <w:rPr>
          <w:b/>
          <w:bCs/>
          <w:color w:val="1F3864"/>
          <w:sz w:val="52"/>
          <w:szCs w:val="52"/>
        </w:rPr>
        <w:t xml:space="preserve">Photovoltaik – Übersicht</w:t>
      </w:r>
    </w:p>
    <w:p>
      <w:pPr>
        <w:spacing w:after="120"/>
      </w:pPr>
      <w:r>
        <w:rPr>
          <w:color w:val="2E5395"/>
          <w:sz w:val="26"/>
          <w:szCs w:val="26"/>
        </w:rPr>
        <w:t xml:space="preserve">Analyse auf Basis pv@now manager · INEKON</w:t>
      </w:r>
    </w:p>
    <w:p>
      <w:pPr>
        <w:pBdr>
          <w:top w:val="single" w:color="B4C6E7" w:sz="6" w:space="12"/>
        </w:pBdr>
        <w:spacing w:after="600"/>
      </w:pPr>
      <w:r>
        <w:rPr>
          <w:sz w:val="8"/>
          <w:szCs w:val="8"/>
        </w:rPr>
        <w:t xml:space="preserve"/>
      </w:r>
    </w:p>
    <w:p>
      <w:pPr>
        <w:spacing w:after="100"/>
      </w:pPr>
      <w:r>
        <w:rPr>
          <w:b/>
          <w:bCs/>
          <w:sz w:val="24"/>
          <w:szCs w:val="24"/>
        </w:rPr>
        <w:t xml:space="preserve">Stand: 25. August 2026</w:t>
      </w:r>
    </w:p>
    <w:p>
      <w:pPr>
        <w:spacing w:after="100"/>
      </w:pPr>
      <w:r>
        <w:rPr>
          <w:sz w:val="22"/>
          <w:szCs w:val="22"/>
        </w:rPr>
        <w:t xml:space="preserve">Erstellt mit Claude für Philipp Engelmann / INEKON</w:t>
      </w:r>
    </w:p>
    <w:p>
      <w:pPr>
        <w:spacing w:after="100"/>
      </w:pPr>
      <w:r>
        <w:rPr>
          <w:color w:val="44546A"/>
          <w:sz w:val="20"/>
          <w:szCs w:val="20"/>
        </w:rPr>
        <w:t xml:space="preserve">Alle ct/kWh-Angaben netto · alle €-Beträge netto</w:t>
      </w:r>
    </w:p>
    <w:p>
      <w:pPr>
        <w:spacing w:before="1200"/>
      </w:pPr>
      <w:r>
        <w:rPr>
          <w:i/>
          <w:iCs/>
          <w:color w:val="44546A"/>
          <w:sz w:val="18"/>
          <w:szCs w:val="18"/>
        </w:rPr>
        <w:t xml:space="preserve">Keine Steuer- oder Rechtsberatung. Entwurfsstände sind gekennzeichnet.</w:t>
      </w:r>
    </w:p>
    <w:p>
      <w:r>
        <w:br w:type="page"/>
      </w:r>
    </w:p>
    <w:p>
      <w:pPr>
        <w:pBdr>
          <w:bottom w:val="single" w:color="1F3864" w:sz="8" w:space="6"/>
        </w:pBdr>
        <w:spacing w:after="240"/>
      </w:pPr>
      <w:r>
        <w:rPr>
          <w:b/>
          <w:bCs/>
          <w:color w:val="1F3864"/>
          <w:sz w:val="36"/>
          <w:szCs w:val="36"/>
        </w:rPr>
        <w:t xml:space="preserve">Inhaltsverzeichnis</w:t>
      </w:r>
    </w:p>
    <w:sdt>
      <w:sdtPr>
        <w:alias w:val="Inhaltsverzeichnis"/>
      </w:sdtPr>
      <w:sdtContent>
        <w:p>
          <w:pPr>
            <w:pStyle w:val="TOC1"/>
          </w:pPr>
          <w:r>
            <w:fldChar w:fldCharType="begin" w:dirty="true"/>
          </w:r>
          <w:r>
            <w:instrText xml:space="preserve">TOC \h \o "1-3"</w:instrText>
          </w:r>
          <w:r>
            <w:fldChar w:fldCharType="separate"/>
          </w:r>
          <w:hyperlink w:anchor="_Toc90000001">
            <w:r>
              <w:t xml:space="preserve">0  Auf einen Blick</w:t>
            </w:r>
            <w:r>
              <w:tab/>
              <w:t xml:space="preserve">4</w:t>
            </w:r>
          </w:hyperlink>
        </w:p>
        <w:p>
          <w:pPr>
            <w:pStyle w:val="TOC1"/>
          </w:pPr>
          <w:hyperlink w:anchor="_Toc90000002">
            <w:r>
              <w:t xml:space="preserve">A  Betreibermodelle</w:t>
            </w:r>
            <w:r>
              <w:tab/>
              <w:t xml:space="preserve">5</w:t>
            </w:r>
          </w:hyperlink>
        </w:p>
        <w:p>
          <w:pPr>
            <w:pStyle w:val="TOC2"/>
          </w:pPr>
          <w:hyperlink w:anchor="_Toc90000003">
            <w:r>
              <w:t xml:space="preserve">A1  Systematik: Rollen, Notation und Modellwechsel</w:t>
            </w:r>
            <w:r>
              <w:tab/>
              <w:t xml:space="preserve">5</w:t>
            </w:r>
          </w:hyperlink>
        </w:p>
        <w:p>
          <w:pPr>
            <w:pStyle w:val="TOC2"/>
          </w:pPr>
          <w:hyperlink w:anchor="_Toc90000004">
            <w:r>
              <w:t xml:space="preserve">A2  Katalog der 25 pv@now-Modelle — vollständig verifiziert</w:t>
            </w:r>
            <w:r>
              <w:tab/>
              <w:t xml:space="preserve">5</w:t>
            </w:r>
          </w:hyperlink>
        </w:p>
        <w:p>
          <w:pPr>
            <w:pStyle w:val="TOC3"/>
          </w:pPr>
          <w:hyperlink w:anchor="_Toc90000005">
            <w:r>
              <w:t xml:space="preserve">Legende: Rollen und Subtypen</w:t>
            </w:r>
            <w:r>
              <w:tab/>
              <w:t xml:space="preserve">6</w:t>
            </w:r>
          </w:hyperlink>
        </w:p>
        <w:p>
          <w:pPr>
            <w:pStyle w:val="TOC3"/>
          </w:pPr>
          <w:hyperlink w:anchor="_Toc90000006">
            <w:r>
              <w:t xml:space="preserve">Parteien- und Farbsystematik der Modellgrafiken</w:t>
            </w:r>
            <w:r>
              <w:tab/>
              <w:t xml:space="preserve">6</w:t>
            </w:r>
          </w:hyperlink>
        </w:p>
        <w:p>
          <w:pPr>
            <w:pStyle w:val="TOC3"/>
          </w:pPr>
          <w:hyperlink w:anchor="_Toc90000007">
            <w:r>
              <w:t xml:space="preserve">Die 25 Modelle im Einzelnen</w:t>
            </w:r>
            <w:r>
              <w:tab/>
              <w:t xml:space="preserve">6</w:t>
            </w:r>
          </w:hyperlink>
        </w:p>
        <w:p>
          <w:pPr>
            <w:pStyle w:val="TOC2"/>
          </w:pPr>
          <w:hyperlink w:anchor="_Toc90000008">
            <w:r>
              <w:t xml:space="preserve">A3  Brücke zur Praxis: DGS-Vertragssystematik „PV-Mieten Plus“</w:t>
            </w:r>
            <w:r>
              <w:tab/>
              <w:t xml:space="preserve">11</w:t>
            </w:r>
          </w:hyperlink>
        </w:p>
        <w:p>
          <w:pPr>
            <w:pStyle w:val="TOC2"/>
          </w:pPr>
          <w:hyperlink w:anchor="_Toc90000009">
            <w:r>
              <w:t xml:space="preserve">A4  Entscheidungshilfe Modellwahl</w:t>
            </w:r>
            <w:r>
              <w:tab/>
              <w:t xml:space="preserve">12</w:t>
            </w:r>
          </w:hyperlink>
        </w:p>
        <w:p>
          <w:pPr>
            <w:pStyle w:val="TOC1"/>
          </w:pPr>
          <w:hyperlink w:anchor="_Toc90000010">
            <w:r>
              <w:t xml:space="preserve">B  Vergütungen und Erlösmodelle</w:t>
            </w:r>
            <w:r>
              <w:tab/>
              <w:t xml:space="preserve">14</w:t>
            </w:r>
          </w:hyperlink>
        </w:p>
        <w:p>
          <w:pPr>
            <w:pStyle w:val="TOC2"/>
          </w:pPr>
          <w:hyperlink w:anchor="_Toc90000011">
            <w:r>
              <w:t xml:space="preserve">B1  Die acht Erlöswege im Überblick</w:t>
            </w:r>
            <w:r>
              <w:tab/>
              <w:t xml:space="preserve">14</w:t>
            </w:r>
          </w:hyperlink>
        </w:p>
        <w:p>
          <w:pPr>
            <w:pStyle w:val="TOC2"/>
          </w:pPr>
          <w:hyperlink w:anchor="_Toc90000012">
            <w:r>
              <w:t xml:space="preserve">B2  Aktuelle Vergütungssätze</w:t>
            </w:r>
            <w:r>
              <w:tab/>
              <w:t xml:space="preserve">15</w:t>
            </w:r>
          </w:hyperlink>
        </w:p>
        <w:p>
          <w:pPr>
            <w:pStyle w:val="TOC2"/>
          </w:pPr>
          <w:hyperlink w:anchor="_Toc90000013">
            <w:r>
              <w:t xml:space="preserve">B3  Rechtsrahmen</w:t>
            </w:r>
            <w:r>
              <w:tab/>
              <w:t xml:space="preserve">16</w:t>
            </w:r>
          </w:hyperlink>
        </w:p>
        <w:p>
          <w:pPr>
            <w:pStyle w:val="TOC2"/>
          </w:pPr>
          <w:hyperlink w:anchor="_Toc90000014">
            <w:r>
              <w:t xml:space="preserve">B4  Marktdaten und Einordnung</w:t>
            </w:r>
            <w:r>
              <w:tab/>
              <w:t xml:space="preserve">18</w:t>
            </w:r>
          </w:hyperlink>
        </w:p>
        <w:p>
          <w:pPr>
            <w:pStyle w:val="TOC2"/>
          </w:pPr>
          <w:hyperlink w:anchor="_Toc90000015">
            <w:r>
              <w:t xml:space="preserve">B5  Referenz für Bestandsanlagen (nur relevant, wenn eine Anlage mit diesem Inbetriebnahmedatum bewertet wird)</w:t>
            </w:r>
            <w:r>
              <w:tab/>
              <w:t xml:space="preserve">19</w:t>
            </w:r>
          </w:hyperlink>
        </w:p>
        <w:p>
          <w:pPr>
            <w:pStyle w:val="TOC1"/>
          </w:pPr>
          <w:hyperlink w:anchor="_Toc90000016">
            <w:r>
              <w:t xml:space="preserve">M  Methodik: Einspeisung und Kostenberechnung je Betreibermodell</w:t>
            </w:r>
            <w:r>
              <w:tab/>
              <w:t xml:space="preserve">21</w:t>
            </w:r>
          </w:hyperlink>
        </w:p>
        <w:p>
          <w:pPr>
            <w:pStyle w:val="TOC2"/>
          </w:pPr>
          <w:hyperlink w:anchor="_Toc90000017">
            <w:r>
              <w:t xml:space="preserve">M1  Die Rechenlogik in sechs Schritten</w:t>
            </w:r>
            <w:r>
              <w:tab/>
              <w:t xml:space="preserve">21</w:t>
            </w:r>
          </w:hyperlink>
        </w:p>
        <w:p>
          <w:pPr>
            <w:pStyle w:val="TOC2"/>
          </w:pPr>
          <w:hyperlink w:anchor="_Toc90000018">
            <w:r>
              <w:t xml:space="preserve">M2  Methodik-Matrix aller 25 Betreibermodelle</w:t>
            </w:r>
            <w:r>
              <w:tab/>
              <w:t xml:space="preserve">23</w:t>
            </w:r>
          </w:hyperlink>
        </w:p>
        <w:p>
          <w:pPr>
            <w:pStyle w:val="TOC3"/>
          </w:pPr>
          <w:hyperlink w:anchor="_Toc90000019">
            <w:r>
              <w:t xml:space="preserve">Familie PV-Netz-Einspeisung</w:t>
            </w:r>
            <w:r>
              <w:tab/>
              <w:t xml:space="preserve">24</w:t>
            </w:r>
          </w:hyperlink>
        </w:p>
        <w:p>
          <w:pPr>
            <w:pStyle w:val="TOC3"/>
          </w:pPr>
          <w:hyperlink w:anchor="_Toc90000020">
            <w:r>
              <w:t xml:space="preserve">Familie PV-Überschuss-Einspeisung</w:t>
            </w:r>
            <w:r>
              <w:tab/>
              <w:t xml:space="preserve">24</w:t>
            </w:r>
          </w:hyperlink>
        </w:p>
        <w:p>
          <w:pPr>
            <w:pStyle w:val="TOC3"/>
          </w:pPr>
          <w:hyperlink w:anchor="_Toc90000021">
            <w:r>
              <w:t xml:space="preserve">Familie PV-Stromlieferung</w:t>
            </w:r>
            <w:r>
              <w:tab/>
              <w:t xml:space="preserve">24</w:t>
            </w:r>
          </w:hyperlink>
        </w:p>
        <w:p>
          <w:pPr>
            <w:pStyle w:val="TOC3"/>
          </w:pPr>
          <w:hyperlink w:anchor="_Toc90000022">
            <w:r>
              <w:t xml:space="preserve">Familie PV-Mieten</w:t>
            </w:r>
            <w:r>
              <w:tab/>
              <w:t xml:space="preserve">25</w:t>
            </w:r>
          </w:hyperlink>
        </w:p>
        <w:p>
          <w:pPr>
            <w:pStyle w:val="TOC3"/>
          </w:pPr>
          <w:hyperlink w:anchor="_Toc90000023">
            <w:r>
              <w:t xml:space="preserve">Familie PV-Teil-Mieten</w:t>
            </w:r>
            <w:r>
              <w:tab/>
              <w:t xml:space="preserve">28</w:t>
            </w:r>
          </w:hyperlink>
        </w:p>
        <w:p>
          <w:pPr>
            <w:pStyle w:val="TOC2"/>
          </w:pPr>
          <w:hyperlink w:anchor="_Toc90000024">
            <w:r>
              <w:t xml:space="preserve">M3  Methodikprofile der fünf Familien</w:t>
            </w:r>
            <w:r>
              <w:tab/>
              <w:t xml:space="preserve">29</w:t>
            </w:r>
          </w:hyperlink>
        </w:p>
        <w:p>
          <w:pPr>
            <w:pStyle w:val="TOC2"/>
          </w:pPr>
          <w:hyperlink w:anchor="_Toc90000025">
            <w:r>
              <w:t xml:space="preserve">M4  Aktuelle Rahmenbedingungen als Rechen-Einflüsse</w:t>
            </w:r>
            <w:r>
              <w:tab/>
              <w:t xml:space="preserve">30</w:t>
            </w:r>
          </w:hyperlink>
        </w:p>
        <w:p>
          <w:pPr>
            <w:pStyle w:val="TOC1"/>
          </w:pPr>
          <w:hyperlink w:anchor="_Toc90000026">
            <w:r>
              <w:t xml:space="preserve">K  Wirtschaftlichkeitsberechnung: von der Modellwahl zur Kennzahl</w:t>
            </w:r>
            <w:r>
              <w:tab/>
              <w:t xml:space="preserve">32</w:t>
            </w:r>
          </w:hyperlink>
        </w:p>
        <w:p>
          <w:pPr>
            <w:pStyle w:val="TOC2"/>
          </w:pPr>
          <w:hyperlink w:anchor="_Toc90000027">
            <w:r>
              <w:t xml:space="preserve">K1  Von der Modellwahl zum Zahlungsstrom</w:t>
            </w:r>
            <w:r>
              <w:tab/>
              <w:t xml:space="preserve">32</w:t>
            </w:r>
          </w:hyperlink>
        </w:p>
        <w:p>
          <w:pPr>
            <w:pStyle w:val="TOC2"/>
          </w:pPr>
          <w:hyperlink w:anchor="_Toc90000028">
            <w:r>
              <w:t xml:space="preserve">K2  Die Kennzahlen und ihre Formeln</w:t>
            </w:r>
            <w:r>
              <w:tab/>
              <w:t xml:space="preserve">34</w:t>
            </w:r>
          </w:hyperlink>
        </w:p>
        <w:p>
          <w:pPr>
            <w:pStyle w:val="TOC2"/>
          </w:pPr>
          <w:hyperlink w:anchor="_Toc90000029">
            <w:r>
              <w:t xml:space="preserve">K3  Das durchgerechnete Beispiel: Projekt „INEKON Schulung 01“</w:t>
            </w:r>
            <w:r>
              <w:tab/>
              <w:t xml:space="preserve">35</w:t>
            </w:r>
          </w:hyperlink>
        </w:p>
        <w:p>
          <w:pPr>
            <w:pStyle w:val="TOC3"/>
          </w:pPr>
          <w:hyperlink w:anchor="_Toc90000030">
            <w:r>
              <w:t xml:space="preserve">K3.1  Die Annahmen der Nachrechnung</w:t>
            </w:r>
            <w:r>
              <w:tab/>
              <w:t xml:space="preserve">35</w:t>
            </w:r>
          </w:hyperlink>
        </w:p>
        <w:p>
          <w:pPr>
            <w:pStyle w:val="TOC3"/>
          </w:pPr>
          <w:hyperlink w:anchor="_Toc90000031">
            <w:r>
              <w:t xml:space="preserve">K3.2  Herleitung des Referenzjahres, Zeile für Zeile</w:t>
            </w:r>
            <w:r>
              <w:tab/>
              <w:t xml:space="preserve">36</w:t>
            </w:r>
          </w:hyperlink>
        </w:p>
        <w:p>
          <w:pPr>
            <w:pStyle w:val="TOC3"/>
          </w:pPr>
          <w:hyperlink w:anchor="_Toc90000032">
            <w:r>
              <w:t xml:space="preserve">K3.3  Fortschreibungsregeln</w:t>
            </w:r>
            <w:r>
              <w:tab/>
              <w:t xml:space="preserve">37</w:t>
            </w:r>
          </w:hyperlink>
        </w:p>
        <w:p>
          <w:pPr>
            <w:pStyle w:val="TOC3"/>
          </w:pPr>
          <w:hyperlink w:anchor="_Toc90000033">
            <w:r>
              <w:t xml:space="preserve">K3.4  Auszug aus der Jahrestabelle</w:t>
            </w:r>
            <w:r>
              <w:tab/>
              <w:t xml:space="preserve">37</w:t>
            </w:r>
          </w:hyperlink>
        </w:p>
        <w:p>
          <w:pPr>
            <w:pStyle w:val="TOC3"/>
          </w:pPr>
          <w:hyperlink w:anchor="_Toc90000034">
            <w:r>
              <w:t xml:space="preserve">K3.5  Verifikation gegen die Tool-Werte</w:t>
            </w:r>
            <w:r>
              <w:tab/>
              <w:t xml:space="preserve">38</w:t>
            </w:r>
          </w:hyperlink>
        </w:p>
        <w:p>
          <w:pPr>
            <w:pStyle w:val="TOC2"/>
          </w:pPr>
          <w:hyperlink w:anchor="_Toc90000035">
            <w:r>
              <w:t xml:space="preserve">K4  Was der Modellwechsel mit den Kennzahlen macht</w:t>
            </w:r>
            <w:r>
              <w:tab/>
              <w:t xml:space="preserve">40</w:t>
            </w:r>
          </w:hyperlink>
        </w:p>
        <w:p>
          <w:pPr>
            <w:pStyle w:val="TOC1"/>
          </w:pPr>
          <w:hyperlink w:anchor="_Toc90000036">
            <w:r>
              <w:t xml:space="preserve">C  Fallbeispiel aus pv@now: Projekt „INEKON Schulung 01“</w:t>
            </w:r>
            <w:r>
              <w:tab/>
              <w:t xml:space="preserve">42</w:t>
            </w:r>
          </w:hyperlink>
        </w:p>
        <w:p>
          <w:pPr>
            <w:pStyle w:val="TOC2"/>
          </w:pPr>
          <w:hyperlink w:anchor="_Toc90000037">
            <w:r>
              <w:t xml:space="preserve">C1  Anlagensteckbrief</w:t>
            </w:r>
            <w:r>
              <w:tab/>
              <w:t xml:space="preserve">42</w:t>
            </w:r>
          </w:hyperlink>
        </w:p>
        <w:p>
          <w:pPr>
            <w:pStyle w:val="TOC2"/>
          </w:pPr>
          <w:hyperlink w:anchor="_Toc90000038">
            <w:r>
              <w:t xml:space="preserve">C2  Eingaben-Vergleich der beiden Pläne</w:t>
            </w:r>
            <w:r>
              <w:tab/>
              <w:t xml:space="preserve">43</w:t>
            </w:r>
          </w:hyperlink>
        </w:p>
        <w:p>
          <w:pPr>
            <w:pStyle w:val="TOC2"/>
          </w:pPr>
          <w:hyperlink w:anchor="_Toc90000039">
            <w:r>
              <w:t xml:space="preserve">C3  Vergütungen im Projekt</w:t>
            </w:r>
            <w:r>
              <w:tab/>
              <w:t xml:space="preserve">43</w:t>
            </w:r>
          </w:hyperlink>
        </w:p>
        <w:p>
          <w:pPr>
            <w:pStyle w:val="TOC2"/>
          </w:pPr>
          <w:hyperlink w:anchor="_Toc90000040">
            <w:r>
              <w:t xml:space="preserve">C4  Kennzahlen-Duell und wirtschaftliche Interpretation</w:t>
            </w:r>
            <w:r>
              <w:tab/>
              <w:t xml:space="preserve">45</w:t>
            </w:r>
          </w:hyperlink>
        </w:p>
        <w:p>
          <w:pPr>
            <w:pStyle w:val="TOC1"/>
          </w:pPr>
          <w:hyperlink w:anchor="_Toc90000041">
            <w:r>
              <w:t xml:space="preserve">D  Praxis und Hilfe (pv@now)</w:t>
            </w:r>
            <w:r>
              <w:tab/>
              <w:t xml:space="preserve">47</w:t>
            </w:r>
          </w:hyperlink>
        </w:p>
        <w:p>
          <w:pPr>
            <w:pStyle w:val="TOC2"/>
          </w:pPr>
          <w:hyperlink w:anchor="_Toc90000042">
            <w:r>
              <w:t xml:space="preserve">D1  Produkte, Preise und Zugänge</w:t>
            </w:r>
            <w:r>
              <w:tab/>
              <w:t xml:space="preserve">47</w:t>
            </w:r>
          </w:hyperlink>
        </w:p>
        <w:p>
          <w:pPr>
            <w:pStyle w:val="TOC2"/>
          </w:pPr>
          <w:hyperlink w:anchor="_Toc90000043">
            <w:r>
              <w:t xml:space="preserve">D2  Schulungen und Support</w:t>
            </w:r>
            <w:r>
              <w:tab/>
              <w:t xml:space="preserve">47</w:t>
            </w:r>
          </w:hyperlink>
        </w:p>
        <w:p>
          <w:pPr>
            <w:pStyle w:val="TOC2"/>
          </w:pPr>
          <w:hyperlink w:anchor="_Toc90000044">
            <w:r>
              <w:t xml:space="preserve">D3  Hilfen im Werkzeug</w:t>
            </w:r>
            <w:r>
              <w:tab/>
              <w:t xml:space="preserve">47</w:t>
            </w:r>
          </w:hyperlink>
        </w:p>
        <w:p>
          <w:pPr>
            <w:pStyle w:val="TOC3"/>
          </w:pPr>
          <w:hyperlink w:anchor="_Toc90000045">
            <w:r>
              <w:t xml:space="preserve">Glossar-Funktion im Tool</w:t>
            </w:r>
            <w:r>
              <w:tab/>
              <w:t xml:space="preserve">48</w:t>
            </w:r>
          </w:hyperlink>
        </w:p>
        <w:p>
          <w:pPr>
            <w:pStyle w:val="TOC2"/>
          </w:pPr>
          <w:hyperlink w:anchor="_Toc90000046">
            <w:r>
              <w:t xml:space="preserve">D4  Downloads und weiterführende Links</w:t>
            </w:r>
            <w:r>
              <w:tab/>
              <w:t xml:space="preserve">49</w:t>
            </w:r>
          </w:hyperlink>
        </w:p>
        <w:p>
          <w:pPr>
            <w:pStyle w:val="TOC2"/>
          </w:pPr>
          <w:hyperlink w:anchor="_Toc90000047">
            <w:r>
              <w:t xml:space="preserve">D5  Fachbegriffe aus pv@now — geprüft und auf Stand 08/2026 gebracht</w:t>
            </w:r>
            <w:r>
              <w:tab/>
              <w:t xml:space="preserve">49</w:t>
            </w:r>
          </w:hyperlink>
        </w:p>
        <w:p>
          <w:pPr>
            <w:pStyle w:val="TOC1"/>
          </w:pPr>
          <w:hyperlink w:anchor="_Toc90000048">
            <w:r>
              <w:t xml:space="preserve">Q  Quellenverzeichnis, Datenstand und Disclaimer</w:t>
            </w:r>
            <w:r>
              <w:tab/>
              <w:t xml:space="preserve">55</w:t>
            </w:r>
          </w:hyperlink>
        </w:p>
        <w:p>
          <w:pPr>
            <w:pStyle w:val="TOC2"/>
          </w:pPr>
          <w:hyperlink w:anchor="_Toc90000049">
            <w:r>
              <w:t xml:space="preserve">Q1  Nummerierte Quellen</w:t>
            </w:r>
            <w:r>
              <w:tab/>
              <w:t xml:space="preserve">55</w:t>
            </w:r>
          </w:hyperlink>
        </w:p>
        <w:p>
          <w:pPr>
            <w:pStyle w:val="TOC2"/>
          </w:pPr>
          <w:hyperlink w:anchor="_Toc90000050">
            <w:r>
              <w:t xml:space="preserve">Q2  Datenstand, Unsicherheiten und offene Punkte</w:t>
            </w:r>
            <w:r>
              <w:tab/>
              <w:t xml:space="preserve">56</w:t>
            </w:r>
          </w:hyperlink>
        </w:p>
        <w:p>
          <w:pPr>
            <w:pStyle w:val="TOC2"/>
          </w:pPr>
          <w:hyperlink w:anchor="_Toc90000051">
            <w:r>
              <w:t xml:space="preserve">Q3  Disclaimer</w:t>
            </w:r>
            <w:r>
              <w:tab/>
              <w:t xml:space="preserve">57</w:t>
            </w:r>
          </w:hyperlink>
          <w:r>
            <w:fldChar w:fldCharType="end"/>
          </w:r>
        </w:p>
      </w:sdtContent>
    </w:sdt>
    <w:p>
      <w:pPr>
        <w:spacing w:before="300"/>
      </w:pPr>
      <w:r>
        <w:rPr>
          <w:i/>
          <w:iCs/>
          <w:color w:val="44546A"/>
          <w:sz w:val="17"/>
          <w:szCs w:val="17"/>
        </w:rPr>
        <w:t xml:space="preserve">Hinweis: Das Verzeichnis wird beim Öffnen in Word aktualisiert (bzw. über „Felder aktualisieren“ / F9).</w:t>
      </w:r>
    </w:p>
    <w:p>
      <w:pPr>
        <w:pStyle w:val="Heading1"/>
      </w:pPr>
      <w:bookmarkStart w:id="900001" w:name="_Toc90000001"/>
      <w:r>
        <w:t xml:space="preserve">0  Auf einen Blick</w:t>
      </w:r>
      <w:bookmarkEnd w:id="900001"/>
    </w:p>
    <w:p>
      <w:pPr>
        <w:spacing w:after="180" w:line="276"/>
      </w:pPr>
      <w:r>
        <w:rPr>
          <w:b/>
          <w:bCs/>
        </w:rPr>
        <w:t xml:space="preserve">1. Betreibermodell und Erlösmodell sind zwei getrennte Achsen.</w:t>
      </w:r>
      <w:r>
        <w:t xml:space="preserve"> Das Betreibermodell beschreibt ausschließlich, </w:t>
      </w:r>
      <w:r>
        <w:rPr>
          <w:i/>
          <w:iCs/>
        </w:rPr>
        <w:t xml:space="preserve">wer welche Rolle einnimmt</w:t>
      </w:r>
      <w:r>
        <w:t xml:space="preserve"> – Investor (I), Betreiber (B), Grund-/Gebäudeeigentümer (G), Verbraucher (V) – und welche Verträge diese Rollen verbinden. Das Erlösmodell beschreibt, </w:t>
      </w:r>
      <w:r>
        <w:rPr>
          <w:i/>
          <w:iCs/>
        </w:rPr>
        <w:t xml:space="preserve">wie der erzeugte Strom zu Geld wird</w:t>
      </w:r>
      <w:r>
        <w:t xml:space="preserve">. Beide Achsen sind frei kombinierbar; pv@now behandelt die Direktvermarktung seit Version 3.0.0 als integralen Bestandteil jedes Betreibermodells [22]. Wer beides vermischt, kommt in der Beratung regelmäßig zu falschen Modellempfehlungen.</w:t>
      </w:r>
    </w:p>
    <w:p>
      <w:pPr>
        <w:spacing w:after="180" w:line="276"/>
      </w:pPr>
      <w:r>
        <w:rPr>
          <w:b/>
          <w:bCs/>
        </w:rPr>
        <w:t xml:space="preserve">2. Der Eigenverbrauch trägt die Wirtschaftlichkeit, nicht die Einspeisevergütung.</w:t>
      </w:r>
      <w:r>
        <w:t xml:space="preserve"> Im ausgewerteten Schulungsbeispiel (30 kWp, IBN 3/2023) steht ein Eigenverbrauchswert von 30,00 ct/kWh mit 4,00 % Steigerung pro Jahr – im Laufzeitmittel 45,83 ct/kWh – einer Einspeisevergütung von 7,47 ct/kWh gegenüber [29]. Das Verhältnis ist etwa 6 : 1 und bestimmt das Ergebnis vollständig.</w:t>
      </w:r>
    </w:p>
    <w:p>
      <w:pPr>
        <w:spacing w:after="180" w:line="276"/>
      </w:pPr>
      <w:r>
        <w:rPr>
          <w:b/>
          <w:bCs/>
        </w:rPr>
        <w:t xml:space="preserve">3. Reine Volleinspeisung ist im Fallbeispiel defizitär.</w:t>
      </w:r>
      <w:r>
        <w:t xml:space="preserve"> Der Plan „Volleinspeisung“ erreicht einen Kapitalwert von −22.979 € und einen internen Zinsfuß von −2,10 %, weil die Volleinspeisevergütung von 11,60 ct/kWh unter den Stromgestehungskosten von 13,25 ct/kWh (ohne Kalkulationszins) bzw. 16,47 ct/kWh (mit 3,5 % Kalkulationszins) liegt [29]. Der Plan „Überschuss“ kommt bei identischer Anlage auf +92.568 € Kapitalwert und 15,99 % IRR.</w:t>
      </w:r>
    </w:p>
    <w:p>
      <w:pPr>
        <w:spacing w:after="180" w:line="276"/>
      </w:pPr>
      <w:r>
        <w:rPr>
          <w:b/>
          <w:bCs/>
        </w:rPr>
        <w:t xml:space="preserve">4. Aktuelle Sätze für Inbetriebnahmen ab 01.08.2026:</w:t>
      </w:r>
      <w:r>
        <w:t xml:space="preserve"> feste Einspeisevergütung 7,70 ct/kWh (Teileinspeisung) bzw. 12,22 ct/kWh (Volleinspeisung) für Gebäudeanlagen bis 10 kW; anzulegende Werte in der Direktvermarktung 8,10 bzw. 12,62 ct/kWh [1][2]. Größere Anlagen werden nach dem Stufenmodell des § 23c EEG anteilig gemischt.</w:t>
      </w:r>
    </w:p>
    <w:p>
      <w:pPr>
        <w:spacing w:after="180" w:line="276"/>
      </w:pPr>
      <w:r>
        <w:rPr>
          <w:b/>
          <w:bCs/>
        </w:rPr>
        <w:t xml:space="preserve">5. Der +1,5-ct-Aufschlag aus dem Solarpaket I gilt nicht.</w:t>
      </w:r>
      <w:r>
        <w:t xml:space="preserve"> Er ist in § 48 Abs. 2 Nr. 3 EEG für Gebäudeanlagen von 40 kW bis 1 MW gesetzlich vorgesehen, ist aber nach § 101 EEG mangels beihilferechtlicher Genehmigung der EU-Kommission nicht anwendbar (Stand 25.08.2026). Die Bundesnetzagentur rechnet unverändert mit den Basiswerten 8,60/7,50/6,20 ct/kWh [4][14]. Der Hinweis im Tool auf Werte „ab 16.05.2024 inklusive +1,5 ct“ ist deshalb beratungsrelevant zu relativieren [29].</w:t>
      </w:r>
    </w:p>
    <w:p>
      <w:pPr>
        <w:spacing w:after="180" w:line="276"/>
      </w:pPr>
      <w:r>
        <w:rPr>
          <w:b/>
          <w:bCs/>
        </w:rPr>
        <w:t xml:space="preserve">6. Das Solarspitzengesetz greift im Betrieb, nicht in der Vergütungstabelle.</w:t>
      </w:r>
      <w:r>
        <w:t xml:space="preserve"> Seit 25.02.2025 wird der anzulegende Wert in jeder Viertelstunde mit negativem Spotpreis auf null gesetzt (§ 51 EEG, keine Vier-Stunden-Schwelle mehr); die entfallenen Viertelstunden werden nach § 51a mit dem Faktor 0,5 ertragsgewichtet nachgeholt [4][12]. Für die Wirtschaftlichkeitsrechnung heißt das: die Nennvergütung bleibt, die zeitliche Verfügbarkeit sinkt.</w:t>
      </w:r>
    </w:p>
    <w:p>
      <w:pPr>
        <w:spacing w:after="180" w:line="276"/>
      </w:pPr>
      <w:r>
        <w:rPr>
          <w:b/>
          <w:bCs/>
        </w:rPr>
        <w:t xml:space="preserve">7. Die EEG-Novelle 2027 ist ein Regierungsentwurf (Kabinett 29.07.2026), kein geltendes Recht.</w:t>
      </w:r>
      <w:r>
        <w:t xml:space="preserve"> Vorgesehen sind der Wegfall der festen Einspeisevergütung für Neuanlagen, eine Direktvermarktungspflicht, ein einheitlicher anzulegender Wert von 6,2 ct/kWh und eine dauerhafte 50-%-Einspeisekappung für Dachanlagen [15][16][17]. </w:t>
      </w:r>
      <w:r>
        <w:rPr>
          <w:b/>
          <w:bCs/>
        </w:rPr>
        <w:t xml:space="preserve">Beratungshinweis:</w:t>
      </w:r>
      <w:r>
        <w:t xml:space="preserve"> Anlagen mit Inbetriebnahme bis 31.12.2026 behalten ihre Vergütung über die volle Förderdauer (§ 25 EEG) – der Terminvorteil einer Inbetriebnahme in 2026 ist derzeit das stärkste Argument in der Kundenberatung.</w:t>
      </w:r>
    </w:p>
    <w:p>
      <w:pPr>
        <w:spacing w:after="180" w:line="276"/>
      </w:pPr>
      <w:r>
        <w:rPr>
          <w:b/>
          <w:bCs/>
        </w:rPr>
        <w:t xml:space="preserve">8. Der pv@now-Modellkatalog umfasst exakt 25 Betreibermodelle in fünf Familien – alle 25 sind vollständig erfasst und verifiziert.</w:t>
      </w:r>
      <w:r>
        <w:t xml:space="preserve"> Rollenformeln, Subtypen (</w:t>
      </w:r>
      <w:r>
        <w:rPr>
          <w:rFonts w:ascii="Consolas" w:cs="Consolas" w:eastAsia="Consolas" w:hAnsi="Consolas"/>
          <w:b/>
          <w:bCs/>
        </w:rPr>
        <w:t xml:space="preserve">V_G</w:t>
      </w:r>
      <w:r>
        <w:t xml:space="preserve">, </w:t>
      </w:r>
      <w:r>
        <w:rPr>
          <w:rFonts w:ascii="Consolas" w:cs="Consolas" w:eastAsia="Consolas" w:hAnsi="Consolas"/>
          <w:b/>
          <w:bCs/>
        </w:rPr>
        <w:t xml:space="preserve">V_M</w:t>
      </w:r>
      <w:r>
        <w:t xml:space="preserve">, </w:t>
      </w:r>
      <w:r>
        <w:rPr>
          <w:rFonts w:ascii="Consolas" w:cs="Consolas" w:eastAsia="Consolas" w:hAnsi="Consolas"/>
          <w:b/>
          <w:bCs/>
        </w:rPr>
        <w:t xml:space="preserve">V_W</w:t>
      </w:r>
      <w:r>
        <w:t xml:space="preserve">, </w:t>
      </w:r>
      <w:r>
        <w:rPr>
          <w:rFonts w:ascii="Consolas" w:cs="Consolas" w:eastAsia="Consolas" w:hAnsi="Consolas"/>
          <w:b/>
          <w:bCs/>
        </w:rPr>
        <w:t xml:space="preserve">B_Haupt</w:t>
      </w:r>
      <w:r>
        <w:t xml:space="preserve">, </w:t>
      </w:r>
      <w:r>
        <w:rPr>
          <w:rFonts w:ascii="Consolas" w:cs="Consolas" w:eastAsia="Consolas" w:hAnsi="Consolas"/>
          <w:b/>
          <w:bCs/>
        </w:rPr>
        <w:t xml:space="preserve">B_Mit</w:t>
      </w:r>
      <w:r>
        <w:t xml:space="preserve">), Parteien-/Farbsystematik und die wörtlichen Modellbeschreibungen wurden am 25.08.2026 rein lesend aus der App ausgelesen [29]. Der Katalog steht in A2, die Rechenmethodik je Modell in der Matrix M2. </w:t>
      </w:r>
      <w:r>
        <w:rPr>
          <w:b/>
          <w:bCs/>
        </w:rPr>
        <w:t xml:space="preserve">Teil M ist das Kernstück dieser Übersicht:</w:t>
      </w:r>
      <w:r>
        <w:t xml:space="preserve"> Er zeigt für jedes Modell, wohin der Strom fließt, welcher Vergütungsweg heute greift und bei wem welche Erlöse und Kosten entstehen.</w:t>
      </w:r>
    </w:p>
    <w:p>
      <w:pPr>
        <w:pStyle w:val="Heading1"/>
      </w:pPr>
      <w:bookmarkStart w:id="900002" w:name="_Toc90000002"/>
      <w:r>
        <w:t xml:space="preserve">A  Betreibermodelle</w:t>
      </w:r>
      <w:bookmarkEnd w:id="900002"/>
    </w:p>
    <w:p>
      <w:pPr>
        <w:pStyle w:val="Heading2"/>
      </w:pPr>
      <w:bookmarkStart w:id="900003" w:name="_Toc90000003"/>
      <w:r>
        <w:t xml:space="preserve">A1  Systematik: Rollen, Notation und Modellwechsel</w:t>
      </w:r>
      <w:bookmarkEnd w:id="900003"/>
    </w:p>
    <w:p>
      <w:r>
        <w:t xml:space="preserve">pv@now beschreibt jedes Betreibermodell über </w:t>
      </w:r>
      <w:r>
        <w:rPr>
          <w:b/>
          <w:bCs/>
        </w:rPr>
        <w:t xml:space="preserve">vier Rollen</w:t>
      </w:r>
      <w:r>
        <w:t xml:space="preserve">, die auf </w:t>
      </w:r>
      <w:r>
        <w:rPr>
          <w:b/>
          <w:bCs/>
        </w:rPr>
        <w:t xml:space="preserve">bis zu vier Akteure</w:t>
      </w:r>
      <w:r>
        <w:t xml:space="preserve"> (natürliche oder juristische Personen) verteilt werden können [22]:</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000"/>
        <w:gridCol w:w="900"/>
        <w:gridCol w:w="3600"/>
        <w:gridCol w:w="3138"/>
      </w:tblGrid>
      <w:tr>
        <w:trPr>
          <w:tblHeader/>
        </w:trPr>
        <w:tc>
          <w:tcPr>
            <w:tcW w:type="dxa" w:w="2000"/>
            <w:shd w:fill="1F3864" w:color="auto" w:val="clear"/>
            <w:vAlign w:val="center"/>
          </w:tcPr>
          <w:p>
            <w:pPr>
              <w:spacing w:after="30" w:before="30" w:line="230"/>
              <w:jc w:val="left"/>
            </w:pPr>
            <w:r>
              <w:rPr>
                <w:b/>
                <w:bCs/>
                <w:color w:val="FFFFFF"/>
                <w:sz w:val="17"/>
                <w:szCs w:val="17"/>
              </w:rPr>
              <w:t xml:space="preserve">Rolle</w:t>
            </w:r>
          </w:p>
        </w:tc>
        <w:tc>
          <w:tcPr>
            <w:tcW w:type="dxa" w:w="900"/>
            <w:shd w:fill="1F3864" w:color="auto" w:val="clear"/>
            <w:vAlign w:val="center"/>
          </w:tcPr>
          <w:p>
            <w:pPr>
              <w:spacing w:after="30" w:before="30" w:line="230"/>
              <w:jc w:val="left"/>
            </w:pPr>
            <w:r>
              <w:rPr>
                <w:b/>
                <w:bCs/>
                <w:color w:val="FFFFFF"/>
                <w:sz w:val="17"/>
                <w:szCs w:val="17"/>
              </w:rPr>
              <w:t xml:space="preserve">Kürzel</w:t>
            </w:r>
          </w:p>
        </w:tc>
        <w:tc>
          <w:tcPr>
            <w:tcW w:type="dxa" w:w="3600"/>
            <w:shd w:fill="1F3864" w:color="auto" w:val="clear"/>
            <w:vAlign w:val="center"/>
          </w:tcPr>
          <w:p>
            <w:pPr>
              <w:spacing w:after="30" w:before="30" w:line="230"/>
              <w:jc w:val="left"/>
            </w:pPr>
            <w:r>
              <w:rPr>
                <w:b/>
                <w:bCs/>
                <w:color w:val="FFFFFF"/>
                <w:sz w:val="17"/>
                <w:szCs w:val="17"/>
              </w:rPr>
              <w:t xml:space="preserve">Inhalt</w:t>
            </w:r>
          </w:p>
        </w:tc>
        <w:tc>
          <w:tcPr>
            <w:tcW w:type="dxa" w:w="3138"/>
            <w:shd w:fill="1F3864" w:color="auto" w:val="clear"/>
            <w:vAlign w:val="center"/>
          </w:tcPr>
          <w:p>
            <w:pPr>
              <w:spacing w:after="30" w:before="30" w:line="230"/>
              <w:jc w:val="left"/>
            </w:pPr>
            <w:r>
              <w:rPr>
                <w:b/>
                <w:bCs/>
                <w:color w:val="FFFFFF"/>
                <w:sz w:val="17"/>
                <w:szCs w:val="17"/>
              </w:rPr>
              <w:t xml:space="preserve">Typische Vertragsposition</w:t>
            </w:r>
          </w:p>
        </w:tc>
      </w:tr>
      <w:tr>
        <w:tc>
          <w:tcPr>
            <w:tcW w:type="dxa" w:w="2000"/>
            <w:vAlign w:val="center"/>
          </w:tcPr>
          <w:p>
            <w:pPr>
              <w:spacing w:after="30" w:before="30" w:line="230"/>
              <w:jc w:val="left"/>
            </w:pPr>
            <w:r>
              <w:rPr>
                <w:b/>
                <w:bCs/>
                <w:sz w:val="17"/>
                <w:szCs w:val="17"/>
              </w:rPr>
              <w:t xml:space="preserve">Investor</w:t>
            </w:r>
          </w:p>
        </w:tc>
        <w:tc>
          <w:tcPr>
            <w:tcW w:type="dxa" w:w="900"/>
            <w:vAlign w:val="center"/>
          </w:tcPr>
          <w:p>
            <w:pPr>
              <w:spacing w:after="30" w:before="30" w:line="230"/>
              <w:jc w:val="center"/>
            </w:pPr>
            <w:r>
              <w:rPr>
                <w:b w:val="false"/>
                <w:bCs w:val="false"/>
                <w:sz w:val="17"/>
                <w:szCs w:val="17"/>
              </w:rPr>
              <w:t xml:space="preserve">I</w:t>
            </w:r>
          </w:p>
        </w:tc>
        <w:tc>
          <w:tcPr>
            <w:tcW w:type="dxa" w:w="3600"/>
            <w:vAlign w:val="center"/>
          </w:tcPr>
          <w:p>
            <w:pPr>
              <w:spacing w:after="30" w:before="30" w:line="230"/>
              <w:jc w:val="left"/>
            </w:pPr>
            <w:r>
              <w:rPr>
                <w:b w:val="false"/>
                <w:bCs w:val="false"/>
                <w:sz w:val="17"/>
                <w:szCs w:val="17"/>
              </w:rPr>
              <w:t xml:space="preserve">Trägt die Investition, ist wirtschaftlicher Eigentümer der Anlage</w:t>
            </w:r>
          </w:p>
        </w:tc>
        <w:tc>
          <w:tcPr>
            <w:tcW w:type="dxa" w:w="3138"/>
            <w:vAlign w:val="center"/>
          </w:tcPr>
          <w:p>
            <w:pPr>
              <w:spacing w:after="30" w:before="30" w:line="230"/>
              <w:jc w:val="left"/>
            </w:pPr>
            <w:r>
              <w:rPr>
                <w:b w:val="false"/>
                <w:bCs w:val="false"/>
                <w:sz w:val="17"/>
                <w:szCs w:val="17"/>
              </w:rPr>
              <w:t xml:space="preserve">Kaufvertrag, Finanzierung, Abschreibung</w:t>
            </w:r>
          </w:p>
        </w:tc>
      </w:tr>
      <w:tr>
        <w:tc>
          <w:tcPr>
            <w:tcW w:type="dxa" w:w="2000"/>
            <w:shd w:fill="F2F5FA" w:color="auto" w:val="clear"/>
            <w:vAlign w:val="center"/>
          </w:tcPr>
          <w:p>
            <w:pPr>
              <w:spacing w:after="30" w:before="30" w:line="230"/>
              <w:jc w:val="left"/>
            </w:pPr>
            <w:r>
              <w:rPr>
                <w:b/>
                <w:bCs/>
                <w:sz w:val="17"/>
                <w:szCs w:val="17"/>
              </w:rPr>
              <w:t xml:space="preserve">Betreiber</w:t>
            </w:r>
          </w:p>
        </w:tc>
        <w:tc>
          <w:tcPr>
            <w:tcW w:type="dxa" w:w="900"/>
            <w:shd w:fill="F2F5FA" w:color="auto" w:val="clear"/>
            <w:vAlign w:val="center"/>
          </w:tcPr>
          <w:p>
            <w:pPr>
              <w:spacing w:after="30" w:before="30" w:line="230"/>
              <w:jc w:val="center"/>
            </w:pPr>
            <w:r>
              <w:rPr>
                <w:b w:val="false"/>
                <w:bCs w:val="false"/>
                <w:sz w:val="17"/>
                <w:szCs w:val="17"/>
              </w:rPr>
              <w:t xml:space="preserve">B</w:t>
            </w:r>
          </w:p>
        </w:tc>
        <w:tc>
          <w:tcPr>
            <w:tcW w:type="dxa" w:w="3600"/>
            <w:shd w:fill="F2F5FA" w:color="auto" w:val="clear"/>
            <w:vAlign w:val="center"/>
          </w:tcPr>
          <w:p>
            <w:pPr>
              <w:spacing w:after="30" w:before="30" w:line="230"/>
              <w:jc w:val="left"/>
            </w:pPr>
            <w:r>
              <w:rPr>
                <w:b w:val="false"/>
                <w:bCs w:val="false"/>
                <w:sz w:val="17"/>
                <w:szCs w:val="17"/>
              </w:rPr>
              <w:t xml:space="preserve">Betreibt die Anlage, ist Anlagenbetreiber im Sinne des EEG</w:t>
            </w:r>
          </w:p>
        </w:tc>
        <w:tc>
          <w:tcPr>
            <w:tcW w:type="dxa" w:w="3138"/>
            <w:shd w:fill="F2F5FA" w:color="auto" w:val="clear"/>
            <w:vAlign w:val="center"/>
          </w:tcPr>
          <w:p>
            <w:pPr>
              <w:spacing w:after="30" w:before="30" w:line="230"/>
              <w:jc w:val="left"/>
            </w:pPr>
            <w:r>
              <w:rPr>
                <w:b w:val="false"/>
                <w:bCs w:val="false"/>
                <w:sz w:val="17"/>
                <w:szCs w:val="17"/>
              </w:rPr>
              <w:t xml:space="preserve">Vergütungsanspruch, Meldepflichten, Betriebskosten</w:t>
            </w:r>
          </w:p>
        </w:tc>
      </w:tr>
      <w:tr>
        <w:tc>
          <w:tcPr>
            <w:tcW w:type="dxa" w:w="2000"/>
            <w:vAlign w:val="center"/>
          </w:tcPr>
          <w:p>
            <w:pPr>
              <w:spacing w:after="30" w:before="30" w:line="230"/>
              <w:jc w:val="left"/>
            </w:pPr>
            <w:r>
              <w:rPr>
                <w:b/>
                <w:bCs/>
                <w:sz w:val="17"/>
                <w:szCs w:val="17"/>
              </w:rPr>
              <w:t xml:space="preserve">Grund-/Gebäudeeigentümer</w:t>
            </w:r>
          </w:p>
        </w:tc>
        <w:tc>
          <w:tcPr>
            <w:tcW w:type="dxa" w:w="900"/>
            <w:vAlign w:val="center"/>
          </w:tcPr>
          <w:p>
            <w:pPr>
              <w:spacing w:after="30" w:before="30" w:line="230"/>
              <w:jc w:val="center"/>
            </w:pPr>
            <w:r>
              <w:rPr>
                <w:b w:val="false"/>
                <w:bCs w:val="false"/>
                <w:sz w:val="17"/>
                <w:szCs w:val="17"/>
              </w:rPr>
              <w:t xml:space="preserve">G</w:t>
            </w:r>
          </w:p>
        </w:tc>
        <w:tc>
          <w:tcPr>
            <w:tcW w:type="dxa" w:w="3600"/>
            <w:vAlign w:val="center"/>
          </w:tcPr>
          <w:p>
            <w:pPr>
              <w:spacing w:after="30" w:before="30" w:line="230"/>
              <w:jc w:val="left"/>
            </w:pPr>
            <w:r>
              <w:rPr>
                <w:b w:val="false"/>
                <w:bCs w:val="false"/>
                <w:sz w:val="17"/>
                <w:szCs w:val="17"/>
              </w:rPr>
              <w:t xml:space="preserve">Stellt Dach- oder Freifläche bereit</w:t>
            </w:r>
          </w:p>
        </w:tc>
        <w:tc>
          <w:tcPr>
            <w:tcW w:type="dxa" w:w="3138"/>
            <w:vAlign w:val="center"/>
          </w:tcPr>
          <w:p>
            <w:pPr>
              <w:spacing w:after="30" w:before="30" w:line="230"/>
              <w:jc w:val="left"/>
            </w:pPr>
            <w:r>
              <w:rPr>
                <w:b w:val="false"/>
                <w:bCs w:val="false"/>
                <w:sz w:val="17"/>
                <w:szCs w:val="17"/>
              </w:rPr>
              <w:t xml:space="preserve">Dachmiete, Freiflächenpacht, Gestattung</w:t>
            </w:r>
          </w:p>
        </w:tc>
      </w:tr>
      <w:tr>
        <w:tc>
          <w:tcPr>
            <w:tcW w:type="dxa" w:w="2000"/>
            <w:shd w:fill="F2F5FA" w:color="auto" w:val="clear"/>
            <w:vAlign w:val="center"/>
          </w:tcPr>
          <w:p>
            <w:pPr>
              <w:spacing w:after="30" w:before="30" w:line="230"/>
              <w:jc w:val="left"/>
            </w:pPr>
            <w:r>
              <w:rPr>
                <w:b/>
                <w:bCs/>
                <w:sz w:val="17"/>
                <w:szCs w:val="17"/>
              </w:rPr>
              <w:t xml:space="preserve">Verbraucher</w:t>
            </w:r>
          </w:p>
        </w:tc>
        <w:tc>
          <w:tcPr>
            <w:tcW w:type="dxa" w:w="900"/>
            <w:shd w:fill="F2F5FA" w:color="auto" w:val="clear"/>
            <w:vAlign w:val="center"/>
          </w:tcPr>
          <w:p>
            <w:pPr>
              <w:spacing w:after="30" w:before="30" w:line="230"/>
              <w:jc w:val="center"/>
            </w:pPr>
            <w:r>
              <w:rPr>
                <w:b w:val="false"/>
                <w:bCs w:val="false"/>
                <w:sz w:val="17"/>
                <w:szCs w:val="17"/>
              </w:rPr>
              <w:t xml:space="preserve">V</w:t>
            </w:r>
          </w:p>
        </w:tc>
        <w:tc>
          <w:tcPr>
            <w:tcW w:type="dxa" w:w="3600"/>
            <w:shd w:fill="F2F5FA" w:color="auto" w:val="clear"/>
            <w:vAlign w:val="center"/>
          </w:tcPr>
          <w:p>
            <w:pPr>
              <w:spacing w:after="30" w:before="30" w:line="230"/>
              <w:jc w:val="left"/>
            </w:pPr>
            <w:r>
              <w:rPr>
                <w:b w:val="false"/>
                <w:bCs w:val="false"/>
                <w:sz w:val="17"/>
                <w:szCs w:val="17"/>
              </w:rPr>
              <w:t xml:space="preserve">Nutzt den Strom vor Ort</w:t>
            </w:r>
          </w:p>
        </w:tc>
        <w:tc>
          <w:tcPr>
            <w:tcW w:type="dxa" w:w="3138"/>
            <w:shd w:fill="F2F5FA" w:color="auto" w:val="clear"/>
            <w:vAlign w:val="center"/>
          </w:tcPr>
          <w:p>
            <w:pPr>
              <w:spacing w:after="30" w:before="30" w:line="230"/>
              <w:jc w:val="left"/>
            </w:pPr>
            <w:r>
              <w:rPr>
                <w:b w:val="false"/>
                <w:bCs w:val="false"/>
                <w:sz w:val="17"/>
                <w:szCs w:val="17"/>
              </w:rPr>
              <w:t xml:space="preserve">Eigenverbrauch oder Stromliefervertrag</w:t>
            </w:r>
          </w:p>
        </w:tc>
      </w:tr>
    </w:tbl>
    <w:p>
      <w:pPr>
        <w:spacing w:after="100"/>
      </w:pPr>
      <w:r>
        <w:rPr>
          <w:sz w:val="8"/>
          <w:szCs w:val="8"/>
        </w:rPr>
        <w:t xml:space="preserve"/>
      </w:r>
    </w:p>
    <w:p>
      <w:r>
        <w:t xml:space="preserve">Zwei Rollen kennen </w:t>
      </w:r>
      <w:r>
        <w:rPr>
          <w:b/>
          <w:bCs/>
        </w:rPr>
        <w:t xml:space="preserve">Subtypen</w:t>
      </w:r>
      <w:r>
        <w:t xml:space="preserve">, die im Katalog durchgängig verwendet werden [29]: Die Verbraucherrolle differenziert nach </w:t>
      </w:r>
      <w:r>
        <w:rPr>
          <w:rFonts w:ascii="Consolas" w:cs="Consolas" w:eastAsia="Consolas" w:hAnsi="Consolas"/>
          <w:b/>
          <w:bCs/>
        </w:rPr>
        <w:t xml:space="preserve">V_G</w:t>
      </w:r>
      <w:r>
        <w:t xml:space="preserve"> (Verbraucher, der zugleich Gebäudeeigentümer ist), </w:t>
      </w:r>
      <w:r>
        <w:rPr>
          <w:rFonts w:ascii="Consolas" w:cs="Consolas" w:eastAsia="Consolas" w:hAnsi="Consolas"/>
          <w:b/>
          <w:bCs/>
        </w:rPr>
        <w:t xml:space="preserve">V_M</w:t>
      </w:r>
      <w:r>
        <w:t xml:space="preserve"> (Verbraucher als Mieter im Gebäude, in mehreren Modellen erweitert auf „Mieter im Gebäude/Nachbar“) und </w:t>
      </w:r>
      <w:r>
        <w:rPr>
          <w:rFonts w:ascii="Consolas" w:cs="Consolas" w:eastAsia="Consolas" w:hAnsi="Consolas"/>
          <w:b/>
          <w:bCs/>
        </w:rPr>
        <w:t xml:space="preserve">V_W</w:t>
      </w:r>
      <w:r>
        <w:t xml:space="preserve"> (weiterer Verbraucher); die Betreiberrolle unterscheidet in allen Teilvermietungsmodellen </w:t>
      </w:r>
      <w:r>
        <w:rPr>
          <w:rFonts w:ascii="Consolas" w:cs="Consolas" w:eastAsia="Consolas" w:hAnsi="Consolas"/>
          <w:b/>
          <w:bCs/>
        </w:rPr>
        <w:t xml:space="preserve">B_Haupt</w:t>
      </w:r>
      <w:r>
        <w:t xml:space="preserve"> (Hauptbetreiber) und </w:t>
      </w:r>
      <w:r>
        <w:rPr>
          <w:rFonts w:ascii="Consolas" w:cs="Consolas" w:eastAsia="Consolas" w:hAnsi="Consolas"/>
          <w:b/>
          <w:bCs/>
        </w:rPr>
        <w:t xml:space="preserve">B_Mit</w:t>
      </w:r>
      <w:r>
        <w:t xml:space="preserve"> (Mitbetreiber). „Verbraucher X“ ist demgegenüber </w:t>
      </w:r>
      <w:r>
        <w:rPr>
          <w:b/>
          <w:bCs/>
        </w:rPr>
        <w:t xml:space="preserve">keine</w:t>
      </w:r>
      <w:r>
        <w:t xml:space="preserve"> Formelrolle, sondern die Diagrammbeschriftung für den anonymen Abnehmer des ins Netz eingespeisten Stroms. Die Notation ist eine </w:t>
      </w:r>
      <w:r>
        <w:rPr>
          <w:b/>
          <w:bCs/>
        </w:rPr>
        <w:t xml:space="preserve">Rollen-Gleichung</w:t>
      </w:r>
      <w:r>
        <w:t xml:space="preserve"> mit genau zwei Zeichen: </w:t>
      </w:r>
      <w:r>
        <w:rPr>
          <w:b/>
          <w:bCs/>
        </w:rPr>
        <w:t xml:space="preserve">„=“ bedeutet Personalunion</w:t>
      </w:r>
      <w:r>
        <w:t xml:space="preserve"> (eine Partei trägt mehrere Rollen), </w:t>
      </w:r>
      <w:r>
        <w:rPr>
          <w:b/>
          <w:bCs/>
        </w:rPr>
        <w:t xml:space="preserve">„|“ trennt verschiedene Parteien</w:t>
      </w:r>
      <w:r>
        <w:t xml:space="preserve"> (getrennte Kästen im pv@now-Diagramm). </w:t>
      </w:r>
      <w:r>
        <w:rPr>
          <w:rFonts w:ascii="Consolas" w:cs="Consolas" w:eastAsia="Consolas" w:hAnsi="Consolas"/>
          <w:b/>
          <w:bCs/>
        </w:rPr>
        <w:t xml:space="preserve">I = B = G</w:t>
      </w:r>
      <w:r>
        <w:t xml:space="preserve"> bedeutet also „ein Akteur ist Investor, Betreiber und Gebäudeeigentümer in einer Person“; </w:t>
      </w:r>
      <w:r>
        <w:rPr>
          <w:rFonts w:ascii="Consolas" w:cs="Consolas" w:eastAsia="Consolas" w:hAnsi="Consolas"/>
          <w:b/>
          <w:bCs/>
        </w:rPr>
        <w:t xml:space="preserve">I = B = V_M | G</w:t>
      </w:r>
      <w:r>
        <w:t xml:space="preserve"> bedeutet „ein Akteur ist Investor, Betreiber und mietender Verbraucher, ein zweiter Akteur ist Gebäudeeigentümer“. Die vollständige Legende einschließlich der Farb- und Parteiensystematik steht in A2 [25][29].</w:t>
      </w:r>
    </w:p>
    <w:p>
      <w:r>
        <w:t xml:space="preserve">Ein </w:t>
      </w:r>
      <w:r>
        <w:rPr>
          <w:b/>
          <w:bCs/>
        </w:rPr>
        <w:t xml:space="preserve">Betreibermodell ist damit mehr als eine Rollenverteilung</w:t>
      </w:r>
      <w:r>
        <w:t xml:space="preserve">: Es ist die Kombination aus Rollenverteilung und den Vertragsbeziehungen, die zwischen den Rollen erforderlich werden – Dachpacht zwischen I/B und G, Anlagenmiete zwischen I und B, Stromlieferung zwischen B und V. Sobald zwei Rollen auf verschiedene Akteure fallen, entsteht zwingend ein Vertrag und in der Regel auch ein eigenes Messkonzept.</w:t>
      </w:r>
    </w:p>
    <w:p>
      <w:r>
        <w:rPr>
          <w:b/>
          <w:bCs/>
        </w:rPr>
        <w:t xml:space="preserve">Die Erlösmodelle sind davon unabhängig.</w:t>
      </w:r>
      <w:r>
        <w:t xml:space="preserve"> Ein und dasselbe Betreibermodell kann mit fester Einspeisevergütung, geförderter Direktvermarktung, sonstiger Direktvermarktung, freiem Vergütungssatz oder Mischformen gerechnet werden; im Tool sind einzelne Kombinationen je nach Anlagenart, Leistung und Inbetriebnahmedatum ausgegraut, weil sie rechtlich unzulässig sind [29].</w:t>
      </w:r>
    </w:p>
    <w:p>
      <w:r>
        <w:rPr>
          <w:b/>
          <w:bCs/>
        </w:rPr>
        <w:t xml:space="preserve">Modellwechsel im Zeitverlauf</w:t>
      </w:r>
      <w:r>
        <w:t xml:space="preserve"> sind ein Kernmerkmal des Werkzeugs: Je Plan sind maximal vier Betreibermodelle möglich (seit Version 2.0.0), zusätzlich maximal zwei Kredite [22]. Modelle können ersetzend oder zeitlich vor- bzw. nachgelagert eingefügt werden. Der Hilfetext der App nennt als Anwendungsfall die Kombination der PV-Miete mit den Steuersparmodellen Investitionsabzugsbetrag und Sonderabschreibung: Start mit Volleinspeisung, Wechsel zur PV-Miete zu Beginn des dritten Kalenderjahres [29]. Weitere in der Dokumentation belegte Wechselmuster sind Stromlieferung → Vermietung sowie Volleinspeisung → Eigenverbrauch nach dem Ende der EEG-Förderung [22].</w:t>
      </w:r>
    </w:p>
    <w:p>
      <w:pPr>
        <w:pStyle w:val="Heading2"/>
      </w:pPr>
      <w:bookmarkStart w:id="900004" w:name="_Toc90000004"/>
      <w:r>
        <w:t xml:space="preserve">A2  Katalog der 25 pv@now-Modelle — vollständig verifiziert</w:t>
      </w:r>
      <w:bookmarkEnd w:id="900004"/>
    </w:p>
    <w:p>
      <w:r>
        <w:t xml:space="preserve">Die Auswahlliste „Betreibermodell einfügen“ der App-Version 10.0.0 enthält </w:t>
      </w:r>
      <w:r>
        <w:rPr>
          <w:b/>
          <w:bCs/>
        </w:rPr>
        <w:t xml:space="preserve">25 Modelle in fünf Familien</w:t>
      </w:r>
      <w:r>
        <w:t xml:space="preserve">. Alle 25 Modelle wurden am </w:t>
      </w:r>
      <w:r>
        <w:rPr>
          <w:b/>
          <w:bCs/>
        </w:rPr>
        <w:t xml:space="preserve">25.08.2026 rein lesend in der App ausgelesen</w:t>
      </w:r>
      <w:r>
        <w:t xml:space="preserve">: Rollenformel, Legende einschließlich aller Subtypen, Parteienfärbung, Diagrammaufbau und der wörtliche Beschreibungstext je Modell [29]. Die folgenden Angaben sind damit verifiziert und keine Ableitung.</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400"/>
        <w:gridCol w:w="1100"/>
        <w:gridCol w:w="900"/>
        <w:gridCol w:w="4238"/>
        <w:gridCol w:w="1000"/>
      </w:tblGrid>
      <w:tr>
        <w:trPr>
          <w:tblHeader/>
        </w:trPr>
        <w:tc>
          <w:tcPr>
            <w:tcW w:type="dxa" w:w="2400"/>
            <w:shd w:fill="1F3864" w:color="auto" w:val="clear"/>
            <w:vAlign w:val="center"/>
          </w:tcPr>
          <w:p>
            <w:pPr>
              <w:spacing w:after="30" w:before="30" w:line="230"/>
              <w:jc w:val="left"/>
            </w:pPr>
            <w:r>
              <w:rPr>
                <w:b/>
                <w:bCs/>
                <w:color w:val="FFFFFF"/>
                <w:sz w:val="17"/>
                <w:szCs w:val="17"/>
              </w:rPr>
              <w:t xml:space="preserve">Familie</w:t>
            </w:r>
          </w:p>
        </w:tc>
        <w:tc>
          <w:tcPr>
            <w:tcW w:type="dxa" w:w="1100"/>
            <w:shd w:fill="1F3864" w:color="auto" w:val="clear"/>
            <w:vAlign w:val="center"/>
          </w:tcPr>
          <w:p>
            <w:pPr>
              <w:spacing w:after="30" w:before="30" w:line="230"/>
              <w:jc w:val="center"/>
            </w:pPr>
            <w:r>
              <w:rPr>
                <w:b/>
                <w:bCs/>
                <w:color w:val="FFFFFF"/>
                <w:sz w:val="17"/>
                <w:szCs w:val="17"/>
              </w:rPr>
              <w:t xml:space="preserve">Modelle</w:t>
            </w:r>
          </w:p>
        </w:tc>
        <w:tc>
          <w:tcPr>
            <w:tcW w:type="dxa" w:w="900"/>
            <w:shd w:fill="1F3864" w:color="auto" w:val="clear"/>
            <w:vAlign w:val="center"/>
          </w:tcPr>
          <w:p>
            <w:pPr>
              <w:spacing w:after="30" w:before="30" w:line="230"/>
              <w:jc w:val="center"/>
            </w:pPr>
            <w:r>
              <w:rPr>
                <w:b/>
                <w:bCs/>
                <w:color w:val="FFFFFF"/>
                <w:sz w:val="17"/>
                <w:szCs w:val="17"/>
              </w:rPr>
              <w:t xml:space="preserve">Anzahl</w:t>
            </w:r>
          </w:p>
        </w:tc>
        <w:tc>
          <w:tcPr>
            <w:tcW w:type="dxa" w:w="4238"/>
            <w:shd w:fill="1F3864" w:color="auto" w:val="clear"/>
            <w:vAlign w:val="center"/>
          </w:tcPr>
          <w:p>
            <w:pPr>
              <w:spacing w:after="30" w:before="30" w:line="230"/>
              <w:jc w:val="left"/>
            </w:pPr>
            <w:r>
              <w:rPr>
                <w:b/>
                <w:bCs/>
                <w:color w:val="FFFFFF"/>
                <w:sz w:val="17"/>
                <w:szCs w:val="17"/>
              </w:rPr>
              <w:t xml:space="preserve">Grundgedanke</w:t>
            </w:r>
          </w:p>
        </w:tc>
        <w:tc>
          <w:tcPr>
            <w:tcW w:type="dxa" w:w="1000"/>
            <w:shd w:fill="1F3864" w:color="auto" w:val="clear"/>
            <w:vAlign w:val="center"/>
          </w:tcPr>
          <w:p>
            <w:pPr>
              <w:spacing w:after="30" w:before="30" w:line="230"/>
              <w:jc w:val="center"/>
            </w:pPr>
            <w:r>
              <w:rPr>
                <w:b/>
                <w:bCs/>
                <w:color w:val="FFFFFF"/>
                <w:sz w:val="17"/>
                <w:szCs w:val="17"/>
              </w:rPr>
              <w:t xml:space="preserve">Parteien</w:t>
            </w:r>
          </w:p>
        </w:tc>
      </w:tr>
      <w:tr>
        <w:tc>
          <w:tcPr>
            <w:tcW w:type="dxa" w:w="2400"/>
            <w:vAlign w:val="center"/>
          </w:tcPr>
          <w:p>
            <w:pPr>
              <w:spacing w:after="30" w:before="30" w:line="230"/>
              <w:jc w:val="left"/>
            </w:pPr>
            <w:r>
              <w:rPr>
                <w:b/>
                <w:bCs/>
                <w:sz w:val="17"/>
                <w:szCs w:val="17"/>
              </w:rPr>
              <w:t xml:space="preserve">PV-Netz-Einspeisung</w:t>
            </w:r>
          </w:p>
        </w:tc>
        <w:tc>
          <w:tcPr>
            <w:tcW w:type="dxa" w:w="1100"/>
            <w:vAlign w:val="center"/>
          </w:tcPr>
          <w:p>
            <w:pPr>
              <w:spacing w:after="30" w:before="30" w:line="230"/>
              <w:jc w:val="center"/>
            </w:pPr>
            <w:r>
              <w:rPr>
                <w:b w:val="false"/>
                <w:bCs w:val="false"/>
                <w:sz w:val="17"/>
                <w:szCs w:val="17"/>
              </w:rPr>
              <w:t xml:space="preserve">1–2</w:t>
            </w:r>
          </w:p>
        </w:tc>
        <w:tc>
          <w:tcPr>
            <w:tcW w:type="dxa" w:w="900"/>
            <w:vAlign w:val="center"/>
          </w:tcPr>
          <w:p>
            <w:pPr>
              <w:spacing w:after="30" w:before="30" w:line="230"/>
              <w:jc w:val="center"/>
            </w:pPr>
            <w:r>
              <w:rPr>
                <w:b w:val="false"/>
                <w:bCs w:val="false"/>
                <w:sz w:val="17"/>
                <w:szCs w:val="17"/>
              </w:rPr>
              <w:t xml:space="preserve">2</w:t>
            </w:r>
          </w:p>
        </w:tc>
        <w:tc>
          <w:tcPr>
            <w:tcW w:type="dxa" w:w="4238"/>
            <w:vAlign w:val="center"/>
          </w:tcPr>
          <w:p>
            <w:pPr>
              <w:spacing w:after="30" w:before="30" w:line="230"/>
              <w:jc w:val="left"/>
            </w:pPr>
            <w:r>
              <w:rPr>
                <w:b w:val="false"/>
                <w:bCs w:val="false"/>
                <w:sz w:val="17"/>
                <w:szCs w:val="17"/>
              </w:rPr>
              <w:t xml:space="preserve">Gesamter Strom geht ins Netz; Verbraucherrolle im Modell nicht besetzt</w:t>
            </w:r>
          </w:p>
        </w:tc>
        <w:tc>
          <w:tcPr>
            <w:tcW w:type="dxa" w:w="1000"/>
            <w:vAlign w:val="center"/>
          </w:tcPr>
          <w:p>
            <w:pPr>
              <w:spacing w:after="30" w:before="30" w:line="230"/>
              <w:jc w:val="center"/>
            </w:pPr>
            <w:r>
              <w:rPr>
                <w:b w:val="false"/>
                <w:bCs w:val="false"/>
                <w:sz w:val="17"/>
                <w:szCs w:val="17"/>
              </w:rPr>
              <w:t xml:space="preserve">1–2</w:t>
            </w:r>
          </w:p>
        </w:tc>
      </w:tr>
      <w:tr>
        <w:tc>
          <w:tcPr>
            <w:tcW w:type="dxa" w:w="2400"/>
            <w:shd w:fill="F2F5FA" w:color="auto" w:val="clear"/>
            <w:vAlign w:val="center"/>
          </w:tcPr>
          <w:p>
            <w:pPr>
              <w:spacing w:after="30" w:before="30" w:line="230"/>
              <w:jc w:val="left"/>
            </w:pPr>
            <w:r>
              <w:rPr>
                <w:b/>
                <w:bCs/>
                <w:sz w:val="17"/>
                <w:szCs w:val="17"/>
              </w:rPr>
              <w:t xml:space="preserve">PV-Überschuss-Einspeisung</w:t>
            </w:r>
          </w:p>
        </w:tc>
        <w:tc>
          <w:tcPr>
            <w:tcW w:type="dxa" w:w="1100"/>
            <w:shd w:fill="F2F5FA" w:color="auto" w:val="clear"/>
            <w:vAlign w:val="center"/>
          </w:tcPr>
          <w:p>
            <w:pPr>
              <w:spacing w:after="30" w:before="30" w:line="230"/>
              <w:jc w:val="center"/>
            </w:pPr>
            <w:r>
              <w:rPr>
                <w:b w:val="false"/>
                <w:bCs w:val="false"/>
                <w:sz w:val="17"/>
                <w:szCs w:val="17"/>
              </w:rPr>
              <w:t xml:space="preserve">1–2</w:t>
            </w:r>
          </w:p>
        </w:tc>
        <w:tc>
          <w:tcPr>
            <w:tcW w:type="dxa" w:w="900"/>
            <w:shd w:fill="F2F5FA" w:color="auto" w:val="clear"/>
            <w:vAlign w:val="center"/>
          </w:tcPr>
          <w:p>
            <w:pPr>
              <w:spacing w:after="30" w:before="30" w:line="230"/>
              <w:jc w:val="center"/>
            </w:pPr>
            <w:r>
              <w:rPr>
                <w:b w:val="false"/>
                <w:bCs w:val="false"/>
                <w:sz w:val="17"/>
                <w:szCs w:val="17"/>
              </w:rPr>
              <w:t xml:space="preserve">2</w:t>
            </w:r>
          </w:p>
        </w:tc>
        <w:tc>
          <w:tcPr>
            <w:tcW w:type="dxa" w:w="4238"/>
            <w:shd w:fill="F2F5FA" w:color="auto" w:val="clear"/>
            <w:vAlign w:val="center"/>
          </w:tcPr>
          <w:p>
            <w:pPr>
              <w:spacing w:after="30" w:before="30" w:line="230"/>
              <w:jc w:val="left"/>
            </w:pPr>
            <w:r>
              <w:rPr>
                <w:b w:val="false"/>
                <w:bCs w:val="false"/>
                <w:sz w:val="17"/>
                <w:szCs w:val="17"/>
              </w:rPr>
              <w:t xml:space="preserve">Eigenverbrauch des Betreibers vorrangig, Überschuss ins Netz</w:t>
            </w:r>
          </w:p>
        </w:tc>
        <w:tc>
          <w:tcPr>
            <w:tcW w:type="dxa" w:w="1000"/>
            <w:shd w:fill="F2F5FA" w:color="auto" w:val="clear"/>
            <w:vAlign w:val="center"/>
          </w:tcPr>
          <w:p>
            <w:pPr>
              <w:spacing w:after="30" w:before="30" w:line="230"/>
              <w:jc w:val="center"/>
            </w:pPr>
            <w:r>
              <w:rPr>
                <w:b w:val="false"/>
                <w:bCs w:val="false"/>
                <w:sz w:val="17"/>
                <w:szCs w:val="17"/>
              </w:rPr>
              <w:t xml:space="preserve">1–2</w:t>
            </w:r>
          </w:p>
        </w:tc>
      </w:tr>
      <w:tr>
        <w:tc>
          <w:tcPr>
            <w:tcW w:type="dxa" w:w="2400"/>
            <w:vAlign w:val="center"/>
          </w:tcPr>
          <w:p>
            <w:pPr>
              <w:spacing w:after="30" w:before="30" w:line="230"/>
              <w:jc w:val="left"/>
            </w:pPr>
            <w:r>
              <w:rPr>
                <w:b/>
                <w:bCs/>
                <w:sz w:val="17"/>
                <w:szCs w:val="17"/>
              </w:rPr>
              <w:t xml:space="preserve">PV-Stromlieferung</w:t>
            </w:r>
          </w:p>
        </w:tc>
        <w:tc>
          <w:tcPr>
            <w:tcW w:type="dxa" w:w="1100"/>
            <w:vAlign w:val="center"/>
          </w:tcPr>
          <w:p>
            <w:pPr>
              <w:spacing w:after="30" w:before="30" w:line="230"/>
              <w:jc w:val="center"/>
            </w:pPr>
            <w:r>
              <w:rPr>
                <w:b w:val="false"/>
                <w:bCs w:val="false"/>
                <w:sz w:val="17"/>
                <w:szCs w:val="17"/>
              </w:rPr>
              <w:t xml:space="preserve">1–5</w:t>
            </w:r>
          </w:p>
        </w:tc>
        <w:tc>
          <w:tcPr>
            <w:tcW w:type="dxa" w:w="900"/>
            <w:vAlign w:val="center"/>
          </w:tcPr>
          <w:p>
            <w:pPr>
              <w:spacing w:after="30" w:before="30" w:line="230"/>
              <w:jc w:val="center"/>
            </w:pPr>
            <w:r>
              <w:rPr>
                <w:b w:val="false"/>
                <w:bCs w:val="false"/>
                <w:sz w:val="17"/>
                <w:szCs w:val="17"/>
              </w:rPr>
              <w:t xml:space="preserve">5</w:t>
            </w:r>
          </w:p>
        </w:tc>
        <w:tc>
          <w:tcPr>
            <w:tcW w:type="dxa" w:w="4238"/>
            <w:vAlign w:val="center"/>
          </w:tcPr>
          <w:p>
            <w:pPr>
              <w:spacing w:after="30" w:before="30" w:line="230"/>
              <w:jc w:val="left"/>
            </w:pPr>
            <w:r>
              <w:rPr>
                <w:b w:val="false"/>
                <w:bCs w:val="false"/>
                <w:sz w:val="17"/>
                <w:szCs w:val="17"/>
              </w:rPr>
              <w:t xml:space="preserve">Betreiber beliefert Dritte vor Ort, Überschuss ins Netz</w:t>
            </w:r>
          </w:p>
        </w:tc>
        <w:tc>
          <w:tcPr>
            <w:tcW w:type="dxa" w:w="1000"/>
            <w:vAlign w:val="center"/>
          </w:tcPr>
          <w:p>
            <w:pPr>
              <w:spacing w:after="30" w:before="30" w:line="230"/>
              <w:jc w:val="center"/>
            </w:pPr>
            <w:r>
              <w:rPr>
                <w:b w:val="false"/>
                <w:bCs w:val="false"/>
                <w:sz w:val="17"/>
                <w:szCs w:val="17"/>
              </w:rPr>
              <w:t xml:space="preserve">2–3</w:t>
            </w:r>
          </w:p>
        </w:tc>
      </w:tr>
      <w:tr>
        <w:tc>
          <w:tcPr>
            <w:tcW w:type="dxa" w:w="2400"/>
            <w:shd w:fill="F2F5FA" w:color="auto" w:val="clear"/>
            <w:vAlign w:val="center"/>
          </w:tcPr>
          <w:p>
            <w:pPr>
              <w:spacing w:after="30" w:before="30" w:line="230"/>
              <w:jc w:val="left"/>
            </w:pPr>
            <w:r>
              <w:rPr>
                <w:b/>
                <w:bCs/>
                <w:sz w:val="17"/>
                <w:szCs w:val="17"/>
              </w:rPr>
              <w:t xml:space="preserve">PV-Mieten</w:t>
            </w:r>
          </w:p>
        </w:tc>
        <w:tc>
          <w:tcPr>
            <w:tcW w:type="dxa" w:w="1100"/>
            <w:shd w:fill="F2F5FA" w:color="auto" w:val="clear"/>
            <w:vAlign w:val="center"/>
          </w:tcPr>
          <w:p>
            <w:pPr>
              <w:spacing w:after="30" w:before="30" w:line="230"/>
              <w:jc w:val="center"/>
            </w:pPr>
            <w:r>
              <w:rPr>
                <w:b w:val="false"/>
                <w:bCs w:val="false"/>
                <w:sz w:val="17"/>
                <w:szCs w:val="17"/>
              </w:rPr>
              <w:t xml:space="preserve">1–11</w:t>
            </w:r>
          </w:p>
        </w:tc>
        <w:tc>
          <w:tcPr>
            <w:tcW w:type="dxa" w:w="900"/>
            <w:shd w:fill="F2F5FA" w:color="auto" w:val="clear"/>
            <w:vAlign w:val="center"/>
          </w:tcPr>
          <w:p>
            <w:pPr>
              <w:spacing w:after="30" w:before="30" w:line="230"/>
              <w:jc w:val="center"/>
            </w:pPr>
            <w:r>
              <w:rPr>
                <w:b w:val="false"/>
                <w:bCs w:val="false"/>
                <w:sz w:val="17"/>
                <w:szCs w:val="17"/>
              </w:rPr>
              <w:t xml:space="preserve">11</w:t>
            </w:r>
          </w:p>
        </w:tc>
        <w:tc>
          <w:tcPr>
            <w:tcW w:type="dxa" w:w="4238"/>
            <w:shd w:fill="F2F5FA" w:color="auto" w:val="clear"/>
            <w:vAlign w:val="center"/>
          </w:tcPr>
          <w:p>
            <w:pPr>
              <w:spacing w:after="30" w:before="30" w:line="230"/>
              <w:jc w:val="left"/>
            </w:pPr>
            <w:r>
              <w:rPr>
                <w:b w:val="false"/>
                <w:bCs w:val="false"/>
                <w:sz w:val="17"/>
                <w:szCs w:val="17"/>
              </w:rPr>
              <w:t xml:space="preserve">Investor vermietet die Anlage; der Mieter wird Betreiber</w:t>
            </w:r>
          </w:p>
        </w:tc>
        <w:tc>
          <w:tcPr>
            <w:tcW w:type="dxa" w:w="1000"/>
            <w:shd w:fill="F2F5FA" w:color="auto" w:val="clear"/>
            <w:vAlign w:val="center"/>
          </w:tcPr>
          <w:p>
            <w:pPr>
              <w:spacing w:after="30" w:before="30" w:line="230"/>
              <w:jc w:val="center"/>
            </w:pPr>
            <w:r>
              <w:rPr>
                <w:b w:val="false"/>
                <w:bCs w:val="false"/>
                <w:sz w:val="17"/>
                <w:szCs w:val="17"/>
              </w:rPr>
              <w:t xml:space="preserve">2–4</w:t>
            </w:r>
          </w:p>
        </w:tc>
      </w:tr>
      <w:tr>
        <w:tc>
          <w:tcPr>
            <w:tcW w:type="dxa" w:w="2400"/>
            <w:vAlign w:val="center"/>
          </w:tcPr>
          <w:p>
            <w:pPr>
              <w:spacing w:after="30" w:before="30" w:line="230"/>
              <w:jc w:val="left"/>
            </w:pPr>
            <w:r>
              <w:rPr>
                <w:b/>
                <w:bCs/>
                <w:sz w:val="17"/>
                <w:szCs w:val="17"/>
              </w:rPr>
              <w:t xml:space="preserve">PV-Teil-Mieten</w:t>
            </w:r>
          </w:p>
        </w:tc>
        <w:tc>
          <w:tcPr>
            <w:tcW w:type="dxa" w:w="1100"/>
            <w:vAlign w:val="center"/>
          </w:tcPr>
          <w:p>
            <w:pPr>
              <w:spacing w:after="30" w:before="30" w:line="230"/>
              <w:jc w:val="center"/>
            </w:pPr>
            <w:r>
              <w:rPr>
                <w:b w:val="false"/>
                <w:bCs w:val="false"/>
                <w:sz w:val="17"/>
                <w:szCs w:val="17"/>
              </w:rPr>
              <w:t xml:space="preserve">1–5</w:t>
            </w:r>
          </w:p>
        </w:tc>
        <w:tc>
          <w:tcPr>
            <w:tcW w:type="dxa" w:w="900"/>
            <w:vAlign w:val="center"/>
          </w:tcPr>
          <w:p>
            <w:pPr>
              <w:spacing w:after="30" w:before="30" w:line="230"/>
              <w:jc w:val="center"/>
            </w:pPr>
            <w:r>
              <w:rPr>
                <w:b w:val="false"/>
                <w:bCs w:val="false"/>
                <w:sz w:val="17"/>
                <w:szCs w:val="17"/>
              </w:rPr>
              <w:t xml:space="preserve">5</w:t>
            </w:r>
          </w:p>
        </w:tc>
        <w:tc>
          <w:tcPr>
            <w:tcW w:type="dxa" w:w="4238"/>
            <w:vAlign w:val="center"/>
          </w:tcPr>
          <w:p>
            <w:pPr>
              <w:spacing w:after="30" w:before="30" w:line="230"/>
              <w:jc w:val="left"/>
            </w:pPr>
            <w:r>
              <w:rPr>
                <w:b w:val="false"/>
                <w:bCs w:val="false"/>
                <w:sz w:val="17"/>
                <w:szCs w:val="17"/>
              </w:rPr>
              <w:t xml:space="preserve">Teilvermietung ideeller Anteile an Mitbetreiber</w:t>
            </w:r>
          </w:p>
        </w:tc>
        <w:tc>
          <w:tcPr>
            <w:tcW w:type="dxa" w:w="1000"/>
            <w:vAlign w:val="center"/>
          </w:tcPr>
          <w:p>
            <w:pPr>
              <w:spacing w:after="30" w:before="30" w:line="230"/>
              <w:jc w:val="center"/>
            </w:pPr>
            <w:r>
              <w:rPr>
                <w:b w:val="false"/>
                <w:bCs w:val="false"/>
                <w:sz w:val="17"/>
                <w:szCs w:val="17"/>
              </w:rPr>
              <w:t xml:space="preserve">2–3</w:t>
            </w:r>
          </w:p>
        </w:tc>
      </w:tr>
    </w:tbl>
    <w:p>
      <w:pPr>
        <w:spacing w:after="100"/>
      </w:pPr>
      <w:r>
        <w:rPr>
          <w:sz w:val="8"/>
          <w:szCs w:val="8"/>
        </w:rPr>
        <w:t xml:space="preserve"/>
      </w:r>
    </w:p>
    <w:p>
      <w:pPr>
        <w:pStyle w:val="Heading3"/>
      </w:pPr>
      <w:bookmarkStart w:id="900005" w:name="_Toc90000005"/>
      <w:r>
        <w:t xml:space="preserve">Legende: Rollen und Subtypen</w:t>
      </w:r>
      <w:bookmarkEnd w:id="900005"/>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000"/>
        <w:gridCol w:w="7638"/>
      </w:tblGrid>
      <w:tr>
        <w:trPr>
          <w:tblHeader/>
        </w:trPr>
        <w:tc>
          <w:tcPr>
            <w:tcW w:type="dxa" w:w="2000"/>
            <w:shd w:fill="1F3864" w:color="auto" w:val="clear"/>
            <w:vAlign w:val="center"/>
          </w:tcPr>
          <w:p>
            <w:pPr>
              <w:spacing w:after="30" w:before="30" w:line="230"/>
              <w:jc w:val="left"/>
            </w:pPr>
            <w:r>
              <w:rPr>
                <w:b/>
                <w:bCs/>
                <w:color w:val="FFFFFF"/>
                <w:sz w:val="17"/>
                <w:szCs w:val="17"/>
              </w:rPr>
              <w:t xml:space="preserve">Kürzel</w:t>
            </w:r>
          </w:p>
        </w:tc>
        <w:tc>
          <w:tcPr>
            <w:tcW w:type="dxa" w:w="7638"/>
            <w:shd w:fill="1F3864" w:color="auto" w:val="clear"/>
            <w:vAlign w:val="center"/>
          </w:tcPr>
          <w:p>
            <w:pPr>
              <w:spacing w:after="30" w:before="30" w:line="230"/>
              <w:jc w:val="left"/>
            </w:pPr>
            <w:r>
              <w:rPr>
                <w:b/>
                <w:bCs/>
                <w:color w:val="FFFFFF"/>
                <w:sz w:val="17"/>
                <w:szCs w:val="17"/>
              </w:rPr>
              <w:t xml:space="preserve">Bedeutung</w:t>
            </w:r>
          </w:p>
        </w:tc>
      </w:tr>
      <w:tr>
        <w:tc>
          <w:tcPr>
            <w:tcW w:type="dxa" w:w="2000"/>
            <w:vAlign w:val="center"/>
          </w:tcPr>
          <w:p>
            <w:pPr>
              <w:spacing w:after="30" w:before="30" w:line="230"/>
              <w:jc w:val="left"/>
            </w:pPr>
            <w:r>
              <w:rPr>
                <w:rFonts w:ascii="Consolas" w:cs="Consolas" w:eastAsia="Consolas" w:hAnsi="Consolas"/>
                <w:b/>
                <w:bCs/>
                <w:sz w:val="17"/>
                <w:szCs w:val="17"/>
              </w:rPr>
              <w:t xml:space="preserve">I</w:t>
            </w:r>
          </w:p>
        </w:tc>
        <w:tc>
          <w:tcPr>
            <w:tcW w:type="dxa" w:w="7638"/>
            <w:vAlign w:val="center"/>
          </w:tcPr>
          <w:p>
            <w:pPr>
              <w:spacing w:after="30" w:before="30" w:line="230"/>
              <w:jc w:val="left"/>
            </w:pPr>
            <w:r>
              <w:rPr>
                <w:sz w:val="17"/>
                <w:szCs w:val="17"/>
              </w:rPr>
              <w:t xml:space="preserve">Investor</w:t>
            </w:r>
          </w:p>
        </w:tc>
      </w:tr>
      <w:tr>
        <w:tc>
          <w:tcPr>
            <w:tcW w:type="dxa" w:w="2000"/>
            <w:shd w:fill="F2F5FA" w:color="auto" w:val="clear"/>
            <w:vAlign w:val="center"/>
          </w:tcPr>
          <w:p>
            <w:pPr>
              <w:spacing w:after="30" w:before="30" w:line="230"/>
              <w:jc w:val="left"/>
            </w:pPr>
            <w:r>
              <w:rPr>
                <w:rFonts w:ascii="Consolas" w:cs="Consolas" w:eastAsia="Consolas" w:hAnsi="Consolas"/>
                <w:b/>
                <w:bCs/>
                <w:sz w:val="17"/>
                <w:szCs w:val="17"/>
              </w:rPr>
              <w:t xml:space="preserve">B</w:t>
            </w:r>
          </w:p>
        </w:tc>
        <w:tc>
          <w:tcPr>
            <w:tcW w:type="dxa" w:w="7638"/>
            <w:shd w:fill="F2F5FA" w:color="auto" w:val="clear"/>
            <w:vAlign w:val="center"/>
          </w:tcPr>
          <w:p>
            <w:pPr>
              <w:spacing w:after="30" w:before="30" w:line="230"/>
              <w:jc w:val="left"/>
            </w:pPr>
            <w:r>
              <w:rPr>
                <w:sz w:val="17"/>
                <w:szCs w:val="17"/>
              </w:rPr>
              <w:t xml:space="preserve">Betreiber</w:t>
            </w:r>
          </w:p>
        </w:tc>
      </w:tr>
      <w:tr>
        <w:tc>
          <w:tcPr>
            <w:tcW w:type="dxa" w:w="2000"/>
            <w:vAlign w:val="center"/>
          </w:tcPr>
          <w:p>
            <w:pPr>
              <w:spacing w:after="30" w:before="30" w:line="230"/>
              <w:jc w:val="left"/>
            </w:pPr>
            <w:r>
              <w:rPr>
                <w:rFonts w:ascii="Consolas" w:cs="Consolas" w:eastAsia="Consolas" w:hAnsi="Consolas"/>
                <w:b/>
                <w:bCs/>
                <w:sz w:val="17"/>
                <w:szCs w:val="17"/>
              </w:rPr>
              <w:t xml:space="preserve">B_Haupt</w:t>
            </w:r>
          </w:p>
        </w:tc>
        <w:tc>
          <w:tcPr>
            <w:tcW w:type="dxa" w:w="7638"/>
            <w:vAlign w:val="center"/>
          </w:tcPr>
          <w:p>
            <w:pPr>
              <w:spacing w:after="30" w:before="30" w:line="230"/>
              <w:jc w:val="left"/>
            </w:pPr>
            <w:r>
              <w:rPr>
                <w:sz w:val="17"/>
                <w:szCs w:val="17"/>
              </w:rPr>
              <w:t xml:space="preserve">Hauptbetreiber</w:t>
            </w:r>
          </w:p>
        </w:tc>
      </w:tr>
      <w:tr>
        <w:tc>
          <w:tcPr>
            <w:tcW w:type="dxa" w:w="2000"/>
            <w:shd w:fill="F2F5FA" w:color="auto" w:val="clear"/>
            <w:vAlign w:val="center"/>
          </w:tcPr>
          <w:p>
            <w:pPr>
              <w:spacing w:after="30" w:before="30" w:line="230"/>
              <w:jc w:val="left"/>
            </w:pPr>
            <w:r>
              <w:rPr>
                <w:rFonts w:ascii="Consolas" w:cs="Consolas" w:eastAsia="Consolas" w:hAnsi="Consolas"/>
                <w:b/>
                <w:bCs/>
                <w:sz w:val="17"/>
                <w:szCs w:val="17"/>
              </w:rPr>
              <w:t xml:space="preserve">B_Mit</w:t>
            </w:r>
          </w:p>
        </w:tc>
        <w:tc>
          <w:tcPr>
            <w:tcW w:type="dxa" w:w="7638"/>
            <w:shd w:fill="F2F5FA" w:color="auto" w:val="clear"/>
            <w:vAlign w:val="center"/>
          </w:tcPr>
          <w:p>
            <w:pPr>
              <w:spacing w:after="30" w:before="30" w:line="230"/>
              <w:jc w:val="left"/>
            </w:pPr>
            <w:r>
              <w:rPr>
                <w:sz w:val="17"/>
                <w:szCs w:val="17"/>
              </w:rPr>
              <w:t xml:space="preserve">Mitbetreiber</w:t>
            </w:r>
          </w:p>
        </w:tc>
      </w:tr>
      <w:tr>
        <w:tc>
          <w:tcPr>
            <w:tcW w:type="dxa" w:w="2000"/>
            <w:vAlign w:val="center"/>
          </w:tcPr>
          <w:p>
            <w:pPr>
              <w:spacing w:after="30" w:before="30" w:line="230"/>
              <w:jc w:val="left"/>
            </w:pPr>
            <w:r>
              <w:rPr>
                <w:rFonts w:ascii="Consolas" w:cs="Consolas" w:eastAsia="Consolas" w:hAnsi="Consolas"/>
                <w:b/>
                <w:bCs/>
                <w:sz w:val="17"/>
                <w:szCs w:val="17"/>
              </w:rPr>
              <w:t xml:space="preserve">G</w:t>
            </w:r>
          </w:p>
        </w:tc>
        <w:tc>
          <w:tcPr>
            <w:tcW w:type="dxa" w:w="7638"/>
            <w:vAlign w:val="center"/>
          </w:tcPr>
          <w:p>
            <w:pPr>
              <w:spacing w:after="30" w:before="30" w:line="230"/>
              <w:jc w:val="left"/>
            </w:pPr>
            <w:r>
              <w:rPr>
                <w:sz w:val="17"/>
                <w:szCs w:val="17"/>
              </w:rPr>
              <w:t xml:space="preserve">Grund-/Gebäudeeigentümer</w:t>
            </w:r>
          </w:p>
        </w:tc>
      </w:tr>
      <w:tr>
        <w:tc>
          <w:tcPr>
            <w:tcW w:type="dxa" w:w="2000"/>
            <w:shd w:fill="F2F5FA" w:color="auto" w:val="clear"/>
            <w:vAlign w:val="center"/>
          </w:tcPr>
          <w:p>
            <w:pPr>
              <w:spacing w:after="30" w:before="30" w:line="230"/>
              <w:jc w:val="left"/>
            </w:pPr>
            <w:r>
              <w:rPr>
                <w:rFonts w:ascii="Consolas" w:cs="Consolas" w:eastAsia="Consolas" w:hAnsi="Consolas"/>
                <w:b/>
                <w:bCs/>
                <w:sz w:val="17"/>
                <w:szCs w:val="17"/>
              </w:rPr>
              <w:t xml:space="preserve">V_G</w:t>
            </w:r>
          </w:p>
        </w:tc>
        <w:tc>
          <w:tcPr>
            <w:tcW w:type="dxa" w:w="7638"/>
            <w:shd w:fill="F2F5FA" w:color="auto" w:val="clear"/>
            <w:vAlign w:val="center"/>
          </w:tcPr>
          <w:p>
            <w:pPr>
              <w:spacing w:after="30" w:before="30" w:line="230"/>
              <w:jc w:val="left"/>
            </w:pPr>
            <w:r>
              <w:rPr>
                <w:sz w:val="17"/>
                <w:szCs w:val="17"/>
              </w:rPr>
              <w:t xml:space="preserve">Verbraucher (Gebäudeeigentümer)</w:t>
            </w:r>
          </w:p>
        </w:tc>
      </w:tr>
      <w:tr>
        <w:tc>
          <w:tcPr>
            <w:tcW w:type="dxa" w:w="2000"/>
            <w:vAlign w:val="center"/>
          </w:tcPr>
          <w:p>
            <w:pPr>
              <w:spacing w:after="30" w:before="30" w:line="230"/>
              <w:jc w:val="left"/>
            </w:pPr>
            <w:r>
              <w:rPr>
                <w:rFonts w:ascii="Consolas" w:cs="Consolas" w:eastAsia="Consolas" w:hAnsi="Consolas"/>
                <w:b/>
                <w:bCs/>
                <w:sz w:val="17"/>
                <w:szCs w:val="17"/>
              </w:rPr>
              <w:t xml:space="preserve">V_M</w:t>
            </w:r>
          </w:p>
        </w:tc>
        <w:tc>
          <w:tcPr>
            <w:tcW w:type="dxa" w:w="7638"/>
            <w:vAlign w:val="center"/>
          </w:tcPr>
          <w:p>
            <w:pPr>
              <w:spacing w:after="30" w:before="30" w:line="230"/>
              <w:jc w:val="left"/>
            </w:pPr>
            <w:r>
              <w:rPr>
                <w:sz w:val="17"/>
                <w:szCs w:val="17"/>
              </w:rPr>
              <w:t xml:space="preserve">Verbraucher (Mieter im Gebäude) – in mehreren Modellen erweitert zu „Mieter im Gebäude/Nachbar“</w:t>
            </w:r>
          </w:p>
        </w:tc>
      </w:tr>
      <w:tr>
        <w:tc>
          <w:tcPr>
            <w:tcW w:type="dxa" w:w="2000"/>
            <w:shd w:fill="F2F5FA" w:color="auto" w:val="clear"/>
            <w:vAlign w:val="center"/>
          </w:tcPr>
          <w:p>
            <w:pPr>
              <w:spacing w:after="30" w:before="30" w:line="230"/>
              <w:jc w:val="left"/>
            </w:pPr>
            <w:r>
              <w:rPr>
                <w:rFonts w:ascii="Consolas" w:cs="Consolas" w:eastAsia="Consolas" w:hAnsi="Consolas"/>
                <w:b/>
                <w:bCs/>
                <w:sz w:val="17"/>
                <w:szCs w:val="17"/>
              </w:rPr>
              <w:t xml:space="preserve">V_W</w:t>
            </w:r>
          </w:p>
        </w:tc>
        <w:tc>
          <w:tcPr>
            <w:tcW w:type="dxa" w:w="7638"/>
            <w:shd w:fill="F2F5FA" w:color="auto" w:val="clear"/>
            <w:vAlign w:val="center"/>
          </w:tcPr>
          <w:p>
            <w:pPr>
              <w:spacing w:after="30" w:before="30" w:line="230"/>
              <w:jc w:val="left"/>
            </w:pPr>
            <w:r>
              <w:rPr>
                <w:sz w:val="17"/>
                <w:szCs w:val="17"/>
              </w:rPr>
              <w:t xml:space="preserve">Verbraucher (Weiterer)</w:t>
            </w:r>
          </w:p>
        </w:tc>
      </w:tr>
      <w:tr>
        <w:tc>
          <w:tcPr>
            <w:tcW w:type="dxa" w:w="2000"/>
            <w:vAlign w:val="center"/>
          </w:tcPr>
          <w:p>
            <w:pPr>
              <w:spacing w:after="30" w:before="30" w:line="230"/>
              <w:jc w:val="left"/>
            </w:pPr>
            <w:r>
              <w:rPr>
                <w:rFonts w:ascii="Consolas" w:cs="Consolas" w:eastAsia="Consolas" w:hAnsi="Consolas"/>
                <w:b/>
                <w:bCs/>
                <w:sz w:val="17"/>
                <w:szCs w:val="17"/>
              </w:rPr>
              <w:t xml:space="preserve">Verbraucher X</w:t>
            </w:r>
          </w:p>
        </w:tc>
        <w:tc>
          <w:tcPr>
            <w:tcW w:type="dxa" w:w="7638"/>
            <w:vAlign w:val="center"/>
          </w:tcPr>
          <w:p>
            <w:pPr>
              <w:spacing w:after="30" w:before="30" w:line="230"/>
              <w:jc w:val="left"/>
            </w:pPr>
            <w:r>
              <w:rPr>
                <w:sz w:val="17"/>
                <w:szCs w:val="17"/>
              </w:rPr>
              <w:t xml:space="preserve">keine Formelrolle, sondern die Diagrammbeschriftung für den anonymen Abnehmer des ins Netz eingespeisten Stroms</w:t>
            </w:r>
          </w:p>
        </w:tc>
      </w:tr>
    </w:tbl>
    <w:p>
      <w:pPr>
        <w:spacing w:after="100"/>
      </w:pPr>
      <w:r>
        <w:rPr>
          <w:sz w:val="8"/>
          <w:szCs w:val="8"/>
        </w:rPr>
        <w:t xml:space="preserve"/>
      </w:r>
    </w:p>
    <w:p>
      <w:pPr>
        <w:pStyle w:val="Heading3"/>
      </w:pPr>
      <w:bookmarkStart w:id="900006" w:name="_Toc90000006"/>
      <w:r>
        <w:t xml:space="preserve">Parteien- und Farbsystematik der Modellgrafiken</w:t>
      </w:r>
      <w:bookmarkEnd w:id="900006"/>
    </w:p>
    <w:p>
      <w:r>
        <w:t xml:space="preserve">Jeder Kasten der Formelzeile steht für eine </w:t>
      </w:r>
      <w:r>
        <w:rPr>
          <w:b/>
          <w:bCs/>
        </w:rPr>
        <w:t xml:space="preserve">eigenständige Partei</w:t>
      </w:r>
      <w:r>
        <w:t xml:space="preserve">; das Gleichheitszeichen bedeutet Personalunion. Die Farbe ordnet jede Rolle einer Partei zu – dieselbe Farbe erscheint in der Formelzeile, in den vier Rollenkacheln und im Gebäude-/Flächendiagramm [29]:</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000"/>
        <w:gridCol w:w="7638"/>
      </w:tblGrid>
      <w:tr>
        <w:trPr>
          <w:tblHeader/>
        </w:trPr>
        <w:tc>
          <w:tcPr>
            <w:tcW w:type="dxa" w:w="2000"/>
            <w:shd w:fill="1F3864" w:color="auto" w:val="clear"/>
            <w:vAlign w:val="center"/>
          </w:tcPr>
          <w:p>
            <w:pPr>
              <w:spacing w:after="30" w:before="30" w:line="230"/>
              <w:jc w:val="left"/>
            </w:pPr>
            <w:r>
              <w:rPr>
                <w:b/>
                <w:bCs/>
                <w:color w:val="FFFFFF"/>
                <w:sz w:val="17"/>
                <w:szCs w:val="17"/>
              </w:rPr>
              <w:t xml:space="preserve">Farbe</w:t>
            </w:r>
          </w:p>
        </w:tc>
        <w:tc>
          <w:tcPr>
            <w:tcW w:type="dxa" w:w="7638"/>
            <w:shd w:fill="1F3864" w:color="auto" w:val="clear"/>
            <w:vAlign w:val="center"/>
          </w:tcPr>
          <w:p>
            <w:pPr>
              <w:spacing w:after="30" w:before="30" w:line="230"/>
              <w:jc w:val="left"/>
            </w:pPr>
            <w:r>
              <w:rPr>
                <w:b/>
                <w:bCs/>
                <w:color w:val="FFFFFF"/>
                <w:sz w:val="17"/>
                <w:szCs w:val="17"/>
              </w:rPr>
              <w:t xml:space="preserve">Bedeutung</w:t>
            </w:r>
          </w:p>
        </w:tc>
      </w:tr>
      <w:tr>
        <w:tc>
          <w:tcPr>
            <w:tcW w:type="dxa" w:w="2000"/>
            <w:vAlign w:val="center"/>
          </w:tcPr>
          <w:p>
            <w:pPr>
              <w:spacing w:after="30" w:before="30" w:line="230"/>
              <w:jc w:val="left"/>
            </w:pPr>
            <w:r>
              <w:rPr>
                <w:b/>
                <w:bCs/>
                <w:sz w:val="17"/>
                <w:szCs w:val="17"/>
              </w:rPr>
              <w:t xml:space="preserve">Grün</w:t>
            </w:r>
          </w:p>
        </w:tc>
        <w:tc>
          <w:tcPr>
            <w:tcW w:type="dxa" w:w="7638"/>
            <w:vAlign w:val="center"/>
          </w:tcPr>
          <w:p>
            <w:pPr>
              <w:spacing w:after="30" w:before="30" w:line="230"/>
              <w:jc w:val="left"/>
            </w:pPr>
            <w:r>
              <w:rPr>
                <w:b w:val="false"/>
                <w:bCs w:val="false"/>
                <w:sz w:val="17"/>
                <w:szCs w:val="17"/>
              </w:rPr>
              <w:t xml:space="preserve">Rollen, die der </w:t>
            </w:r>
            <w:r>
              <w:rPr>
                <w:b/>
                <w:bCs/>
                <w:sz w:val="17"/>
                <w:szCs w:val="17"/>
              </w:rPr>
              <w:t xml:space="preserve">Investor</w:t>
            </w:r>
            <w:r>
              <w:rPr>
                <w:b w:val="false"/>
                <w:bCs w:val="false"/>
                <w:sz w:val="17"/>
                <w:szCs w:val="17"/>
              </w:rPr>
              <w:t xml:space="preserve"> selbst innehat (Investor-Partei)</w:t>
            </w:r>
          </w:p>
        </w:tc>
      </w:tr>
      <w:tr>
        <w:tc>
          <w:tcPr>
            <w:tcW w:type="dxa" w:w="2000"/>
            <w:shd w:fill="F2F5FA" w:color="auto" w:val="clear"/>
            <w:vAlign w:val="center"/>
          </w:tcPr>
          <w:p>
            <w:pPr>
              <w:spacing w:after="30" w:before="30" w:line="230"/>
              <w:jc w:val="left"/>
            </w:pPr>
            <w:r>
              <w:rPr>
                <w:b/>
                <w:bCs/>
                <w:sz w:val="17"/>
                <w:szCs w:val="17"/>
              </w:rPr>
              <w:t xml:space="preserve">Grau</w:t>
            </w:r>
          </w:p>
        </w:tc>
        <w:tc>
          <w:tcPr>
            <w:tcW w:type="dxa" w:w="7638"/>
            <w:shd w:fill="F2F5FA" w:color="auto" w:val="clear"/>
            <w:vAlign w:val="center"/>
          </w:tcPr>
          <w:p>
            <w:pPr>
              <w:spacing w:after="30" w:before="30" w:line="230"/>
              <w:jc w:val="left"/>
            </w:pPr>
            <w:r>
              <w:rPr>
                <w:b w:val="false"/>
                <w:bCs w:val="false"/>
                <w:sz w:val="17"/>
                <w:szCs w:val="17"/>
              </w:rPr>
              <w:t xml:space="preserve">zweite, vom Investor verschiedene Partei</w:t>
            </w:r>
          </w:p>
        </w:tc>
      </w:tr>
      <w:tr>
        <w:tc>
          <w:tcPr>
            <w:tcW w:type="dxa" w:w="2000"/>
            <w:vAlign w:val="center"/>
          </w:tcPr>
          <w:p>
            <w:pPr>
              <w:spacing w:after="30" w:before="30" w:line="230"/>
              <w:jc w:val="left"/>
            </w:pPr>
            <w:r>
              <w:rPr>
                <w:b/>
                <w:bCs/>
                <w:sz w:val="17"/>
                <w:szCs w:val="17"/>
              </w:rPr>
              <w:t xml:space="preserve">Gelb</w:t>
            </w:r>
          </w:p>
        </w:tc>
        <w:tc>
          <w:tcPr>
            <w:tcW w:type="dxa" w:w="7638"/>
            <w:vAlign w:val="center"/>
          </w:tcPr>
          <w:p>
            <w:pPr>
              <w:spacing w:after="30" w:before="30" w:line="230"/>
              <w:jc w:val="left"/>
            </w:pPr>
            <w:r>
              <w:rPr>
                <w:b w:val="false"/>
                <w:bCs w:val="false"/>
                <w:sz w:val="17"/>
                <w:szCs w:val="17"/>
              </w:rPr>
              <w:t xml:space="preserve">dritte Partei</w:t>
            </w:r>
          </w:p>
        </w:tc>
      </w:tr>
      <w:tr>
        <w:tc>
          <w:tcPr>
            <w:tcW w:type="dxa" w:w="2000"/>
            <w:shd w:fill="F2F5FA" w:color="auto" w:val="clear"/>
            <w:vAlign w:val="center"/>
          </w:tcPr>
          <w:p>
            <w:pPr>
              <w:spacing w:after="30" w:before="30" w:line="230"/>
              <w:jc w:val="left"/>
            </w:pPr>
            <w:r>
              <w:rPr>
                <w:b/>
                <w:bCs/>
                <w:sz w:val="17"/>
                <w:szCs w:val="17"/>
              </w:rPr>
              <w:t xml:space="preserve">Orange</w:t>
            </w:r>
          </w:p>
        </w:tc>
        <w:tc>
          <w:tcPr>
            <w:tcW w:type="dxa" w:w="7638"/>
            <w:shd w:fill="F2F5FA" w:color="auto" w:val="clear"/>
            <w:vAlign w:val="center"/>
          </w:tcPr>
          <w:p>
            <w:pPr>
              <w:spacing w:after="30" w:before="30" w:line="230"/>
              <w:jc w:val="left"/>
            </w:pPr>
            <w:r>
              <w:rPr>
                <w:b w:val="false"/>
                <w:bCs w:val="false"/>
                <w:sz w:val="17"/>
                <w:szCs w:val="17"/>
              </w:rPr>
              <w:t xml:space="preserve">vierte Partei (nur PV-Mieten 10 und 11)</w:t>
            </w:r>
          </w:p>
        </w:tc>
      </w:tr>
      <w:tr>
        <w:tc>
          <w:tcPr>
            <w:tcW w:type="dxa" w:w="2000"/>
            <w:vAlign w:val="center"/>
          </w:tcPr>
          <w:p>
            <w:pPr>
              <w:spacing w:after="30" w:before="30" w:line="230"/>
              <w:jc w:val="left"/>
            </w:pPr>
            <w:r>
              <w:rPr>
                <w:b/>
                <w:bCs/>
                <w:sz w:val="17"/>
                <w:szCs w:val="17"/>
              </w:rPr>
              <w:t xml:space="preserve">Rosa/Rot</w:t>
            </w:r>
          </w:p>
        </w:tc>
        <w:tc>
          <w:tcPr>
            <w:tcW w:type="dxa" w:w="7638"/>
            <w:vAlign w:val="center"/>
          </w:tcPr>
          <w:p>
            <w:pPr>
              <w:spacing w:after="30" w:before="30" w:line="230"/>
              <w:jc w:val="left"/>
            </w:pPr>
            <w:r>
              <w:rPr>
                <w:rFonts w:ascii="Consolas" w:cs="Consolas" w:eastAsia="Consolas" w:hAnsi="Consolas"/>
                <w:b/>
                <w:bCs/>
                <w:sz w:val="17"/>
                <w:szCs w:val="17"/>
              </w:rPr>
              <w:t xml:space="preserve">Verbraucher X</w:t>
            </w:r>
            <w:r>
              <w:rPr>
                <w:b w:val="false"/>
                <w:bCs w:val="false"/>
                <w:sz w:val="17"/>
                <w:szCs w:val="17"/>
              </w:rPr>
              <w:t xml:space="preserve"> – der anonyme Netzabnehmer</w:t>
            </w:r>
          </w:p>
        </w:tc>
      </w:tr>
    </w:tbl>
    <w:p>
      <w:pPr>
        <w:spacing w:after="100"/>
      </w:pPr>
      <w:r>
        <w:rPr>
          <w:sz w:val="8"/>
          <w:szCs w:val="8"/>
        </w:rPr>
        <w:t xml:space="preserve"/>
      </w:r>
    </w:p>
    <w:p>
      <w:r>
        <w:t xml:space="preserve">Drei Lesehilfen: </w:t>
      </w:r>
      <w:r>
        <w:rPr>
          <w:b/>
          <w:bCs/>
        </w:rPr>
        <w:t xml:space="preserve">Mehrere Symbole in einer Kachel</w:t>
      </w:r>
      <w:r>
        <w:t xml:space="preserve"> (zwei Hüte, zwei oder drei Stecker) zeigen an, dass eine Rolle von mehreren Parteien besetzt ist. Eine </w:t>
      </w:r>
      <w:r>
        <w:rPr>
          <w:b/>
          <w:bCs/>
        </w:rPr>
        <w:t xml:space="preserve">leere Kachel</w:t>
      </w:r>
      <w:r>
        <w:t xml:space="preserve"> bedeutet, dass die Rolle im Modell nicht besetzt ist – das kommt nur bei PV-Netz-Einspeisung 1 und 2 bei der Verbraucherrolle vor. Eine </w:t>
      </w:r>
      <w:r>
        <w:rPr>
          <w:b/>
          <w:bCs/>
        </w:rPr>
        <w:t xml:space="preserve">geteilt eingefärbte PV-Anlage</w:t>
      </w:r>
      <w:r>
        <w:t xml:space="preserve"> kennzeichnet die Teilvermietung und tritt bei PV-Mieten 5, 6, 8 und 10 sowie bei allen PV-Teil-Mieten auf.</w:t>
      </w:r>
    </w:p>
    <w:p>
      <w:pPr>
        <w:pStyle w:val="Heading3"/>
      </w:pPr>
      <w:bookmarkStart w:id="900007" w:name="_Toc90000007"/>
      <w:r>
        <w:t xml:space="preserve">Die 25 Modelle im Einzelnen</w:t>
      </w:r>
      <w:bookmarkEnd w:id="900007"/>
    </w:p>
    <w:p>
      <w:r>
        <w:t xml:space="preserve">In den folgenden Zitaten steht „…“ für die im Original wiederholte vollständige Rollenbezeichnung; die Sätze sind ansonsten wörtlich übernommen [29]. Die Spalte „Diagr.“ nennt die Nummer der Modellgrafik in der App – diese Nummerierung entspricht </w:t>
      </w:r>
      <w:r>
        <w:rPr>
          <w:b/>
          <w:bCs/>
        </w:rPr>
        <w:t xml:space="preserve">nicht</w:t>
      </w:r>
      <w:r>
        <w:t xml:space="preserve"> der Reihenfolge im Auswahlmenü (die Nummern 01, 04 und 05 werden von keinem Modell belegt; 01 ist die neutrale Vorlagengrafik).</w:t>
      </w:r>
    </w:p>
    <w:p>
      <w:pPr>
        <w:keepNext/>
        <w:spacing w:after="100" w:before="200"/>
      </w:pPr>
      <w:r>
        <w:rPr>
          <w:b/>
          <w:bCs/>
        </w:rPr>
        <w:t xml:space="preserve">Familie PV-Netz-Einspeisung</w:t>
      </w:r>
      <w:r>
        <w:t xml:space="preserve"> – typische Anwendung: Dachflächen ohne relevanten Eigenverbrauch, Kapitalanlagen, Anlagen mit Volleinspeisungszuschlag. Methodikprofil siehe M3.</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750"/>
        <w:gridCol w:w="700"/>
        <w:gridCol w:w="2250"/>
        <w:gridCol w:w="4938"/>
      </w:tblGrid>
      <w:tr>
        <w:trPr>
          <w:tblHeader/>
        </w:trPr>
        <w:tc>
          <w:tcPr>
            <w:tcW w:type="dxa" w:w="1750"/>
            <w:shd w:fill="1F3864" w:color="auto" w:val="clear"/>
            <w:vAlign w:val="center"/>
          </w:tcPr>
          <w:p>
            <w:pPr>
              <w:spacing w:after="30" w:before="30" w:line="230"/>
              <w:jc w:val="left"/>
            </w:pPr>
            <w:r>
              <w:rPr>
                <w:b/>
                <w:bCs/>
                <w:color w:val="FFFFFF"/>
                <w:sz w:val="16"/>
                <w:szCs w:val="16"/>
              </w:rPr>
              <w:t xml:space="preserve">Modell</w:t>
            </w:r>
          </w:p>
        </w:tc>
        <w:tc>
          <w:tcPr>
            <w:tcW w:type="dxa" w:w="700"/>
            <w:shd w:fill="1F3864" w:color="auto" w:val="clear"/>
            <w:vAlign w:val="center"/>
          </w:tcPr>
          <w:p>
            <w:pPr>
              <w:spacing w:after="30" w:before="30" w:line="230"/>
              <w:jc w:val="center"/>
            </w:pPr>
            <w:r>
              <w:rPr>
                <w:b/>
                <w:bCs/>
                <w:color w:val="FFFFFF"/>
                <w:sz w:val="16"/>
                <w:szCs w:val="16"/>
              </w:rPr>
              <w:t xml:space="preserve">Diagr.</w:t>
            </w:r>
          </w:p>
        </w:tc>
        <w:tc>
          <w:tcPr>
            <w:tcW w:type="dxa" w:w="2250"/>
            <w:shd w:fill="1F3864" w:color="auto" w:val="clear"/>
            <w:vAlign w:val="center"/>
          </w:tcPr>
          <w:p>
            <w:pPr>
              <w:spacing w:after="30" w:before="30" w:line="230"/>
              <w:jc w:val="left"/>
            </w:pPr>
            <w:r>
              <w:rPr>
                <w:b/>
                <w:bCs/>
                <w:color w:val="FFFFFF"/>
                <w:sz w:val="16"/>
                <w:szCs w:val="16"/>
              </w:rPr>
              <w:t xml:space="preserve">Rollenformel (Parteien)</w:t>
            </w:r>
          </w:p>
        </w:tc>
        <w:tc>
          <w:tcPr>
            <w:tcW w:type="dxa" w:w="4938"/>
            <w:shd w:fill="1F3864" w:color="auto" w:val="clear"/>
            <w:vAlign w:val="center"/>
          </w:tcPr>
          <w:p>
            <w:pPr>
              <w:spacing w:after="30" w:before="30" w:line="230"/>
              <w:jc w:val="left"/>
            </w:pPr>
            <w:r>
              <w:rPr>
                <w:b/>
                <w:bCs/>
                <w:color w:val="FFFFFF"/>
                <w:sz w:val="16"/>
                <w:szCs w:val="16"/>
              </w:rPr>
              <w:t xml:space="preserve">Wörtliche Beschreibung</w:t>
            </w:r>
          </w:p>
        </w:tc>
      </w:tr>
      <w:tr>
        <w:tc>
          <w:tcPr>
            <w:tcW w:type="dxa" w:w="1750"/>
            <w:vAlign w:val="center"/>
          </w:tcPr>
          <w:p>
            <w:pPr>
              <w:spacing w:after="30" w:before="30" w:line="230"/>
              <w:jc w:val="left"/>
            </w:pPr>
            <w:r>
              <w:rPr>
                <w:b/>
                <w:bCs/>
                <w:sz w:val="16"/>
                <w:szCs w:val="16"/>
              </w:rPr>
              <w:t xml:space="preserve">PV-Netz-Einspeisung 1</w:t>
            </w:r>
          </w:p>
        </w:tc>
        <w:tc>
          <w:tcPr>
            <w:tcW w:type="dxa" w:w="700"/>
            <w:vAlign w:val="center"/>
          </w:tcPr>
          <w:p>
            <w:pPr>
              <w:spacing w:after="30" w:before="30" w:line="230"/>
              <w:jc w:val="center"/>
            </w:pPr>
            <w:r>
              <w:rPr>
                <w:sz w:val="16"/>
                <w:szCs w:val="16"/>
              </w:rPr>
              <w:t xml:space="preserve">02</w:t>
            </w:r>
          </w:p>
        </w:tc>
        <w:tc>
          <w:tcPr>
            <w:tcW w:type="dxa" w:w="2250"/>
            <w:vAlign w:val="center"/>
          </w:tcPr>
          <w:p>
            <w:pPr>
              <w:spacing w:after="30" w:before="30" w:line="230"/>
              <w:jc w:val="left"/>
            </w:pPr>
            <w:r>
              <w:rPr>
                <w:rFonts w:ascii="Consolas" w:cs="Consolas" w:eastAsia="Consolas" w:hAnsi="Consolas"/>
                <w:b/>
                <w:bCs/>
                <w:sz w:val="16"/>
                <w:szCs w:val="16"/>
              </w:rPr>
              <w:t xml:space="preserve">I = B = G</w:t>
            </w:r>
            <w:r>
              <w:rPr>
                <w:sz w:val="16"/>
                <w:szCs w:val="16"/>
              </w:rPr>
              <w:t xml:space="preserve"> (1 Partei; Verbraucherrolle nicht besetzt)</w:t>
            </w:r>
          </w:p>
        </w:tc>
        <w:tc>
          <w:tcPr>
            <w:tcW w:type="dxa" w:w="4938"/>
            <w:vAlign w:val="center"/>
          </w:tcPr>
          <w:p>
            <w:pPr>
              <w:spacing w:after="30" w:before="30" w:line="230"/>
              <w:jc w:val="left"/>
            </w:pPr>
            <w:r>
              <w:rPr>
                <w:sz w:val="16"/>
                <w:szCs w:val="16"/>
              </w:rPr>
              <w:t xml:space="preserve">„Der Investor (Betreiber, Grund-/Gebäudeeigentümer) kauft und errichtet die Photovoltaikanlage auf der eigenen Dach-/Freifläche · … betreibt die Photovoltaikanlage · … nutzt den Solarstrom zur vollständigen Einspeisung ins Netz z.B. gegen Vergütung nach EEG.“ </w:t>
            </w:r>
            <w:r>
              <w:rPr>
                <w:b/>
                <w:bCs/>
                <w:sz w:val="16"/>
                <w:szCs w:val="16"/>
              </w:rPr>
              <w:t xml:space="preserve">→ im Fallbeispiel Teil C durchgerechnet</w:t>
            </w:r>
          </w:p>
        </w:tc>
      </w:tr>
      <w:tr>
        <w:tc>
          <w:tcPr>
            <w:tcW w:type="dxa" w:w="1750"/>
            <w:shd w:fill="F2F5FA" w:color="auto" w:val="clear"/>
            <w:vAlign w:val="center"/>
          </w:tcPr>
          <w:p>
            <w:pPr>
              <w:spacing w:after="30" w:before="30" w:line="230"/>
              <w:jc w:val="left"/>
            </w:pPr>
            <w:r>
              <w:rPr>
                <w:b/>
                <w:bCs/>
                <w:sz w:val="16"/>
                <w:szCs w:val="16"/>
              </w:rPr>
              <w:t xml:space="preserve">PV-Netz-Einspeisung 2</w:t>
            </w:r>
          </w:p>
        </w:tc>
        <w:tc>
          <w:tcPr>
            <w:tcW w:type="dxa" w:w="700"/>
            <w:shd w:fill="F2F5FA" w:color="auto" w:val="clear"/>
            <w:vAlign w:val="center"/>
          </w:tcPr>
          <w:p>
            <w:pPr>
              <w:spacing w:after="30" w:before="30" w:line="230"/>
              <w:jc w:val="center"/>
            </w:pPr>
            <w:r>
              <w:rPr>
                <w:sz w:val="16"/>
                <w:szCs w:val="16"/>
              </w:rPr>
              <w:t xml:space="preserve">03</w:t>
            </w:r>
          </w:p>
        </w:tc>
        <w:tc>
          <w:tcPr>
            <w:tcW w:type="dxa" w:w="2250"/>
            <w:shd w:fill="F2F5FA" w:color="auto" w:val="clear"/>
            <w:vAlign w:val="center"/>
          </w:tcPr>
          <w:p>
            <w:pPr>
              <w:spacing w:after="30" w:before="30" w:line="230"/>
              <w:jc w:val="left"/>
            </w:pPr>
            <w:r>
              <w:rPr>
                <w:rFonts w:ascii="Consolas" w:cs="Consolas" w:eastAsia="Consolas" w:hAnsi="Consolas"/>
                <w:b/>
                <w:bCs/>
                <w:sz w:val="16"/>
                <w:szCs w:val="16"/>
              </w:rPr>
              <w:t xml:space="preserve">I = B</w:t>
            </w:r>
            <w:r>
              <w:rPr>
                <w:sz w:val="16"/>
                <w:szCs w:val="16"/>
              </w:rPr>
              <w:t xml:space="preserve"> | </w:t>
            </w:r>
            <w:r>
              <w:rPr>
                <w:rFonts w:ascii="Consolas" w:cs="Consolas" w:eastAsia="Consolas" w:hAnsi="Consolas"/>
                <w:b/>
                <w:bCs/>
                <w:sz w:val="16"/>
                <w:szCs w:val="16"/>
              </w:rPr>
              <w:t xml:space="preserve">G</w:t>
            </w:r>
            <w:r>
              <w:rPr>
                <w:sz w:val="16"/>
                <w:szCs w:val="16"/>
              </w:rPr>
              <w:t xml:space="preserve"> (2 Parteien; Verbraucherrolle nicht besetzt)</w:t>
            </w:r>
          </w:p>
        </w:tc>
        <w:tc>
          <w:tcPr>
            <w:tcW w:type="dxa" w:w="4938"/>
            <w:shd w:fill="F2F5FA" w:color="auto" w:val="clear"/>
            <w:vAlign w:val="center"/>
          </w:tcPr>
          <w:p>
            <w:pPr>
              <w:spacing w:after="30" w:before="30" w:line="230"/>
              <w:jc w:val="left"/>
            </w:pPr>
            <w:r>
              <w:rPr>
                <w:sz w:val="16"/>
                <w:szCs w:val="16"/>
              </w:rPr>
              <w:t xml:space="preserve">„Der Investor (Betreiber) kauft und errichtet die Photovoltaikanlage auf einer fremden Dach-/Freifläche · Der Grund-/Gebäudeeigentümer gestattet dem Investor (Betreiber) die Nutzung der Fläche · … betreibt die Photovoltaikanlage · … nutzt den Solarstrom zur vollständigen Einspeisung ins Netz z.B. gegen Vergütung nach EEG.“</w:t>
            </w:r>
          </w:p>
        </w:tc>
      </w:tr>
    </w:tbl>
    <w:p>
      <w:pPr>
        <w:spacing w:after="100"/>
      </w:pPr>
      <w:r>
        <w:rPr>
          <w:sz w:val="8"/>
          <w:szCs w:val="8"/>
        </w:rPr>
        <w:t xml:space="preserve"/>
      </w:r>
    </w:p>
    <w:p>
      <w:pPr>
        <w:keepNext/>
        <w:spacing w:after="100" w:before="200"/>
      </w:pPr>
      <w:r>
        <w:rPr>
          <w:b/>
          <w:bCs/>
        </w:rPr>
        <w:t xml:space="preserve">Familie PV-Überschuss-Einspeisung</w:t>
      </w:r>
      <w:r>
        <w:t xml:space="preserve"> – typische Anwendung: der Standardfall für Eigenheim, Gewerbe und Landwirtschaft; Modell 2 für den gewerblichen Mieter auf gepachtetem Dach. Methodikprofil siehe M3.</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750"/>
        <w:gridCol w:w="700"/>
        <w:gridCol w:w="2250"/>
        <w:gridCol w:w="4938"/>
      </w:tblGrid>
      <w:tr>
        <w:trPr>
          <w:tblHeader/>
        </w:trPr>
        <w:tc>
          <w:tcPr>
            <w:tcW w:type="dxa" w:w="1750"/>
            <w:shd w:fill="1F3864" w:color="auto" w:val="clear"/>
            <w:vAlign w:val="center"/>
          </w:tcPr>
          <w:p>
            <w:pPr>
              <w:spacing w:after="30" w:before="30" w:line="230"/>
              <w:jc w:val="left"/>
            </w:pPr>
            <w:r>
              <w:rPr>
                <w:b/>
                <w:bCs/>
                <w:color w:val="FFFFFF"/>
                <w:sz w:val="16"/>
                <w:szCs w:val="16"/>
              </w:rPr>
              <w:t xml:space="preserve">Modell</w:t>
            </w:r>
          </w:p>
        </w:tc>
        <w:tc>
          <w:tcPr>
            <w:tcW w:type="dxa" w:w="700"/>
            <w:shd w:fill="1F3864" w:color="auto" w:val="clear"/>
            <w:vAlign w:val="center"/>
          </w:tcPr>
          <w:p>
            <w:pPr>
              <w:spacing w:after="30" w:before="30" w:line="230"/>
              <w:jc w:val="center"/>
            </w:pPr>
            <w:r>
              <w:rPr>
                <w:b/>
                <w:bCs/>
                <w:color w:val="FFFFFF"/>
                <w:sz w:val="16"/>
                <w:szCs w:val="16"/>
              </w:rPr>
              <w:t xml:space="preserve">Diagr.</w:t>
            </w:r>
          </w:p>
        </w:tc>
        <w:tc>
          <w:tcPr>
            <w:tcW w:type="dxa" w:w="2250"/>
            <w:shd w:fill="1F3864" w:color="auto" w:val="clear"/>
            <w:vAlign w:val="center"/>
          </w:tcPr>
          <w:p>
            <w:pPr>
              <w:spacing w:after="30" w:before="30" w:line="230"/>
              <w:jc w:val="left"/>
            </w:pPr>
            <w:r>
              <w:rPr>
                <w:b/>
                <w:bCs/>
                <w:color w:val="FFFFFF"/>
                <w:sz w:val="16"/>
                <w:szCs w:val="16"/>
              </w:rPr>
              <w:t xml:space="preserve">Rollenformel (Parteien)</w:t>
            </w:r>
          </w:p>
        </w:tc>
        <w:tc>
          <w:tcPr>
            <w:tcW w:type="dxa" w:w="4938"/>
            <w:shd w:fill="1F3864" w:color="auto" w:val="clear"/>
            <w:vAlign w:val="center"/>
          </w:tcPr>
          <w:p>
            <w:pPr>
              <w:spacing w:after="30" w:before="30" w:line="230"/>
              <w:jc w:val="left"/>
            </w:pPr>
            <w:r>
              <w:rPr>
                <w:b/>
                <w:bCs/>
                <w:color w:val="FFFFFF"/>
                <w:sz w:val="16"/>
                <w:szCs w:val="16"/>
              </w:rPr>
              <w:t xml:space="preserve">Wörtliche Beschreibung</w:t>
            </w:r>
          </w:p>
        </w:tc>
      </w:tr>
      <w:tr>
        <w:tc>
          <w:tcPr>
            <w:tcW w:type="dxa" w:w="1750"/>
            <w:vAlign w:val="center"/>
          </w:tcPr>
          <w:p>
            <w:pPr>
              <w:spacing w:after="30" w:before="30" w:line="230"/>
              <w:jc w:val="left"/>
            </w:pPr>
            <w:r>
              <w:rPr>
                <w:b/>
                <w:bCs/>
                <w:sz w:val="16"/>
                <w:szCs w:val="16"/>
              </w:rPr>
              <w:t xml:space="preserve">PV-Überschuss-Einspeisung 1</w:t>
            </w:r>
          </w:p>
        </w:tc>
        <w:tc>
          <w:tcPr>
            <w:tcW w:type="dxa" w:w="700"/>
            <w:vAlign w:val="center"/>
          </w:tcPr>
          <w:p>
            <w:pPr>
              <w:spacing w:after="30" w:before="30" w:line="230"/>
              <w:jc w:val="center"/>
            </w:pPr>
            <w:r>
              <w:rPr>
                <w:sz w:val="16"/>
                <w:szCs w:val="16"/>
              </w:rPr>
              <w:t xml:space="preserve">06</w:t>
            </w:r>
          </w:p>
        </w:tc>
        <w:tc>
          <w:tcPr>
            <w:tcW w:type="dxa" w:w="2250"/>
            <w:vAlign w:val="center"/>
          </w:tcPr>
          <w:p>
            <w:pPr>
              <w:spacing w:after="30" w:before="30" w:line="230"/>
              <w:jc w:val="left"/>
            </w:pPr>
            <w:r>
              <w:rPr>
                <w:rFonts w:ascii="Consolas" w:cs="Consolas" w:eastAsia="Consolas" w:hAnsi="Consolas"/>
                <w:b/>
                <w:bCs/>
                <w:sz w:val="16"/>
                <w:szCs w:val="16"/>
              </w:rPr>
              <w:t xml:space="preserve">I = B = G = V_G</w:t>
            </w:r>
            <w:r>
              <w:rPr>
                <w:sz w:val="16"/>
                <w:szCs w:val="16"/>
              </w:rPr>
              <w:t xml:space="preserve"> (1 Partei)</w:t>
            </w:r>
          </w:p>
        </w:tc>
        <w:tc>
          <w:tcPr>
            <w:tcW w:type="dxa" w:w="4938"/>
            <w:vAlign w:val="center"/>
          </w:tcPr>
          <w:p>
            <w:pPr>
              <w:spacing w:after="30" w:before="30" w:line="230"/>
              <w:jc w:val="left"/>
            </w:pPr>
            <w:r>
              <w:rPr>
                <w:sz w:val="16"/>
                <w:szCs w:val="16"/>
              </w:rPr>
              <w:t xml:space="preserve">„Der Investor (Betreiber, Grund-/Gebäudeeigentümer, Verbraucher) kauft und errichtet die Photovoltaikanlage auf der eigenen Dach-/Freifläche · … betreibt die Photovoltaikanlage · … nutzt den Solarstrom zum Eigenverbrauch · … speist den über den Eigenverbrauch hinausgehenden Solarstrom ins Netz (z.B. gegen EEG-Vergütung).“ </w:t>
            </w:r>
            <w:r>
              <w:rPr>
                <w:b/>
                <w:bCs/>
                <w:sz w:val="16"/>
                <w:szCs w:val="16"/>
              </w:rPr>
              <w:t xml:space="preserve">→ im Fallbeispiel Teil C durchgerechnet</w:t>
            </w:r>
          </w:p>
        </w:tc>
      </w:tr>
      <w:tr>
        <w:tc>
          <w:tcPr>
            <w:tcW w:type="dxa" w:w="1750"/>
            <w:shd w:fill="F2F5FA" w:color="auto" w:val="clear"/>
            <w:vAlign w:val="center"/>
          </w:tcPr>
          <w:p>
            <w:pPr>
              <w:spacing w:after="30" w:before="30" w:line="230"/>
              <w:jc w:val="left"/>
            </w:pPr>
            <w:r>
              <w:rPr>
                <w:b/>
                <w:bCs/>
                <w:sz w:val="16"/>
                <w:szCs w:val="16"/>
              </w:rPr>
              <w:t xml:space="preserve">PV-Überschuss-Einspeisung 2</w:t>
            </w:r>
          </w:p>
        </w:tc>
        <w:tc>
          <w:tcPr>
            <w:tcW w:type="dxa" w:w="700"/>
            <w:shd w:fill="F2F5FA" w:color="auto" w:val="clear"/>
            <w:vAlign w:val="center"/>
          </w:tcPr>
          <w:p>
            <w:pPr>
              <w:spacing w:after="30" w:before="30" w:line="230"/>
              <w:jc w:val="center"/>
            </w:pPr>
            <w:r>
              <w:rPr>
                <w:sz w:val="16"/>
                <w:szCs w:val="16"/>
              </w:rPr>
              <w:t xml:space="preserve">07</w:t>
            </w:r>
          </w:p>
        </w:tc>
        <w:tc>
          <w:tcPr>
            <w:tcW w:type="dxa" w:w="2250"/>
            <w:shd w:fill="F2F5FA" w:color="auto" w:val="clear"/>
            <w:vAlign w:val="center"/>
          </w:tcPr>
          <w:p>
            <w:pPr>
              <w:spacing w:after="30" w:before="30" w:line="230"/>
              <w:jc w:val="left"/>
            </w:pPr>
            <w:r>
              <w:rPr>
                <w:rFonts w:ascii="Consolas" w:cs="Consolas" w:eastAsia="Consolas" w:hAnsi="Consolas"/>
                <w:b/>
                <w:bCs/>
                <w:sz w:val="16"/>
                <w:szCs w:val="16"/>
              </w:rPr>
              <w:t xml:space="preserve">I = B = V_M</w:t>
            </w:r>
            <w:r>
              <w:rPr>
                <w:sz w:val="16"/>
                <w:szCs w:val="16"/>
              </w:rPr>
              <w:t xml:space="preserve"> | </w:t>
            </w:r>
            <w:r>
              <w:rPr>
                <w:rFonts w:ascii="Consolas" w:cs="Consolas" w:eastAsia="Consolas" w:hAnsi="Consolas"/>
                <w:b/>
                <w:bCs/>
                <w:sz w:val="16"/>
                <w:szCs w:val="16"/>
              </w:rPr>
              <w:t xml:space="preserve">G</w:t>
            </w:r>
            <w:r>
              <w:rPr>
                <w:sz w:val="16"/>
                <w:szCs w:val="16"/>
              </w:rPr>
              <w:t xml:space="preserve"> (2 Parteien)</w:t>
            </w:r>
          </w:p>
        </w:tc>
        <w:tc>
          <w:tcPr>
            <w:tcW w:type="dxa" w:w="4938"/>
            <w:shd w:fill="F2F5FA" w:color="auto" w:val="clear"/>
            <w:vAlign w:val="center"/>
          </w:tcPr>
          <w:p>
            <w:pPr>
              <w:spacing w:after="30" w:before="30" w:line="230"/>
              <w:jc w:val="left"/>
            </w:pPr>
            <w:r>
              <w:rPr>
                <w:sz w:val="16"/>
                <w:szCs w:val="16"/>
              </w:rPr>
              <w:t xml:space="preserve">„Der Investor (Betreiber, Verbraucher (Mieter im Gebäude)) kauft und errichtet die Photovoltaikanlage auf einer fremden Dach-/Freifläche · Der Grund-/Gebäudeeigentümer gestattet … die Nutzung der Fläche · … betreibt die PV-Anlage · … nutzt den Solarstrom zum Eigenverbrauch · … speist den über den Eigenverbrauch hinausgehenden Solarstrom ins Netz (z.B. gegen EEG-Vergütung).“</w:t>
            </w:r>
          </w:p>
        </w:tc>
      </w:tr>
    </w:tbl>
    <w:p>
      <w:pPr>
        <w:spacing w:after="100"/>
      </w:pPr>
      <w:r>
        <w:rPr>
          <w:sz w:val="8"/>
          <w:szCs w:val="8"/>
        </w:rPr>
        <w:t xml:space="preserve"/>
      </w:r>
    </w:p>
    <w:p>
      <w:pPr>
        <w:keepNext/>
        <w:spacing w:after="100" w:before="200"/>
      </w:pPr>
      <w:r>
        <w:rPr>
          <w:b/>
          <w:bCs/>
        </w:rPr>
        <w:t xml:space="preserve">Familie PV-Stromlieferung</w:t>
      </w:r>
      <w:r>
        <w:t xml:space="preserve"> – typische Anwendung: Mieterstrom, gemeinschaftliche Gebäudeversorgung, Belieferung von Gewerbemietern und Nachbarn. Methodikprofil siehe M3.</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750"/>
        <w:gridCol w:w="700"/>
        <w:gridCol w:w="2250"/>
        <w:gridCol w:w="4938"/>
      </w:tblGrid>
      <w:tr>
        <w:trPr>
          <w:tblHeader/>
        </w:trPr>
        <w:tc>
          <w:tcPr>
            <w:tcW w:type="dxa" w:w="1750"/>
            <w:shd w:fill="1F3864" w:color="auto" w:val="clear"/>
            <w:vAlign w:val="center"/>
          </w:tcPr>
          <w:p>
            <w:pPr>
              <w:spacing w:after="30" w:before="30" w:line="230"/>
              <w:jc w:val="left"/>
            </w:pPr>
            <w:r>
              <w:rPr>
                <w:b/>
                <w:bCs/>
                <w:color w:val="FFFFFF"/>
                <w:sz w:val="16"/>
                <w:szCs w:val="16"/>
              </w:rPr>
              <w:t xml:space="preserve">Modell</w:t>
            </w:r>
          </w:p>
        </w:tc>
        <w:tc>
          <w:tcPr>
            <w:tcW w:type="dxa" w:w="700"/>
            <w:shd w:fill="1F3864" w:color="auto" w:val="clear"/>
            <w:vAlign w:val="center"/>
          </w:tcPr>
          <w:p>
            <w:pPr>
              <w:spacing w:after="30" w:before="30" w:line="230"/>
              <w:jc w:val="center"/>
            </w:pPr>
            <w:r>
              <w:rPr>
                <w:b/>
                <w:bCs/>
                <w:color w:val="FFFFFF"/>
                <w:sz w:val="16"/>
                <w:szCs w:val="16"/>
              </w:rPr>
              <w:t xml:space="preserve">Diagr.</w:t>
            </w:r>
          </w:p>
        </w:tc>
        <w:tc>
          <w:tcPr>
            <w:tcW w:type="dxa" w:w="2250"/>
            <w:shd w:fill="1F3864" w:color="auto" w:val="clear"/>
            <w:vAlign w:val="center"/>
          </w:tcPr>
          <w:p>
            <w:pPr>
              <w:spacing w:after="30" w:before="30" w:line="230"/>
              <w:jc w:val="left"/>
            </w:pPr>
            <w:r>
              <w:rPr>
                <w:b/>
                <w:bCs/>
                <w:color w:val="FFFFFF"/>
                <w:sz w:val="16"/>
                <w:szCs w:val="16"/>
              </w:rPr>
              <w:t xml:space="preserve">Rollenformel (Parteien)</w:t>
            </w:r>
          </w:p>
        </w:tc>
        <w:tc>
          <w:tcPr>
            <w:tcW w:type="dxa" w:w="4938"/>
            <w:shd w:fill="1F3864" w:color="auto" w:val="clear"/>
            <w:vAlign w:val="center"/>
          </w:tcPr>
          <w:p>
            <w:pPr>
              <w:spacing w:after="30" w:before="30" w:line="230"/>
              <w:jc w:val="left"/>
            </w:pPr>
            <w:r>
              <w:rPr>
                <w:b/>
                <w:bCs/>
                <w:color w:val="FFFFFF"/>
                <w:sz w:val="16"/>
                <w:szCs w:val="16"/>
              </w:rPr>
              <w:t xml:space="preserve">Wörtliche Beschreibung</w:t>
            </w:r>
          </w:p>
        </w:tc>
      </w:tr>
      <w:tr>
        <w:tc>
          <w:tcPr>
            <w:tcW w:type="dxa" w:w="1750"/>
            <w:vAlign w:val="center"/>
          </w:tcPr>
          <w:p>
            <w:pPr>
              <w:spacing w:after="30" w:before="30" w:line="230"/>
              <w:jc w:val="left"/>
            </w:pPr>
            <w:r>
              <w:rPr>
                <w:b/>
                <w:bCs/>
                <w:sz w:val="16"/>
                <w:szCs w:val="16"/>
              </w:rPr>
              <w:t xml:space="preserve">PV-Stromlieferung 1</w:t>
            </w:r>
          </w:p>
        </w:tc>
        <w:tc>
          <w:tcPr>
            <w:tcW w:type="dxa" w:w="700"/>
            <w:vAlign w:val="center"/>
          </w:tcPr>
          <w:p>
            <w:pPr>
              <w:spacing w:after="30" w:before="30" w:line="230"/>
              <w:jc w:val="center"/>
            </w:pPr>
            <w:r>
              <w:rPr>
                <w:sz w:val="16"/>
                <w:szCs w:val="16"/>
              </w:rPr>
              <w:t xml:space="preserve">08</w:t>
            </w:r>
          </w:p>
        </w:tc>
        <w:tc>
          <w:tcPr>
            <w:tcW w:type="dxa" w:w="2250"/>
            <w:vAlign w:val="center"/>
          </w:tcPr>
          <w:p>
            <w:pPr>
              <w:spacing w:after="30" w:before="30" w:line="230"/>
              <w:jc w:val="left"/>
            </w:pPr>
            <w:r>
              <w:rPr>
                <w:rFonts w:ascii="Consolas" w:cs="Consolas" w:eastAsia="Consolas" w:hAnsi="Consolas"/>
                <w:b/>
                <w:bCs/>
                <w:sz w:val="16"/>
                <w:szCs w:val="16"/>
              </w:rPr>
              <w:t xml:space="preserve">I = B = G</w:t>
            </w:r>
            <w:r>
              <w:rPr>
                <w:sz w:val="16"/>
                <w:szCs w:val="16"/>
              </w:rPr>
              <w:t xml:space="preserve"> | </w:t>
            </w:r>
            <w:r>
              <w:rPr>
                <w:rFonts w:ascii="Consolas" w:cs="Consolas" w:eastAsia="Consolas" w:hAnsi="Consolas"/>
                <w:b/>
                <w:bCs/>
                <w:sz w:val="16"/>
                <w:szCs w:val="16"/>
              </w:rPr>
              <w:t xml:space="preserve">V_M</w:t>
            </w:r>
            <w:r>
              <w:rPr>
                <w:sz w:val="16"/>
                <w:szCs w:val="16"/>
              </w:rPr>
              <w:t xml:space="preserve"> (2 Parteien)</w:t>
            </w:r>
          </w:p>
        </w:tc>
        <w:tc>
          <w:tcPr>
            <w:tcW w:type="dxa" w:w="4938"/>
            <w:vAlign w:val="center"/>
          </w:tcPr>
          <w:p>
            <w:pPr>
              <w:spacing w:after="30" w:before="30" w:line="230"/>
              <w:jc w:val="left"/>
            </w:pPr>
            <w:r>
              <w:rPr>
                <w:sz w:val="16"/>
                <w:szCs w:val="16"/>
              </w:rPr>
              <w:t xml:space="preserve">„Der Investor (Betreiber, Grund-/Gebäudeeigentümer) kauft und errichtet die Photovoltaikanlage auf der eigenen Dach-/Freifläche · … betreibt die Photovoltaikanlage · … beliefert einen/mehrere Verbraucher (Mieter im Gebäude oder Nachbar) mit Solarstrom · Der Verbraucher … nutzt den Solarstrom zu den vereinbarten Konditionen · … speist den über die Lieferung hinausgehenden Solarstrom ins Netz (z.B. gegen EEG-Vergütung).“</w:t>
            </w:r>
          </w:p>
        </w:tc>
      </w:tr>
      <w:tr>
        <w:tc>
          <w:tcPr>
            <w:tcW w:type="dxa" w:w="1750"/>
            <w:shd w:fill="F2F5FA" w:color="auto" w:val="clear"/>
            <w:vAlign w:val="center"/>
          </w:tcPr>
          <w:p>
            <w:pPr>
              <w:spacing w:after="30" w:before="30" w:line="230"/>
              <w:jc w:val="left"/>
            </w:pPr>
            <w:r>
              <w:rPr>
                <w:b/>
                <w:bCs/>
                <w:sz w:val="16"/>
                <w:szCs w:val="16"/>
              </w:rPr>
              <w:t xml:space="preserve">PV-Stromlieferung 2</w:t>
            </w:r>
          </w:p>
        </w:tc>
        <w:tc>
          <w:tcPr>
            <w:tcW w:type="dxa" w:w="700"/>
            <w:shd w:fill="F2F5FA" w:color="auto" w:val="clear"/>
            <w:vAlign w:val="center"/>
          </w:tcPr>
          <w:p>
            <w:pPr>
              <w:spacing w:after="30" w:before="30" w:line="230"/>
              <w:jc w:val="center"/>
            </w:pPr>
            <w:r>
              <w:rPr>
                <w:sz w:val="16"/>
                <w:szCs w:val="16"/>
              </w:rPr>
              <w:t xml:space="preserve">09</w:t>
            </w:r>
          </w:p>
        </w:tc>
        <w:tc>
          <w:tcPr>
            <w:tcW w:type="dxa" w:w="2250"/>
            <w:shd w:fill="F2F5FA" w:color="auto" w:val="clear"/>
            <w:vAlign w:val="center"/>
          </w:tcPr>
          <w:p>
            <w:pPr>
              <w:spacing w:after="30" w:before="30" w:line="230"/>
              <w:jc w:val="left"/>
            </w:pPr>
            <w:r>
              <w:rPr>
                <w:rFonts w:ascii="Consolas" w:cs="Consolas" w:eastAsia="Consolas" w:hAnsi="Consolas"/>
                <w:b/>
                <w:bCs/>
                <w:sz w:val="16"/>
                <w:szCs w:val="16"/>
              </w:rPr>
              <w:t xml:space="preserve">I = B = G = V_G</w:t>
            </w:r>
            <w:r>
              <w:rPr>
                <w:sz w:val="16"/>
                <w:szCs w:val="16"/>
              </w:rPr>
              <w:t xml:space="preserve"> | </w:t>
            </w:r>
            <w:r>
              <w:rPr>
                <w:rFonts w:ascii="Consolas" w:cs="Consolas" w:eastAsia="Consolas" w:hAnsi="Consolas"/>
                <w:b/>
                <w:bCs/>
                <w:sz w:val="16"/>
                <w:szCs w:val="16"/>
              </w:rPr>
              <w:t xml:space="preserve">V_M</w:t>
            </w:r>
            <w:r>
              <w:rPr>
                <w:sz w:val="16"/>
                <w:szCs w:val="16"/>
              </w:rPr>
              <w:t xml:space="preserve"> (2 Parteien)</w:t>
            </w:r>
          </w:p>
        </w:tc>
        <w:tc>
          <w:tcPr>
            <w:tcW w:type="dxa" w:w="4938"/>
            <w:shd w:fill="F2F5FA" w:color="auto" w:val="clear"/>
            <w:vAlign w:val="center"/>
          </w:tcPr>
          <w:p>
            <w:pPr>
              <w:spacing w:after="30" w:before="30" w:line="230"/>
              <w:jc w:val="left"/>
            </w:pPr>
            <w:r>
              <w:rPr>
                <w:sz w:val="16"/>
                <w:szCs w:val="16"/>
              </w:rPr>
              <w:t xml:space="preserve">„Der Investor (Betreiber, Grund-/Gebäudeeigentümer, Verbraucher) kauft und errichtet die Photovoltaikanlage auf der eigenen Dach-/Freifläche · … betreibt die Photovoltaikanlage · … nutzt den Solarstrom zum Eigenverbrauch · … beliefert einen/mehrere Verbraucher (Mieter im Gebäude oder Nachbar) mit Strom · Der Verbraucher … nutzt den Solarstrom zu den vereinbarten Konditionen · … speist den über den Eigenverbrauch und die Lieferung hinausgehenden Solarstrom ins Netz (z.B. gegen EEG-Vergütung).“</w:t>
            </w:r>
          </w:p>
        </w:tc>
      </w:tr>
      <w:tr>
        <w:tc>
          <w:tcPr>
            <w:tcW w:type="dxa" w:w="1750"/>
            <w:vAlign w:val="center"/>
          </w:tcPr>
          <w:p>
            <w:pPr>
              <w:spacing w:after="30" w:before="30" w:line="230"/>
              <w:jc w:val="left"/>
            </w:pPr>
            <w:r>
              <w:rPr>
                <w:b/>
                <w:bCs/>
                <w:sz w:val="16"/>
                <w:szCs w:val="16"/>
              </w:rPr>
              <w:t xml:space="preserve">PV-Stromlieferung 3</w:t>
            </w:r>
          </w:p>
        </w:tc>
        <w:tc>
          <w:tcPr>
            <w:tcW w:type="dxa" w:w="700"/>
            <w:vAlign w:val="center"/>
          </w:tcPr>
          <w:p>
            <w:pPr>
              <w:spacing w:after="30" w:before="30" w:line="230"/>
              <w:jc w:val="center"/>
            </w:pPr>
            <w:r>
              <w:rPr>
                <w:sz w:val="16"/>
                <w:szCs w:val="16"/>
              </w:rPr>
              <w:t xml:space="preserve">10</w:t>
            </w:r>
          </w:p>
        </w:tc>
        <w:tc>
          <w:tcPr>
            <w:tcW w:type="dxa" w:w="2250"/>
            <w:vAlign w:val="center"/>
          </w:tcPr>
          <w:p>
            <w:pPr>
              <w:spacing w:after="30" w:before="30" w:line="230"/>
              <w:jc w:val="left"/>
            </w:pPr>
            <w:r>
              <w:rPr>
                <w:rFonts w:ascii="Consolas" w:cs="Consolas" w:eastAsia="Consolas" w:hAnsi="Consolas"/>
                <w:b/>
                <w:bCs/>
                <w:sz w:val="16"/>
                <w:szCs w:val="16"/>
              </w:rPr>
              <w:t xml:space="preserve">I = B</w:t>
            </w:r>
            <w:r>
              <w:rPr>
                <w:sz w:val="16"/>
                <w:szCs w:val="16"/>
              </w:rPr>
              <w:t xml:space="preserve"> | </w:t>
            </w:r>
            <w:r>
              <w:rPr>
                <w:rFonts w:ascii="Consolas" w:cs="Consolas" w:eastAsia="Consolas" w:hAnsi="Consolas"/>
                <w:b/>
                <w:bCs/>
                <w:sz w:val="16"/>
                <w:szCs w:val="16"/>
              </w:rPr>
              <w:t xml:space="preserve">G = V_G</w:t>
            </w:r>
            <w:r>
              <w:rPr>
                <w:sz w:val="16"/>
                <w:szCs w:val="16"/>
              </w:rPr>
              <w:t xml:space="preserve"> (2 Parteien)</w:t>
            </w:r>
          </w:p>
        </w:tc>
        <w:tc>
          <w:tcPr>
            <w:tcW w:type="dxa" w:w="4938"/>
            <w:vAlign w:val="center"/>
          </w:tcPr>
          <w:p>
            <w:pPr>
              <w:spacing w:after="30" w:before="30" w:line="230"/>
              <w:jc w:val="left"/>
            </w:pPr>
            <w:r>
              <w:rPr>
                <w:sz w:val="16"/>
                <w:szCs w:val="16"/>
              </w:rPr>
              <w:t xml:space="preserve">„Der Investor (Betreiber) kauft und errichtet die Photovoltaikanlage auf einer fremden Dach-/Freifläche · Der Grund-/Gebäudeeigentümer (Verbraucher) gestattet dem Investor (Betreiber) die Nutzung der Fläche · … betreibt die Photovoltaikanlage · … beliefert den Grund-/Gebäudeeigentümer (Verbraucher) mit Solarstrom · Der Grund-/Gebäudeeigentümer (Verbraucher) nutzt den Solarstrom zu den vereinbarten Konditionen · … speist den über die Lieferung hinausgehenden Solarstrom ins Netz (z.B. gegen EEG-Vergütung).“</w:t>
            </w:r>
          </w:p>
        </w:tc>
      </w:tr>
      <w:tr>
        <w:tc>
          <w:tcPr>
            <w:tcW w:type="dxa" w:w="1750"/>
            <w:shd w:fill="F2F5FA" w:color="auto" w:val="clear"/>
            <w:vAlign w:val="center"/>
          </w:tcPr>
          <w:p>
            <w:pPr>
              <w:spacing w:after="30" w:before="30" w:line="230"/>
              <w:jc w:val="left"/>
            </w:pPr>
            <w:r>
              <w:rPr>
                <w:b/>
                <w:bCs/>
                <w:sz w:val="16"/>
                <w:szCs w:val="16"/>
              </w:rPr>
              <w:t xml:space="preserve">PV-Stromlieferung 4</w:t>
            </w:r>
          </w:p>
        </w:tc>
        <w:tc>
          <w:tcPr>
            <w:tcW w:type="dxa" w:w="700"/>
            <w:shd w:fill="F2F5FA" w:color="auto" w:val="clear"/>
            <w:vAlign w:val="center"/>
          </w:tcPr>
          <w:p>
            <w:pPr>
              <w:spacing w:after="30" w:before="30" w:line="230"/>
              <w:jc w:val="center"/>
            </w:pPr>
            <w:r>
              <w:rPr>
                <w:sz w:val="16"/>
                <w:szCs w:val="16"/>
              </w:rPr>
              <w:t xml:space="preserve">11</w:t>
            </w:r>
          </w:p>
        </w:tc>
        <w:tc>
          <w:tcPr>
            <w:tcW w:type="dxa" w:w="2250"/>
            <w:shd w:fill="F2F5FA" w:color="auto" w:val="clear"/>
            <w:vAlign w:val="center"/>
          </w:tcPr>
          <w:p>
            <w:pPr>
              <w:spacing w:after="30" w:before="30" w:line="230"/>
              <w:jc w:val="left"/>
            </w:pPr>
            <w:r>
              <w:rPr>
                <w:rFonts w:ascii="Consolas" w:cs="Consolas" w:eastAsia="Consolas" w:hAnsi="Consolas"/>
                <w:b/>
                <w:bCs/>
                <w:sz w:val="16"/>
                <w:szCs w:val="16"/>
              </w:rPr>
              <w:t xml:space="preserve">I = B</w:t>
            </w:r>
            <w:r>
              <w:rPr>
                <w:sz w:val="16"/>
                <w:szCs w:val="16"/>
              </w:rPr>
              <w:t xml:space="preserve"> | </w:t>
            </w:r>
            <w:r>
              <w:rPr>
                <w:rFonts w:ascii="Consolas" w:cs="Consolas" w:eastAsia="Consolas" w:hAnsi="Consolas"/>
                <w:b/>
                <w:bCs/>
                <w:sz w:val="16"/>
                <w:szCs w:val="16"/>
              </w:rPr>
              <w:t xml:space="preserve">G</w:t>
            </w:r>
            <w:r>
              <w:rPr>
                <w:sz w:val="16"/>
                <w:szCs w:val="16"/>
              </w:rPr>
              <w:t xml:space="preserve"> | </w:t>
            </w:r>
            <w:r>
              <w:rPr>
                <w:rFonts w:ascii="Consolas" w:cs="Consolas" w:eastAsia="Consolas" w:hAnsi="Consolas"/>
                <w:b/>
                <w:bCs/>
                <w:sz w:val="16"/>
                <w:szCs w:val="16"/>
              </w:rPr>
              <w:t xml:space="preserve">V_M</w:t>
            </w:r>
            <w:r>
              <w:rPr>
                <w:sz w:val="16"/>
                <w:szCs w:val="16"/>
              </w:rPr>
              <w:t xml:space="preserve"> (3 Parteien)</w:t>
            </w:r>
          </w:p>
        </w:tc>
        <w:tc>
          <w:tcPr>
            <w:tcW w:type="dxa" w:w="4938"/>
            <w:shd w:fill="F2F5FA" w:color="auto" w:val="clear"/>
            <w:vAlign w:val="center"/>
          </w:tcPr>
          <w:p>
            <w:pPr>
              <w:spacing w:after="30" w:before="30" w:line="230"/>
              <w:jc w:val="left"/>
            </w:pPr>
            <w:r>
              <w:rPr>
                <w:sz w:val="16"/>
                <w:szCs w:val="16"/>
              </w:rPr>
              <w:t xml:space="preserve">„Der Investor (Betreiber) kauft und errichtet die Photovoltaikanlage auf einer fremden Dach-/Freifläche · Der Grund-/Gebäudeeigentümer gestattet dem Investor (Betreiber) die Nutzung der Fläche · … betreibt die Photovoltaikanlage · … beliefert einen/mehrere Verbraucher (Mieter im Gebäude oder Nachbar) mit Strom · Der Verbraucher … nutzt den Solarstrom zu den vereinbarten Konditionen · … speist den über die Lieferung hinausgehenden Solarstrom ins Netz (z.B. gegen EEG-Vergütung).“</w:t>
            </w:r>
          </w:p>
        </w:tc>
      </w:tr>
      <w:tr>
        <w:tc>
          <w:tcPr>
            <w:tcW w:type="dxa" w:w="1750"/>
            <w:vAlign w:val="center"/>
          </w:tcPr>
          <w:p>
            <w:pPr>
              <w:spacing w:after="30" w:before="30" w:line="230"/>
              <w:jc w:val="left"/>
            </w:pPr>
            <w:r>
              <w:rPr>
                <w:b/>
                <w:bCs/>
                <w:sz w:val="16"/>
                <w:szCs w:val="16"/>
              </w:rPr>
              <w:t xml:space="preserve">PV-Stromlieferung 5</w:t>
            </w:r>
          </w:p>
        </w:tc>
        <w:tc>
          <w:tcPr>
            <w:tcW w:type="dxa" w:w="700"/>
            <w:vAlign w:val="center"/>
          </w:tcPr>
          <w:p>
            <w:pPr>
              <w:spacing w:after="30" w:before="30" w:line="230"/>
              <w:jc w:val="center"/>
            </w:pPr>
            <w:r>
              <w:rPr>
                <w:sz w:val="16"/>
                <w:szCs w:val="16"/>
              </w:rPr>
              <w:t xml:space="preserve">12</w:t>
            </w:r>
          </w:p>
        </w:tc>
        <w:tc>
          <w:tcPr>
            <w:tcW w:type="dxa" w:w="2250"/>
            <w:vAlign w:val="center"/>
          </w:tcPr>
          <w:p>
            <w:pPr>
              <w:spacing w:after="30" w:before="30" w:line="230"/>
              <w:jc w:val="left"/>
            </w:pPr>
            <w:r>
              <w:rPr>
                <w:rFonts w:ascii="Consolas" w:cs="Consolas" w:eastAsia="Consolas" w:hAnsi="Consolas"/>
                <w:b/>
                <w:bCs/>
                <w:sz w:val="16"/>
                <w:szCs w:val="16"/>
              </w:rPr>
              <w:t xml:space="preserve">I = B</w:t>
            </w:r>
            <w:r>
              <w:rPr>
                <w:sz w:val="16"/>
                <w:szCs w:val="16"/>
              </w:rPr>
              <w:t xml:space="preserve"> | </w:t>
            </w:r>
            <w:r>
              <w:rPr>
                <w:rFonts w:ascii="Consolas" w:cs="Consolas" w:eastAsia="Consolas" w:hAnsi="Consolas"/>
                <w:b/>
                <w:bCs/>
                <w:sz w:val="16"/>
                <w:szCs w:val="16"/>
              </w:rPr>
              <w:t xml:space="preserve">G = V_G</w:t>
            </w:r>
            <w:r>
              <w:rPr>
                <w:sz w:val="16"/>
                <w:szCs w:val="16"/>
              </w:rPr>
              <w:t xml:space="preserve"> | </w:t>
            </w:r>
            <w:r>
              <w:rPr>
                <w:rFonts w:ascii="Consolas" w:cs="Consolas" w:eastAsia="Consolas" w:hAnsi="Consolas"/>
                <w:b/>
                <w:bCs/>
                <w:sz w:val="16"/>
                <w:szCs w:val="16"/>
              </w:rPr>
              <w:t xml:space="preserve">V_M</w:t>
            </w:r>
            <w:r>
              <w:rPr>
                <w:sz w:val="16"/>
                <w:szCs w:val="16"/>
              </w:rPr>
              <w:t xml:space="preserve"> (3 Parteien)</w:t>
            </w:r>
          </w:p>
        </w:tc>
        <w:tc>
          <w:tcPr>
            <w:tcW w:type="dxa" w:w="4938"/>
            <w:vAlign w:val="center"/>
          </w:tcPr>
          <w:p>
            <w:pPr>
              <w:spacing w:after="30" w:before="30" w:line="230"/>
              <w:jc w:val="left"/>
            </w:pPr>
            <w:r>
              <w:rPr>
                <w:sz w:val="16"/>
                <w:szCs w:val="16"/>
              </w:rPr>
              <w:t xml:space="preserve">„Der Investor (Betreiber) kauft und errichtet die Photovoltaikanlage auf einer fremden Dach-/Freifläche · Der Grund-/Gebäudeeigentümer (Verbraucher) gestattet … die Nutzung der Fläche · … betreibt die Photovoltaikanlage · … beliefert den Grund-/Gebäudeeigentümer (Verbraucher) mit Solarstrom · … beliefert einen/mehrere Verbraucher (Mieter im Gebäude oder Nachbar) mit Solarstrom · beide Verbraucher nutzen den Solarstrom zu den vereinbarten Konditionen · … speist den über die Lieferung hinausgehenden Solarstrom ins Netz (z.B. gegen EEG-Vergütung).“</w:t>
            </w:r>
          </w:p>
        </w:tc>
      </w:tr>
    </w:tbl>
    <w:p>
      <w:pPr>
        <w:spacing w:after="100"/>
      </w:pPr>
      <w:r>
        <w:rPr>
          <w:sz w:val="8"/>
          <w:szCs w:val="8"/>
        </w:rPr>
        <w:t xml:space="preserve"/>
      </w:r>
    </w:p>
    <w:p>
      <w:pPr>
        <w:keepNext/>
        <w:spacing w:after="100" w:before="200"/>
      </w:pPr>
      <w:r>
        <w:rPr>
          <w:b/>
          <w:bCs/>
        </w:rPr>
        <w:t xml:space="preserve">Familie PV-Mieten</w:t>
      </w:r>
      <w:r>
        <w:t xml:space="preserve"> – typische Anwendung: Kunden ohne Investitionsbereitschaft; Contracting-Anbieter, Stadtwerke und steueroptimierende Investoren als Vermieter der Anlage. Methodikprofil siehe M3.</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750"/>
        <w:gridCol w:w="700"/>
        <w:gridCol w:w="2250"/>
        <w:gridCol w:w="4938"/>
      </w:tblGrid>
      <w:tr>
        <w:trPr>
          <w:tblHeader/>
        </w:trPr>
        <w:tc>
          <w:tcPr>
            <w:tcW w:type="dxa" w:w="1750"/>
            <w:shd w:fill="1F3864" w:color="auto" w:val="clear"/>
            <w:vAlign w:val="center"/>
          </w:tcPr>
          <w:p>
            <w:pPr>
              <w:spacing w:after="30" w:before="30" w:line="230"/>
              <w:jc w:val="left"/>
            </w:pPr>
            <w:r>
              <w:rPr>
                <w:b/>
                <w:bCs/>
                <w:color w:val="FFFFFF"/>
                <w:sz w:val="16"/>
                <w:szCs w:val="16"/>
              </w:rPr>
              <w:t xml:space="preserve">Modell</w:t>
            </w:r>
          </w:p>
        </w:tc>
        <w:tc>
          <w:tcPr>
            <w:tcW w:type="dxa" w:w="700"/>
            <w:shd w:fill="1F3864" w:color="auto" w:val="clear"/>
            <w:vAlign w:val="center"/>
          </w:tcPr>
          <w:p>
            <w:pPr>
              <w:spacing w:after="30" w:before="30" w:line="230"/>
              <w:jc w:val="center"/>
            </w:pPr>
            <w:r>
              <w:rPr>
                <w:b/>
                <w:bCs/>
                <w:color w:val="FFFFFF"/>
                <w:sz w:val="16"/>
                <w:szCs w:val="16"/>
              </w:rPr>
              <w:t xml:space="preserve">Diagr.</w:t>
            </w:r>
          </w:p>
        </w:tc>
        <w:tc>
          <w:tcPr>
            <w:tcW w:type="dxa" w:w="2250"/>
            <w:shd w:fill="1F3864" w:color="auto" w:val="clear"/>
            <w:vAlign w:val="center"/>
          </w:tcPr>
          <w:p>
            <w:pPr>
              <w:spacing w:after="30" w:before="30" w:line="230"/>
              <w:jc w:val="left"/>
            </w:pPr>
            <w:r>
              <w:rPr>
                <w:b/>
                <w:bCs/>
                <w:color w:val="FFFFFF"/>
                <w:sz w:val="16"/>
                <w:szCs w:val="16"/>
              </w:rPr>
              <w:t xml:space="preserve">Rollenformel (Parteien)</w:t>
            </w:r>
          </w:p>
        </w:tc>
        <w:tc>
          <w:tcPr>
            <w:tcW w:type="dxa" w:w="4938"/>
            <w:shd w:fill="1F3864" w:color="auto" w:val="clear"/>
            <w:vAlign w:val="center"/>
          </w:tcPr>
          <w:p>
            <w:pPr>
              <w:spacing w:after="30" w:before="30" w:line="230"/>
              <w:jc w:val="left"/>
            </w:pPr>
            <w:r>
              <w:rPr>
                <w:b/>
                <w:bCs/>
                <w:color w:val="FFFFFF"/>
                <w:sz w:val="16"/>
                <w:szCs w:val="16"/>
              </w:rPr>
              <w:t xml:space="preserve">Wörtliche Beschreibung</w:t>
            </w:r>
          </w:p>
        </w:tc>
      </w:tr>
      <w:tr>
        <w:tc>
          <w:tcPr>
            <w:tcW w:type="dxa" w:w="1750"/>
            <w:vAlign w:val="center"/>
          </w:tcPr>
          <w:p>
            <w:pPr>
              <w:spacing w:after="30" w:before="30" w:line="230"/>
              <w:jc w:val="left"/>
            </w:pPr>
            <w:r>
              <w:rPr>
                <w:b/>
                <w:bCs/>
                <w:sz w:val="16"/>
                <w:szCs w:val="16"/>
              </w:rPr>
              <w:t xml:space="preserve">PV-Mieten 1</w:t>
            </w:r>
          </w:p>
        </w:tc>
        <w:tc>
          <w:tcPr>
            <w:tcW w:type="dxa" w:w="700"/>
            <w:vAlign w:val="center"/>
          </w:tcPr>
          <w:p>
            <w:pPr>
              <w:spacing w:after="30" w:before="30" w:line="230"/>
              <w:jc w:val="center"/>
            </w:pPr>
            <w:r>
              <w:rPr>
                <w:sz w:val="16"/>
                <w:szCs w:val="16"/>
              </w:rPr>
              <w:t xml:space="preserve">13</w:t>
            </w:r>
          </w:p>
        </w:tc>
        <w:tc>
          <w:tcPr>
            <w:tcW w:type="dxa" w:w="2250"/>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B = G = V_G</w:t>
            </w:r>
            <w:r>
              <w:rPr>
                <w:sz w:val="16"/>
                <w:szCs w:val="16"/>
              </w:rPr>
              <w:t xml:space="preserve"> (2 Parteien)</w:t>
            </w:r>
          </w:p>
        </w:tc>
        <w:tc>
          <w:tcPr>
            <w:tcW w:type="dxa" w:w="4938"/>
            <w:vAlign w:val="center"/>
          </w:tcPr>
          <w:p>
            <w:pPr>
              <w:spacing w:after="30" w:before="30" w:line="230"/>
              <w:jc w:val="left"/>
            </w:pPr>
            <w:r>
              <w:rPr>
                <w:sz w:val="16"/>
                <w:szCs w:val="16"/>
              </w:rPr>
              <w:t xml:space="preserve">„Der Investor kauft und errichtet die Photovoltaikanlage auf einer fremden Dach-/Freifläche · Der Betreiber (Grund-/Gebäudeeigentümer, Verbraucher) gestattet dem Investor die Nutzung der Fläche · Der Investor vermietet die Photovoltaikanlage an den Betreiber … · … betreibt die Photovoltaikanlage · … nutzt den Solarstrom zum Eigenverbrauch · … speist den über den Eigenverbrauch hinausgehenden Solarstrom ins Netz (z.B. gegen EEG-Vergütung).“</w:t>
            </w:r>
          </w:p>
        </w:tc>
      </w:tr>
      <w:tr>
        <w:tc>
          <w:tcPr>
            <w:tcW w:type="dxa" w:w="1750"/>
            <w:shd w:fill="F2F5FA" w:color="auto" w:val="clear"/>
            <w:vAlign w:val="center"/>
          </w:tcPr>
          <w:p>
            <w:pPr>
              <w:spacing w:after="30" w:before="30" w:line="230"/>
              <w:jc w:val="left"/>
            </w:pPr>
            <w:r>
              <w:rPr>
                <w:b/>
                <w:bCs/>
                <w:sz w:val="16"/>
                <w:szCs w:val="16"/>
              </w:rPr>
              <w:t xml:space="preserve">PV-Mieten 2</w:t>
            </w:r>
          </w:p>
        </w:tc>
        <w:tc>
          <w:tcPr>
            <w:tcW w:type="dxa" w:w="700"/>
            <w:shd w:fill="F2F5FA" w:color="auto" w:val="clear"/>
            <w:vAlign w:val="center"/>
          </w:tcPr>
          <w:p>
            <w:pPr>
              <w:spacing w:after="30" w:before="30" w:line="230"/>
              <w:jc w:val="center"/>
            </w:pPr>
            <w:r>
              <w:rPr>
                <w:sz w:val="16"/>
                <w:szCs w:val="16"/>
              </w:rPr>
              <w:t xml:space="preserve">14</w:t>
            </w:r>
          </w:p>
        </w:tc>
        <w:tc>
          <w:tcPr>
            <w:tcW w:type="dxa" w:w="2250"/>
            <w:shd w:fill="F2F5FA" w:color="auto" w:val="clear"/>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G</w:t>
            </w:r>
            <w:r>
              <w:rPr>
                <w:sz w:val="16"/>
                <w:szCs w:val="16"/>
              </w:rPr>
              <w:t xml:space="preserve"> | </w:t>
            </w:r>
            <w:r>
              <w:rPr>
                <w:rFonts w:ascii="Consolas" w:cs="Consolas" w:eastAsia="Consolas" w:hAnsi="Consolas"/>
                <w:b/>
                <w:bCs/>
                <w:sz w:val="16"/>
                <w:szCs w:val="16"/>
              </w:rPr>
              <w:t xml:space="preserve">B = V_M</w:t>
            </w:r>
            <w:r>
              <w:rPr>
                <w:sz w:val="16"/>
                <w:szCs w:val="16"/>
              </w:rPr>
              <w:t xml:space="preserve"> (3 Parteien)</w:t>
            </w:r>
          </w:p>
        </w:tc>
        <w:tc>
          <w:tcPr>
            <w:tcW w:type="dxa" w:w="4938"/>
            <w:shd w:fill="F2F5FA" w:color="auto" w:val="clear"/>
            <w:vAlign w:val="center"/>
          </w:tcPr>
          <w:p>
            <w:pPr>
              <w:spacing w:after="30" w:before="30" w:line="230"/>
              <w:jc w:val="left"/>
            </w:pPr>
            <w:r>
              <w:rPr>
                <w:sz w:val="16"/>
                <w:szCs w:val="16"/>
              </w:rPr>
              <w:t xml:space="preserve">„Der Investor kauft und errichtet die Photovoltaikanlage auf einer fremden Dach-/Freifläche · Der Grund-/Gebäudeeigentümer gestattet dem Investor die Nutzung der Fläche · Der Investor vermietet die Photovoltaikanlage an den Betreiber (Verbraucher (Mieter im Gebäude)) · … betreibt die Photovoltaikanlage · … nutzt den Solarstrom zum Eigenverbrauch · … speist den über den Eigenverbrauch hinausgehenden Solarstrom ins Netz (z.B. gegen EEG-Vergütung).“</w:t>
            </w:r>
          </w:p>
        </w:tc>
      </w:tr>
      <w:tr>
        <w:tc>
          <w:tcPr>
            <w:tcW w:type="dxa" w:w="1750"/>
            <w:vAlign w:val="center"/>
          </w:tcPr>
          <w:p>
            <w:pPr>
              <w:spacing w:after="30" w:before="30" w:line="230"/>
              <w:jc w:val="left"/>
            </w:pPr>
            <w:r>
              <w:rPr>
                <w:b/>
                <w:bCs/>
                <w:sz w:val="16"/>
                <w:szCs w:val="16"/>
              </w:rPr>
              <w:t xml:space="preserve">PV-Mieten 3</w:t>
            </w:r>
          </w:p>
        </w:tc>
        <w:tc>
          <w:tcPr>
            <w:tcW w:type="dxa" w:w="700"/>
            <w:vAlign w:val="center"/>
          </w:tcPr>
          <w:p>
            <w:pPr>
              <w:spacing w:after="30" w:before="30" w:line="230"/>
              <w:jc w:val="center"/>
            </w:pPr>
            <w:r>
              <w:rPr>
                <w:sz w:val="16"/>
                <w:szCs w:val="16"/>
              </w:rPr>
              <w:t xml:space="preserve">15</w:t>
            </w:r>
          </w:p>
        </w:tc>
        <w:tc>
          <w:tcPr>
            <w:tcW w:type="dxa" w:w="2250"/>
            <w:vAlign w:val="center"/>
          </w:tcPr>
          <w:p>
            <w:pPr>
              <w:spacing w:after="30" w:before="30" w:line="230"/>
              <w:jc w:val="left"/>
            </w:pPr>
            <w:r>
              <w:rPr>
                <w:rFonts w:ascii="Consolas" w:cs="Consolas" w:eastAsia="Consolas" w:hAnsi="Consolas"/>
                <w:b/>
                <w:bCs/>
                <w:sz w:val="16"/>
                <w:szCs w:val="16"/>
              </w:rPr>
              <w:t xml:space="preserve">I = G</w:t>
            </w:r>
            <w:r>
              <w:rPr>
                <w:sz w:val="16"/>
                <w:szCs w:val="16"/>
              </w:rPr>
              <w:t xml:space="preserve"> | </w:t>
            </w:r>
            <w:r>
              <w:rPr>
                <w:rFonts w:ascii="Consolas" w:cs="Consolas" w:eastAsia="Consolas" w:hAnsi="Consolas"/>
                <w:b/>
                <w:bCs/>
                <w:sz w:val="16"/>
                <w:szCs w:val="16"/>
              </w:rPr>
              <w:t xml:space="preserve">B = V_M</w:t>
            </w:r>
            <w:r>
              <w:rPr>
                <w:sz w:val="16"/>
                <w:szCs w:val="16"/>
              </w:rPr>
              <w:t xml:space="preserve"> (2 Parteien)</w:t>
            </w:r>
          </w:p>
        </w:tc>
        <w:tc>
          <w:tcPr>
            <w:tcW w:type="dxa" w:w="4938"/>
            <w:vAlign w:val="center"/>
          </w:tcPr>
          <w:p>
            <w:pPr>
              <w:spacing w:after="30" w:before="30" w:line="230"/>
              <w:jc w:val="left"/>
            </w:pPr>
            <w:r>
              <w:rPr>
                <w:sz w:val="16"/>
                <w:szCs w:val="16"/>
              </w:rPr>
              <w:t xml:space="preserve">„Der Investor (Grund-/Gebäudeeigentümer) kauft und errichtet die Photovoltaikanlage auf der eigenen Dach-/Freifläche · … vermietet die Photovoltaikanlage an einen Betreiber (Verbraucher (Mieter im Gebäude)) · … betreibt die Photovoltaikanlage · … nutzt den Solarstrom zum Eigenverbrauch · … speist den über den Eigenverbrauch hinausgehenden Solarstrom ins Netz (z.B. gegen EEG-Vergütung).“</w:t>
            </w:r>
          </w:p>
        </w:tc>
      </w:tr>
      <w:tr>
        <w:tc>
          <w:tcPr>
            <w:tcW w:type="dxa" w:w="1750"/>
            <w:shd w:fill="F2F5FA" w:color="auto" w:val="clear"/>
            <w:vAlign w:val="center"/>
          </w:tcPr>
          <w:p>
            <w:pPr>
              <w:spacing w:after="30" w:before="30" w:line="230"/>
              <w:jc w:val="left"/>
            </w:pPr>
            <w:r>
              <w:rPr>
                <w:b/>
                <w:bCs/>
                <w:sz w:val="16"/>
                <w:szCs w:val="16"/>
              </w:rPr>
              <w:t xml:space="preserve">PV-Mieten 4</w:t>
            </w:r>
          </w:p>
        </w:tc>
        <w:tc>
          <w:tcPr>
            <w:tcW w:type="dxa" w:w="700"/>
            <w:shd w:fill="F2F5FA" w:color="auto" w:val="clear"/>
            <w:vAlign w:val="center"/>
          </w:tcPr>
          <w:p>
            <w:pPr>
              <w:spacing w:after="30" w:before="30" w:line="230"/>
              <w:jc w:val="center"/>
            </w:pPr>
            <w:r>
              <w:rPr>
                <w:sz w:val="16"/>
                <w:szCs w:val="16"/>
              </w:rPr>
              <w:t xml:space="preserve">16</w:t>
            </w:r>
          </w:p>
        </w:tc>
        <w:tc>
          <w:tcPr>
            <w:tcW w:type="dxa" w:w="2250"/>
            <w:shd w:fill="F2F5FA" w:color="auto" w:val="clear"/>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B = G</w:t>
            </w:r>
            <w:r>
              <w:rPr>
                <w:sz w:val="16"/>
                <w:szCs w:val="16"/>
              </w:rPr>
              <w:t xml:space="preserve"> | </w:t>
            </w:r>
            <w:r>
              <w:rPr>
                <w:rFonts w:ascii="Consolas" w:cs="Consolas" w:eastAsia="Consolas" w:hAnsi="Consolas"/>
                <w:b/>
                <w:bCs/>
                <w:sz w:val="16"/>
                <w:szCs w:val="16"/>
              </w:rPr>
              <w:t xml:space="preserve">V_M</w:t>
            </w:r>
            <w:r>
              <w:rPr>
                <w:sz w:val="16"/>
                <w:szCs w:val="16"/>
              </w:rPr>
              <w:t xml:space="preserve"> (3 Parteien)</w:t>
            </w:r>
          </w:p>
        </w:tc>
        <w:tc>
          <w:tcPr>
            <w:tcW w:type="dxa" w:w="4938"/>
            <w:shd w:fill="F2F5FA" w:color="auto" w:val="clear"/>
            <w:vAlign w:val="center"/>
          </w:tcPr>
          <w:p>
            <w:pPr>
              <w:spacing w:after="30" w:before="30" w:line="230"/>
              <w:jc w:val="left"/>
            </w:pPr>
            <w:r>
              <w:rPr>
                <w:sz w:val="16"/>
                <w:szCs w:val="16"/>
              </w:rPr>
              <w:t xml:space="preserve">„Der Investor kauft und errichtet die Photovoltaikanlage auf einer fremden Dach-/Freifläche · Der Betreiber (Grund-/Gebäudeeigentümer) gestattet dem Investor die Nutzung der Fläche · Der Investor vermietet die Photovoltaikanlage an den Betreiber (Grund-/Gebäudeeigentümer) · … betreibt die Photovoltaikanlage · … beliefert einen/mehrere Verbraucher (Mieter im Gebäude oder Nachbar) mit Solarstrom · Der Verbraucher … nutzt den Solarstrom zu den vereinbarten Konditionen · … speist den über die Lieferung hinausgehenden Solarstrom ins Netz (z.B. gegen EEG-Vergütung).“</w:t>
            </w:r>
          </w:p>
        </w:tc>
      </w:tr>
      <w:tr>
        <w:tc>
          <w:tcPr>
            <w:tcW w:type="dxa" w:w="1750"/>
            <w:vAlign w:val="center"/>
          </w:tcPr>
          <w:p>
            <w:pPr>
              <w:spacing w:after="30" w:before="30" w:line="230"/>
              <w:jc w:val="left"/>
            </w:pPr>
            <w:r>
              <w:rPr>
                <w:b/>
                <w:bCs/>
                <w:sz w:val="16"/>
                <w:szCs w:val="16"/>
              </w:rPr>
              <w:t xml:space="preserve">PV-Mieten 5</w:t>
            </w:r>
          </w:p>
        </w:tc>
        <w:tc>
          <w:tcPr>
            <w:tcW w:type="dxa" w:w="700"/>
            <w:vAlign w:val="center"/>
          </w:tcPr>
          <w:p>
            <w:pPr>
              <w:spacing w:after="30" w:before="30" w:line="230"/>
              <w:jc w:val="center"/>
            </w:pPr>
            <w:r>
              <w:rPr>
                <w:sz w:val="16"/>
                <w:szCs w:val="16"/>
              </w:rPr>
              <w:t xml:space="preserve">17</w:t>
            </w:r>
          </w:p>
        </w:tc>
        <w:tc>
          <w:tcPr>
            <w:tcW w:type="dxa" w:w="2250"/>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B_Haupt = G</w:t>
            </w:r>
            <w:r>
              <w:rPr>
                <w:sz w:val="16"/>
                <w:szCs w:val="16"/>
              </w:rPr>
              <w:t xml:space="preserve"> | </w:t>
            </w:r>
            <w:r>
              <w:rPr>
                <w:rFonts w:ascii="Consolas" w:cs="Consolas" w:eastAsia="Consolas" w:hAnsi="Consolas"/>
                <w:b/>
                <w:bCs/>
                <w:sz w:val="16"/>
                <w:szCs w:val="16"/>
              </w:rPr>
              <w:t xml:space="preserve">V_M = B_Mit</w:t>
            </w:r>
            <w:r>
              <w:rPr>
                <w:sz w:val="16"/>
                <w:szCs w:val="16"/>
              </w:rPr>
              <w:t xml:space="preserve"> (3 Parteien)</w:t>
            </w:r>
          </w:p>
        </w:tc>
        <w:tc>
          <w:tcPr>
            <w:tcW w:type="dxa" w:w="4938"/>
            <w:vAlign w:val="center"/>
          </w:tcPr>
          <w:p>
            <w:pPr>
              <w:spacing w:after="30" w:before="30" w:line="230"/>
              <w:jc w:val="left"/>
            </w:pPr>
            <w:r>
              <w:rPr>
                <w:sz w:val="16"/>
                <w:szCs w:val="16"/>
              </w:rPr>
              <w:t xml:space="preserve">„Der Investor kauft und errichtet die Photovoltaikanlage auf einer fremden Dach-/Freifläche · Der Hauptbetreiber (Grund-/Gebäudeeigentümer) gestattet dem Investor die Nutzung der Fläche · Der Investor vermietet die Photovoltaikanlage an den Hauptbetreiber … · … betreibt die Photovoltaikanlage · … teilvermietet die Photovoltaikanlage an einen Mitbetreiber (Verbraucher (Mieter im Gebäude oder Nachbar)) · Der Mitbetreiber … nutzt den Solarstrom zum Eigenverbrauch · Der Hauptbetreiber … speist den über den Eigenverbrauch hinausgehenden Solarstrom ins Netz (z.B. gegen EEG-Vergütung).“</w:t>
            </w:r>
          </w:p>
        </w:tc>
      </w:tr>
      <w:tr>
        <w:tc>
          <w:tcPr>
            <w:tcW w:type="dxa" w:w="1750"/>
            <w:shd w:fill="F2F5FA" w:color="auto" w:val="clear"/>
            <w:vAlign w:val="center"/>
          </w:tcPr>
          <w:p>
            <w:pPr>
              <w:spacing w:after="30" w:before="30" w:line="230"/>
              <w:jc w:val="left"/>
            </w:pPr>
            <w:r>
              <w:rPr>
                <w:b/>
                <w:bCs/>
                <w:sz w:val="16"/>
                <w:szCs w:val="16"/>
              </w:rPr>
              <w:t xml:space="preserve">PV-Mieten 6</w:t>
            </w:r>
          </w:p>
        </w:tc>
        <w:tc>
          <w:tcPr>
            <w:tcW w:type="dxa" w:w="700"/>
            <w:shd w:fill="F2F5FA" w:color="auto" w:val="clear"/>
            <w:vAlign w:val="center"/>
          </w:tcPr>
          <w:p>
            <w:pPr>
              <w:spacing w:after="30" w:before="30" w:line="230"/>
              <w:jc w:val="center"/>
            </w:pPr>
            <w:r>
              <w:rPr>
                <w:sz w:val="16"/>
                <w:szCs w:val="16"/>
              </w:rPr>
              <w:t xml:space="preserve">18</w:t>
            </w:r>
          </w:p>
        </w:tc>
        <w:tc>
          <w:tcPr>
            <w:tcW w:type="dxa" w:w="2250"/>
            <w:shd w:fill="F2F5FA" w:color="auto" w:val="clear"/>
            <w:vAlign w:val="center"/>
          </w:tcPr>
          <w:p>
            <w:pPr>
              <w:spacing w:after="30" w:before="30" w:line="230"/>
              <w:jc w:val="left"/>
            </w:pPr>
            <w:r>
              <w:rPr>
                <w:rFonts w:ascii="Consolas" w:cs="Consolas" w:eastAsia="Consolas" w:hAnsi="Consolas"/>
                <w:b/>
                <w:bCs/>
                <w:sz w:val="16"/>
                <w:szCs w:val="16"/>
              </w:rPr>
              <w:t xml:space="preserve">I = G</w:t>
            </w:r>
            <w:r>
              <w:rPr>
                <w:sz w:val="16"/>
                <w:szCs w:val="16"/>
              </w:rPr>
              <w:t xml:space="preserve"> | </w:t>
            </w:r>
            <w:r>
              <w:rPr>
                <w:rFonts w:ascii="Consolas" w:cs="Consolas" w:eastAsia="Consolas" w:hAnsi="Consolas"/>
                <w:b/>
                <w:bCs/>
                <w:sz w:val="16"/>
                <w:szCs w:val="16"/>
              </w:rPr>
              <w:t xml:space="preserve">B_Haupt = V_M</w:t>
            </w:r>
            <w:r>
              <w:rPr>
                <w:sz w:val="16"/>
                <w:szCs w:val="16"/>
              </w:rPr>
              <w:t xml:space="preserve"> | </w:t>
            </w:r>
            <w:r>
              <w:rPr>
                <w:rFonts w:ascii="Consolas" w:cs="Consolas" w:eastAsia="Consolas" w:hAnsi="Consolas"/>
                <w:b/>
                <w:bCs/>
                <w:sz w:val="16"/>
                <w:szCs w:val="16"/>
              </w:rPr>
              <w:t xml:space="preserve">V_W = B_Mit</w:t>
            </w:r>
            <w:r>
              <w:rPr>
                <w:sz w:val="16"/>
                <w:szCs w:val="16"/>
              </w:rPr>
              <w:t xml:space="preserve"> (3 Parteien)</w:t>
            </w:r>
          </w:p>
        </w:tc>
        <w:tc>
          <w:tcPr>
            <w:tcW w:type="dxa" w:w="4938"/>
            <w:shd w:fill="F2F5FA" w:color="auto" w:val="clear"/>
            <w:vAlign w:val="center"/>
          </w:tcPr>
          <w:p>
            <w:pPr>
              <w:spacing w:after="30" w:before="30" w:line="230"/>
              <w:jc w:val="left"/>
            </w:pPr>
            <w:r>
              <w:rPr>
                <w:sz w:val="16"/>
                <w:szCs w:val="16"/>
              </w:rPr>
              <w:t xml:space="preserve">„Der Investor (Grund-/Gebäudeeigentümer) kauft und errichtet die Photovoltaikanlage auf der eigenen Dach-/Freifläche · … vermietet die Photovoltaikanlage an einen Hauptbetreiber (Verbraucher (Mieter im Gebäude)) · … betreibt die Photovoltaikanlage · … nutzt den Solarstrom zum Eigenverbrauch · … teilvermietet die Photovoltaikanlage an einen Mitbetreiber (weitere Verbraucher (Mieter im Gebäude oder Nachbar) · Der Mitbetreiber … nutzt den Solarstrom zum Eigenverbrauch · Der Hauptbetreiber … speist den über den Eigenverbrauch hinausgehenden Solarstrom ins Netz (z.B. gegen EEG-Vergütung).“</w:t>
            </w:r>
          </w:p>
        </w:tc>
      </w:tr>
      <w:tr>
        <w:tc>
          <w:tcPr>
            <w:tcW w:type="dxa" w:w="1750"/>
            <w:vAlign w:val="center"/>
          </w:tcPr>
          <w:p>
            <w:pPr>
              <w:spacing w:after="30" w:before="30" w:line="230"/>
              <w:jc w:val="left"/>
            </w:pPr>
            <w:r>
              <w:rPr>
                <w:b/>
                <w:bCs/>
                <w:sz w:val="16"/>
                <w:szCs w:val="16"/>
              </w:rPr>
              <w:t xml:space="preserve">PV-Mieten 7</w:t>
            </w:r>
          </w:p>
        </w:tc>
        <w:tc>
          <w:tcPr>
            <w:tcW w:type="dxa" w:w="700"/>
            <w:vAlign w:val="center"/>
          </w:tcPr>
          <w:p>
            <w:pPr>
              <w:spacing w:after="30" w:before="30" w:line="230"/>
              <w:jc w:val="center"/>
            </w:pPr>
            <w:r>
              <w:rPr>
                <w:sz w:val="16"/>
                <w:szCs w:val="16"/>
              </w:rPr>
              <w:t xml:space="preserve">19</w:t>
            </w:r>
          </w:p>
        </w:tc>
        <w:tc>
          <w:tcPr>
            <w:tcW w:type="dxa" w:w="2250"/>
            <w:vAlign w:val="center"/>
          </w:tcPr>
          <w:p>
            <w:pPr>
              <w:spacing w:after="30" w:before="30" w:line="230"/>
              <w:jc w:val="left"/>
            </w:pPr>
            <w:r>
              <w:rPr>
                <w:rFonts w:ascii="Consolas" w:cs="Consolas" w:eastAsia="Consolas" w:hAnsi="Consolas"/>
                <w:b/>
                <w:bCs/>
                <w:sz w:val="16"/>
                <w:szCs w:val="16"/>
              </w:rPr>
              <w:t xml:space="preserve">I = G</w:t>
            </w:r>
            <w:r>
              <w:rPr>
                <w:sz w:val="16"/>
                <w:szCs w:val="16"/>
              </w:rPr>
              <w:t xml:space="preserve"> | </w:t>
            </w:r>
            <w:r>
              <w:rPr>
                <w:rFonts w:ascii="Consolas" w:cs="Consolas" w:eastAsia="Consolas" w:hAnsi="Consolas"/>
                <w:b/>
                <w:bCs/>
                <w:sz w:val="16"/>
                <w:szCs w:val="16"/>
              </w:rPr>
              <w:t xml:space="preserve">B = V_M</w:t>
            </w:r>
            <w:r>
              <w:rPr>
                <w:sz w:val="16"/>
                <w:szCs w:val="16"/>
              </w:rPr>
              <w:t xml:space="preserve"> | </w:t>
            </w:r>
            <w:r>
              <w:rPr>
                <w:rFonts w:ascii="Consolas" w:cs="Consolas" w:eastAsia="Consolas" w:hAnsi="Consolas"/>
                <w:b/>
                <w:bCs/>
                <w:sz w:val="16"/>
                <w:szCs w:val="16"/>
              </w:rPr>
              <w:t xml:space="preserve">V_W</w:t>
            </w:r>
            <w:r>
              <w:rPr>
                <w:sz w:val="16"/>
                <w:szCs w:val="16"/>
              </w:rPr>
              <w:t xml:space="preserve"> (3 Parteien)</w:t>
            </w:r>
          </w:p>
        </w:tc>
        <w:tc>
          <w:tcPr>
            <w:tcW w:type="dxa" w:w="4938"/>
            <w:vAlign w:val="center"/>
          </w:tcPr>
          <w:p>
            <w:pPr>
              <w:spacing w:after="30" w:before="30" w:line="230"/>
              <w:jc w:val="left"/>
            </w:pPr>
            <w:r>
              <w:rPr>
                <w:sz w:val="16"/>
                <w:szCs w:val="16"/>
              </w:rPr>
              <w:t xml:space="preserve">„Der Investor (Grund-/Gebäudeeigentümer) kauft und errichtet die Photovoltaikanlage auf der eigenen Dach-/Freifläche · … vermietet die Photovoltaikanlage an einen Betreiber (Verbraucher (Mieter im Gebäude)) · … betreibt die Photovoltaikanlage · … nutzt den Solarstrom zum Eigenverbrauch · … beliefert einen/mehrere weitere Verbraucher (Mieter im Gebäude oder Nachbar) mit Solarstrom · Der weitere Verbraucher … nutzt den Solarstrom zu den vereinbarten Konditionen · … speist den über den Eigenverbrauch und die Lieferung hinausgehenden Solarstrom ins Netz (z.B. gegen EEG-Vergütung).“</w:t>
            </w:r>
          </w:p>
        </w:tc>
      </w:tr>
      <w:tr>
        <w:tc>
          <w:tcPr>
            <w:tcW w:type="dxa" w:w="1750"/>
            <w:shd w:fill="F2F5FA" w:color="auto" w:val="clear"/>
            <w:vAlign w:val="center"/>
          </w:tcPr>
          <w:p>
            <w:pPr>
              <w:spacing w:after="30" w:before="30" w:line="230"/>
              <w:jc w:val="left"/>
            </w:pPr>
            <w:r>
              <w:rPr>
                <w:b/>
                <w:bCs/>
                <w:sz w:val="16"/>
                <w:szCs w:val="16"/>
              </w:rPr>
              <w:t xml:space="preserve">PV-Mieten 8</w:t>
            </w:r>
          </w:p>
        </w:tc>
        <w:tc>
          <w:tcPr>
            <w:tcW w:type="dxa" w:w="700"/>
            <w:shd w:fill="F2F5FA" w:color="auto" w:val="clear"/>
            <w:vAlign w:val="center"/>
          </w:tcPr>
          <w:p>
            <w:pPr>
              <w:spacing w:after="30" w:before="30" w:line="230"/>
              <w:jc w:val="center"/>
            </w:pPr>
            <w:r>
              <w:rPr>
                <w:sz w:val="16"/>
                <w:szCs w:val="16"/>
              </w:rPr>
              <w:t xml:space="preserve">20</w:t>
            </w:r>
          </w:p>
        </w:tc>
        <w:tc>
          <w:tcPr>
            <w:tcW w:type="dxa" w:w="2250"/>
            <w:shd w:fill="F2F5FA" w:color="auto" w:val="clear"/>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B_Haupt = G = V_G</w:t>
            </w:r>
            <w:r>
              <w:rPr>
                <w:sz w:val="16"/>
                <w:szCs w:val="16"/>
              </w:rPr>
              <w:t xml:space="preserve"> | </w:t>
            </w:r>
            <w:r>
              <w:rPr>
                <w:rFonts w:ascii="Consolas" w:cs="Consolas" w:eastAsia="Consolas" w:hAnsi="Consolas"/>
                <w:b/>
                <w:bCs/>
                <w:sz w:val="16"/>
                <w:szCs w:val="16"/>
              </w:rPr>
              <w:t xml:space="preserve">B_Mit = V_M</w:t>
            </w:r>
            <w:r>
              <w:rPr>
                <w:sz w:val="16"/>
                <w:szCs w:val="16"/>
              </w:rPr>
              <w:t xml:space="preserve"> (3 Parteien)</w:t>
            </w:r>
          </w:p>
        </w:tc>
        <w:tc>
          <w:tcPr>
            <w:tcW w:type="dxa" w:w="4938"/>
            <w:shd w:fill="F2F5FA" w:color="auto" w:val="clear"/>
            <w:vAlign w:val="center"/>
          </w:tcPr>
          <w:p>
            <w:pPr>
              <w:spacing w:after="30" w:before="30" w:line="230"/>
              <w:jc w:val="left"/>
            </w:pPr>
            <w:r>
              <w:rPr>
                <w:sz w:val="16"/>
                <w:szCs w:val="16"/>
              </w:rPr>
              <w:t xml:space="preserve">„Der Investor kauft und errichtet die Photovoltaikanlage auf einer fremden Dach-/Freifläche · Der Hauptbetreiber (Grund-/Gebäudeeigentümer, Verbraucher) gestattet dem Investor die Nutzung der Fläche · Der Investor vermietet die Photovoltaikanlage an den Hauptbetreiber … · … betreibt die Photovoltaikanlage · … nutzt den Solarstrom zum Eigenverbrauch · … teilvermietet die Photovoltaikanlage an einen Mitbetreiber (Verbraucher (Mieter im Gebäude oder Nachbar)) · Der Mitbetreiber … nutzt den Solarstrom zum Eigenverbrauch · Der Hauptbetreiber … speist den über den Eigenverbrauch hinausgehenden Solarstrom ins Netz (z.B. gegen EEG-Vergütung).“</w:t>
            </w:r>
          </w:p>
        </w:tc>
      </w:tr>
      <w:tr>
        <w:tc>
          <w:tcPr>
            <w:tcW w:type="dxa" w:w="1750"/>
            <w:vAlign w:val="center"/>
          </w:tcPr>
          <w:p>
            <w:pPr>
              <w:spacing w:after="30" w:before="30" w:line="230"/>
              <w:jc w:val="left"/>
            </w:pPr>
            <w:r>
              <w:rPr>
                <w:b/>
                <w:bCs/>
                <w:sz w:val="16"/>
                <w:szCs w:val="16"/>
              </w:rPr>
              <w:t xml:space="preserve">PV-Mieten 9</w:t>
            </w:r>
          </w:p>
        </w:tc>
        <w:tc>
          <w:tcPr>
            <w:tcW w:type="dxa" w:w="700"/>
            <w:vAlign w:val="center"/>
          </w:tcPr>
          <w:p>
            <w:pPr>
              <w:spacing w:after="30" w:before="30" w:line="230"/>
              <w:jc w:val="center"/>
            </w:pPr>
            <w:r>
              <w:rPr>
                <w:sz w:val="16"/>
                <w:szCs w:val="16"/>
              </w:rPr>
              <w:t xml:space="preserve">21</w:t>
            </w:r>
          </w:p>
        </w:tc>
        <w:tc>
          <w:tcPr>
            <w:tcW w:type="dxa" w:w="2250"/>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B = G = V_G</w:t>
            </w:r>
            <w:r>
              <w:rPr>
                <w:sz w:val="16"/>
                <w:szCs w:val="16"/>
              </w:rPr>
              <w:t xml:space="preserve"> | </w:t>
            </w:r>
            <w:r>
              <w:rPr>
                <w:rFonts w:ascii="Consolas" w:cs="Consolas" w:eastAsia="Consolas" w:hAnsi="Consolas"/>
                <w:b/>
                <w:bCs/>
                <w:sz w:val="16"/>
                <w:szCs w:val="16"/>
              </w:rPr>
              <w:t xml:space="preserve">V_M</w:t>
            </w:r>
            <w:r>
              <w:rPr>
                <w:sz w:val="16"/>
                <w:szCs w:val="16"/>
              </w:rPr>
              <w:t xml:space="preserve"> (3 Parteien)</w:t>
            </w:r>
          </w:p>
        </w:tc>
        <w:tc>
          <w:tcPr>
            <w:tcW w:type="dxa" w:w="4938"/>
            <w:vAlign w:val="center"/>
          </w:tcPr>
          <w:p>
            <w:pPr>
              <w:spacing w:after="30" w:before="30" w:line="230"/>
              <w:jc w:val="left"/>
            </w:pPr>
            <w:r>
              <w:rPr>
                <w:sz w:val="16"/>
                <w:szCs w:val="16"/>
              </w:rPr>
              <w:t xml:space="preserve">„Der Investor kauft und errichtet die Photovoltaikanlage auf einer fremden Dach-/Freifläche · Der Betreiber (Grund-/Gebäudeeigentümer, Verbraucher) gestattet dem Investor die Nutzung der Fläche · Der Investor vermietet die Photovoltaikanlage an den Betreiber … · … betreibt die Photovoltaikanlage · … nutzt den Solarstrom zum Eigenverbrauch · … beliefert einen/mehrere Verbraucher (Mieter im Gebäude oder Nachbar) mit Solarstrom · Der Verbraucher … nutzt den Solarstrom zu den vereinbarten Konditionen · … speist den über den Eigenverbrauch und die Lieferung hinausgehenden Solarstrom ins Netz (z.B. gegen EEG-Vergütung).“</w:t>
            </w:r>
          </w:p>
        </w:tc>
      </w:tr>
      <w:tr>
        <w:tc>
          <w:tcPr>
            <w:tcW w:type="dxa" w:w="1750"/>
            <w:shd w:fill="F2F5FA" w:color="auto" w:val="clear"/>
            <w:vAlign w:val="center"/>
          </w:tcPr>
          <w:p>
            <w:pPr>
              <w:spacing w:after="30" w:before="30" w:line="230"/>
              <w:jc w:val="left"/>
            </w:pPr>
            <w:r>
              <w:rPr>
                <w:b/>
                <w:bCs/>
                <w:sz w:val="16"/>
                <w:szCs w:val="16"/>
              </w:rPr>
              <w:t xml:space="preserve">PV-Mieten 10</w:t>
            </w:r>
          </w:p>
        </w:tc>
        <w:tc>
          <w:tcPr>
            <w:tcW w:type="dxa" w:w="700"/>
            <w:shd w:fill="F2F5FA" w:color="auto" w:val="clear"/>
            <w:vAlign w:val="center"/>
          </w:tcPr>
          <w:p>
            <w:pPr>
              <w:spacing w:after="30" w:before="30" w:line="230"/>
              <w:jc w:val="center"/>
            </w:pPr>
            <w:r>
              <w:rPr>
                <w:sz w:val="16"/>
                <w:szCs w:val="16"/>
              </w:rPr>
              <w:t xml:space="preserve">22</w:t>
            </w:r>
          </w:p>
        </w:tc>
        <w:tc>
          <w:tcPr>
            <w:tcW w:type="dxa" w:w="2250"/>
            <w:shd w:fill="F2F5FA" w:color="auto" w:val="clear"/>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G</w:t>
            </w:r>
            <w:r>
              <w:rPr>
                <w:sz w:val="16"/>
                <w:szCs w:val="16"/>
              </w:rPr>
              <w:t xml:space="preserve"> | </w:t>
            </w:r>
            <w:r>
              <w:rPr>
                <w:rFonts w:ascii="Consolas" w:cs="Consolas" w:eastAsia="Consolas" w:hAnsi="Consolas"/>
                <w:b/>
                <w:bCs/>
                <w:sz w:val="16"/>
                <w:szCs w:val="16"/>
              </w:rPr>
              <w:t xml:space="preserve">B_Haupt = V_M</w:t>
            </w:r>
            <w:r>
              <w:rPr>
                <w:sz w:val="16"/>
                <w:szCs w:val="16"/>
              </w:rPr>
              <w:t xml:space="preserve"> | </w:t>
            </w:r>
            <w:r>
              <w:rPr>
                <w:rFonts w:ascii="Consolas" w:cs="Consolas" w:eastAsia="Consolas" w:hAnsi="Consolas"/>
                <w:b/>
                <w:bCs/>
                <w:sz w:val="16"/>
                <w:szCs w:val="16"/>
              </w:rPr>
              <w:t xml:space="preserve">V_W = B_Mit</w:t>
            </w:r>
            <w:r>
              <w:rPr>
                <w:sz w:val="16"/>
                <w:szCs w:val="16"/>
              </w:rPr>
              <w:t xml:space="preserve"> (</w:t>
            </w:r>
            <w:r>
              <w:rPr>
                <w:b/>
                <w:bCs/>
                <w:sz w:val="16"/>
                <w:szCs w:val="16"/>
              </w:rPr>
              <w:t xml:space="preserve">4 Parteien</w:t>
            </w:r>
            <w:r>
              <w:rPr>
                <w:sz w:val="16"/>
                <w:szCs w:val="16"/>
              </w:rPr>
              <w:t xml:space="preserve">)</w:t>
            </w:r>
          </w:p>
        </w:tc>
        <w:tc>
          <w:tcPr>
            <w:tcW w:type="dxa" w:w="4938"/>
            <w:shd w:fill="F2F5FA" w:color="auto" w:val="clear"/>
            <w:vAlign w:val="center"/>
          </w:tcPr>
          <w:p>
            <w:pPr>
              <w:spacing w:after="30" w:before="30" w:line="230"/>
              <w:jc w:val="left"/>
            </w:pPr>
            <w:r>
              <w:rPr>
                <w:sz w:val="16"/>
                <w:szCs w:val="16"/>
              </w:rPr>
              <w:t xml:space="preserve">„Der Investor kauft und errichtet die Photovoltaikanlage auf einer fremden Dach-/Freifläche · Der Grund-/Gebäudeeigentümer gestattet dem Investor die Nutzung der Fläche · Der Investor vermietet die Photovoltaikanlage an einen Hauptbetreiber (Verbraucher (Mieter im Gebäude)) · … betreibt die Photovoltaikanlage · … nutzt den Solarstrom zum Eigenverbrauch · … teilvermietet die Photovoltaikanlage an einen Mitbetreiber (weitere Verbraucher (Mieter im Gebäude oder Nachbar)) · Der Mitbetreiber … nutzt den Solarstrom zum Eigenverbrauch · Der Hauptbetreiber … speist den über den Eigenverbrauch hinausgehenden Solarstrom ins Netz (z.B. gegen EEG-Vergütung).“</w:t>
            </w:r>
          </w:p>
        </w:tc>
      </w:tr>
      <w:tr>
        <w:tc>
          <w:tcPr>
            <w:tcW w:type="dxa" w:w="1750"/>
            <w:vAlign w:val="center"/>
          </w:tcPr>
          <w:p>
            <w:pPr>
              <w:spacing w:after="30" w:before="30" w:line="230"/>
              <w:jc w:val="left"/>
            </w:pPr>
            <w:r>
              <w:rPr>
                <w:b/>
                <w:bCs/>
                <w:sz w:val="16"/>
                <w:szCs w:val="16"/>
              </w:rPr>
              <w:t xml:space="preserve">PV-Mieten 11</w:t>
            </w:r>
          </w:p>
        </w:tc>
        <w:tc>
          <w:tcPr>
            <w:tcW w:type="dxa" w:w="700"/>
            <w:vAlign w:val="center"/>
          </w:tcPr>
          <w:p>
            <w:pPr>
              <w:spacing w:after="30" w:before="30" w:line="230"/>
              <w:jc w:val="center"/>
            </w:pPr>
            <w:r>
              <w:rPr>
                <w:sz w:val="16"/>
                <w:szCs w:val="16"/>
              </w:rPr>
              <w:t xml:space="preserve">23</w:t>
            </w:r>
          </w:p>
        </w:tc>
        <w:tc>
          <w:tcPr>
            <w:tcW w:type="dxa" w:w="2250"/>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G</w:t>
            </w:r>
            <w:r>
              <w:rPr>
                <w:sz w:val="16"/>
                <w:szCs w:val="16"/>
              </w:rPr>
              <w:t xml:space="preserve"> | </w:t>
            </w:r>
            <w:r>
              <w:rPr>
                <w:rFonts w:ascii="Consolas" w:cs="Consolas" w:eastAsia="Consolas" w:hAnsi="Consolas"/>
                <w:b/>
                <w:bCs/>
                <w:sz w:val="16"/>
                <w:szCs w:val="16"/>
              </w:rPr>
              <w:t xml:space="preserve">B = V_M</w:t>
            </w:r>
            <w:r>
              <w:rPr>
                <w:sz w:val="16"/>
                <w:szCs w:val="16"/>
              </w:rPr>
              <w:t xml:space="preserve"> | </w:t>
            </w:r>
            <w:r>
              <w:rPr>
                <w:rFonts w:ascii="Consolas" w:cs="Consolas" w:eastAsia="Consolas" w:hAnsi="Consolas"/>
                <w:b/>
                <w:bCs/>
                <w:sz w:val="16"/>
                <w:szCs w:val="16"/>
              </w:rPr>
              <w:t xml:space="preserve">V_W</w:t>
            </w:r>
            <w:r>
              <w:rPr>
                <w:sz w:val="16"/>
                <w:szCs w:val="16"/>
              </w:rPr>
              <w:t xml:space="preserve"> (</w:t>
            </w:r>
            <w:r>
              <w:rPr>
                <w:b/>
                <w:bCs/>
                <w:sz w:val="16"/>
                <w:szCs w:val="16"/>
              </w:rPr>
              <w:t xml:space="preserve">4 Parteien</w:t>
            </w:r>
            <w:r>
              <w:rPr>
                <w:sz w:val="16"/>
                <w:szCs w:val="16"/>
              </w:rPr>
              <w:t xml:space="preserve">)</w:t>
            </w:r>
          </w:p>
        </w:tc>
        <w:tc>
          <w:tcPr>
            <w:tcW w:type="dxa" w:w="4938"/>
            <w:vAlign w:val="center"/>
          </w:tcPr>
          <w:p>
            <w:pPr>
              <w:spacing w:after="30" w:before="30" w:line="230"/>
              <w:jc w:val="left"/>
            </w:pPr>
            <w:r>
              <w:rPr>
                <w:sz w:val="16"/>
                <w:szCs w:val="16"/>
              </w:rPr>
              <w:t xml:space="preserve">„Der Investor kauft und errichtet die Photovoltaikanlage auf einer fremden Dach-/Freifläche · Der Grund-/Gebäudeeigentümer gestattet dem Investor die Nutzung der Fläche · Der Investor vermietet die Photovoltaikanlage an einen Betreiber (Verbraucher (Mieter im Gebäude)) · … betreibt die Photovoltaikanlage · … nutzt den Solarstrom zum Eigenverbrauch · … beliefert einen/mehrere weitere Verbraucher (Mieter im Gebäude oder Nachbar) mit Solarstrom · Der weitere Verbraucher … nutzt den Solarstrom zu den vereinbarten Konditionen · … speist den über den Eigenverbrauch und die Lieferung hinausgehenden Solarstrom ins Netz (z.B. gegen EEG-Vergütung).“</w:t>
            </w:r>
          </w:p>
        </w:tc>
      </w:tr>
    </w:tbl>
    <w:p>
      <w:pPr>
        <w:spacing w:after="100"/>
      </w:pPr>
      <w:r>
        <w:rPr>
          <w:sz w:val="8"/>
          <w:szCs w:val="8"/>
        </w:rPr>
        <w:t xml:space="preserve"/>
      </w:r>
    </w:p>
    <w:p>
      <w:pPr>
        <w:keepNext/>
        <w:spacing w:after="100" w:before="200"/>
      </w:pPr>
      <w:r>
        <w:rPr>
          <w:b/>
          <w:bCs/>
        </w:rPr>
        <w:t xml:space="preserve">Familie PV-Teil-Mieten</w:t>
      </w:r>
      <w:r>
        <w:t xml:space="preserve"> – typische Anwendung: mehrere Nutzungseinheiten mieten je einen ideellen Anteil derselben Anlage für den eigenen Verbrauch. Methodikprofil siehe M3.</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750"/>
        <w:gridCol w:w="700"/>
        <w:gridCol w:w="2250"/>
        <w:gridCol w:w="4938"/>
      </w:tblGrid>
      <w:tr>
        <w:trPr>
          <w:tblHeader/>
        </w:trPr>
        <w:tc>
          <w:tcPr>
            <w:tcW w:type="dxa" w:w="1750"/>
            <w:shd w:fill="1F3864" w:color="auto" w:val="clear"/>
            <w:vAlign w:val="center"/>
          </w:tcPr>
          <w:p>
            <w:pPr>
              <w:spacing w:after="30" w:before="30" w:line="230"/>
              <w:jc w:val="left"/>
            </w:pPr>
            <w:r>
              <w:rPr>
                <w:b/>
                <w:bCs/>
                <w:color w:val="FFFFFF"/>
                <w:sz w:val="16"/>
                <w:szCs w:val="16"/>
              </w:rPr>
              <w:t xml:space="preserve">Modell</w:t>
            </w:r>
          </w:p>
        </w:tc>
        <w:tc>
          <w:tcPr>
            <w:tcW w:type="dxa" w:w="700"/>
            <w:shd w:fill="1F3864" w:color="auto" w:val="clear"/>
            <w:vAlign w:val="center"/>
          </w:tcPr>
          <w:p>
            <w:pPr>
              <w:spacing w:after="30" w:before="30" w:line="230"/>
              <w:jc w:val="center"/>
            </w:pPr>
            <w:r>
              <w:rPr>
                <w:b/>
                <w:bCs/>
                <w:color w:val="FFFFFF"/>
                <w:sz w:val="16"/>
                <w:szCs w:val="16"/>
              </w:rPr>
              <w:t xml:space="preserve">Diagr.</w:t>
            </w:r>
          </w:p>
        </w:tc>
        <w:tc>
          <w:tcPr>
            <w:tcW w:type="dxa" w:w="2250"/>
            <w:shd w:fill="1F3864" w:color="auto" w:val="clear"/>
            <w:vAlign w:val="center"/>
          </w:tcPr>
          <w:p>
            <w:pPr>
              <w:spacing w:after="30" w:before="30" w:line="230"/>
              <w:jc w:val="left"/>
            </w:pPr>
            <w:r>
              <w:rPr>
                <w:b/>
                <w:bCs/>
                <w:color w:val="FFFFFF"/>
                <w:sz w:val="16"/>
                <w:szCs w:val="16"/>
              </w:rPr>
              <w:t xml:space="preserve">Rollenformel (Parteien)</w:t>
            </w:r>
          </w:p>
        </w:tc>
        <w:tc>
          <w:tcPr>
            <w:tcW w:type="dxa" w:w="4938"/>
            <w:shd w:fill="1F3864" w:color="auto" w:val="clear"/>
            <w:vAlign w:val="center"/>
          </w:tcPr>
          <w:p>
            <w:pPr>
              <w:spacing w:after="30" w:before="30" w:line="230"/>
              <w:jc w:val="left"/>
            </w:pPr>
            <w:r>
              <w:rPr>
                <w:b/>
                <w:bCs/>
                <w:color w:val="FFFFFF"/>
                <w:sz w:val="16"/>
                <w:szCs w:val="16"/>
              </w:rPr>
              <w:t xml:space="preserve">Wörtliche Beschreibung</w:t>
            </w:r>
          </w:p>
        </w:tc>
      </w:tr>
      <w:tr>
        <w:tc>
          <w:tcPr>
            <w:tcW w:type="dxa" w:w="1750"/>
            <w:vAlign w:val="center"/>
          </w:tcPr>
          <w:p>
            <w:pPr>
              <w:spacing w:after="30" w:before="30" w:line="230"/>
              <w:jc w:val="left"/>
            </w:pPr>
            <w:r>
              <w:rPr>
                <w:b/>
                <w:bCs/>
                <w:sz w:val="16"/>
                <w:szCs w:val="16"/>
              </w:rPr>
              <w:t xml:space="preserve">PV-Teil-Mieten 1</w:t>
            </w:r>
          </w:p>
        </w:tc>
        <w:tc>
          <w:tcPr>
            <w:tcW w:type="dxa" w:w="700"/>
            <w:vAlign w:val="center"/>
          </w:tcPr>
          <w:p>
            <w:pPr>
              <w:spacing w:after="30" w:before="30" w:line="230"/>
              <w:jc w:val="center"/>
            </w:pPr>
            <w:r>
              <w:rPr>
                <w:sz w:val="16"/>
                <w:szCs w:val="16"/>
              </w:rPr>
              <w:t xml:space="preserve">24</w:t>
            </w:r>
          </w:p>
        </w:tc>
        <w:tc>
          <w:tcPr>
            <w:tcW w:type="dxa" w:w="2250"/>
            <w:vAlign w:val="center"/>
          </w:tcPr>
          <w:p>
            <w:pPr>
              <w:spacing w:after="30" w:before="30" w:line="230"/>
              <w:jc w:val="left"/>
            </w:pPr>
            <w:r>
              <w:rPr>
                <w:rFonts w:ascii="Consolas" w:cs="Consolas" w:eastAsia="Consolas" w:hAnsi="Consolas"/>
                <w:b/>
                <w:bCs/>
                <w:sz w:val="16"/>
                <w:szCs w:val="16"/>
              </w:rPr>
              <w:t xml:space="preserve">I = B_Haupt</w:t>
            </w:r>
            <w:r>
              <w:rPr>
                <w:sz w:val="16"/>
                <w:szCs w:val="16"/>
              </w:rPr>
              <w:t xml:space="preserve"> | </w:t>
            </w:r>
            <w:r>
              <w:rPr>
                <w:rFonts w:ascii="Consolas" w:cs="Consolas" w:eastAsia="Consolas" w:hAnsi="Consolas"/>
                <w:b/>
                <w:bCs/>
                <w:sz w:val="16"/>
                <w:szCs w:val="16"/>
              </w:rPr>
              <w:t xml:space="preserve">G = V_G = B_Mit</w:t>
            </w:r>
            <w:r>
              <w:rPr>
                <w:sz w:val="16"/>
                <w:szCs w:val="16"/>
              </w:rPr>
              <w:t xml:space="preserve"> (2 Parteien)</w:t>
            </w:r>
          </w:p>
        </w:tc>
        <w:tc>
          <w:tcPr>
            <w:tcW w:type="dxa" w:w="4938"/>
            <w:vAlign w:val="center"/>
          </w:tcPr>
          <w:p>
            <w:pPr>
              <w:spacing w:after="30" w:before="30" w:line="230"/>
              <w:jc w:val="left"/>
            </w:pPr>
            <w:r>
              <w:rPr>
                <w:sz w:val="16"/>
                <w:szCs w:val="16"/>
              </w:rPr>
              <w:t xml:space="preserve">„Der Investor (Hauptbetreiber) kauft und errichtet die Photovoltaikanlage auf einer fremden Dach-/Freifläche · Der Mitbetreiber (Grund-/Gebäudeeigentümer, Verbraucher) gestattet dem Investor (Hauptbetreiber) die Nutzung der Fläche · … betreibt die Photovoltaikanlage · … teilvermietet die Photovoltaikanlage an den Mitbetreiber … · Der Mitbetreiber … nutzt den Solarstrom zum Eigenverbrauch · Der Investor (Hauptbetreiber) speist den über den Eigenverbrauch hinausgehenden Solarstrom ins Netz (z.B. gegen EEG-Vergütung).“</w:t>
            </w:r>
          </w:p>
        </w:tc>
      </w:tr>
      <w:tr>
        <w:tc>
          <w:tcPr>
            <w:tcW w:type="dxa" w:w="1750"/>
            <w:shd w:fill="F2F5FA" w:color="auto" w:val="clear"/>
            <w:vAlign w:val="center"/>
          </w:tcPr>
          <w:p>
            <w:pPr>
              <w:spacing w:after="30" w:before="30" w:line="230"/>
              <w:jc w:val="left"/>
            </w:pPr>
            <w:r>
              <w:rPr>
                <w:b/>
                <w:bCs/>
                <w:sz w:val="16"/>
                <w:szCs w:val="16"/>
              </w:rPr>
              <w:t xml:space="preserve">PV-Teil-Mieten 2</w:t>
            </w:r>
          </w:p>
        </w:tc>
        <w:tc>
          <w:tcPr>
            <w:tcW w:type="dxa" w:w="700"/>
            <w:shd w:fill="F2F5FA" w:color="auto" w:val="clear"/>
            <w:vAlign w:val="center"/>
          </w:tcPr>
          <w:p>
            <w:pPr>
              <w:spacing w:after="30" w:before="30" w:line="230"/>
              <w:jc w:val="center"/>
            </w:pPr>
            <w:r>
              <w:rPr>
                <w:sz w:val="16"/>
                <w:szCs w:val="16"/>
              </w:rPr>
              <w:t xml:space="preserve">25</w:t>
            </w:r>
          </w:p>
        </w:tc>
        <w:tc>
          <w:tcPr>
            <w:tcW w:type="dxa" w:w="2250"/>
            <w:shd w:fill="F2F5FA" w:color="auto" w:val="clear"/>
            <w:vAlign w:val="center"/>
          </w:tcPr>
          <w:p>
            <w:pPr>
              <w:spacing w:after="30" w:before="30" w:line="230"/>
              <w:jc w:val="left"/>
            </w:pPr>
            <w:r>
              <w:rPr>
                <w:rFonts w:ascii="Consolas" w:cs="Consolas" w:eastAsia="Consolas" w:hAnsi="Consolas"/>
                <w:b/>
                <w:bCs/>
                <w:sz w:val="16"/>
                <w:szCs w:val="16"/>
              </w:rPr>
              <w:t xml:space="preserve">I = B_Haupt</w:t>
            </w:r>
            <w:r>
              <w:rPr>
                <w:sz w:val="16"/>
                <w:szCs w:val="16"/>
              </w:rPr>
              <w:t xml:space="preserve"> | </w:t>
            </w:r>
            <w:r>
              <w:rPr>
                <w:rFonts w:ascii="Consolas" w:cs="Consolas" w:eastAsia="Consolas" w:hAnsi="Consolas"/>
                <w:b/>
                <w:bCs/>
                <w:sz w:val="16"/>
                <w:szCs w:val="16"/>
              </w:rPr>
              <w:t xml:space="preserve">G</w:t>
            </w:r>
            <w:r>
              <w:rPr>
                <w:sz w:val="16"/>
                <w:szCs w:val="16"/>
              </w:rPr>
              <w:t xml:space="preserve"> | </w:t>
            </w:r>
            <w:r>
              <w:rPr>
                <w:rFonts w:ascii="Consolas" w:cs="Consolas" w:eastAsia="Consolas" w:hAnsi="Consolas"/>
                <w:b/>
                <w:bCs/>
                <w:sz w:val="16"/>
                <w:szCs w:val="16"/>
              </w:rPr>
              <w:t xml:space="preserve">V_M = B_Mit</w:t>
            </w:r>
            <w:r>
              <w:rPr>
                <w:sz w:val="16"/>
                <w:szCs w:val="16"/>
              </w:rPr>
              <w:t xml:space="preserve"> (3 Parteien)</w:t>
            </w:r>
          </w:p>
        </w:tc>
        <w:tc>
          <w:tcPr>
            <w:tcW w:type="dxa" w:w="4938"/>
            <w:shd w:fill="F2F5FA" w:color="auto" w:val="clear"/>
            <w:vAlign w:val="center"/>
          </w:tcPr>
          <w:p>
            <w:pPr>
              <w:spacing w:after="30" w:before="30" w:line="230"/>
              <w:jc w:val="left"/>
            </w:pPr>
            <w:r>
              <w:rPr>
                <w:sz w:val="16"/>
                <w:szCs w:val="16"/>
              </w:rPr>
              <w:t xml:space="preserve">„Der Investor (Hauptbetreiber) kauft und errichtet die Photovoltaikanlage auf einer fremden Dach-/Freifläche · Der Grund-/Gebäudeeigentümer gestattet … die Nutzung der Fläche · … betreibt die Photovoltaikanlage · … teilvermietet die Photovoltaikanlage an einen Mitbetreiber (Verbraucher (Mieter im Gebäude oder Nachbar)) · Der Mitbetreiber … nutzt den Solarstrom zum Eigenverbrauch · Der Investor (Hauptbetreiber) speist den über den Eigenverbrauch hinausgehenden Solarstrom ins Netz (z.B. gegen EEG-Vergütung).“</w:t>
            </w:r>
          </w:p>
        </w:tc>
      </w:tr>
      <w:tr>
        <w:tc>
          <w:tcPr>
            <w:tcW w:type="dxa" w:w="1750"/>
            <w:vAlign w:val="center"/>
          </w:tcPr>
          <w:p>
            <w:pPr>
              <w:spacing w:after="30" w:before="30" w:line="230"/>
              <w:jc w:val="left"/>
            </w:pPr>
            <w:r>
              <w:rPr>
                <w:b/>
                <w:bCs/>
                <w:sz w:val="16"/>
                <w:szCs w:val="16"/>
              </w:rPr>
              <w:t xml:space="preserve">PV-Teil-Mieten 3</w:t>
            </w:r>
          </w:p>
        </w:tc>
        <w:tc>
          <w:tcPr>
            <w:tcW w:type="dxa" w:w="700"/>
            <w:vAlign w:val="center"/>
          </w:tcPr>
          <w:p>
            <w:pPr>
              <w:spacing w:after="30" w:before="30" w:line="230"/>
              <w:jc w:val="center"/>
            </w:pPr>
            <w:r>
              <w:rPr>
                <w:sz w:val="16"/>
                <w:szCs w:val="16"/>
              </w:rPr>
              <w:t xml:space="preserve">26</w:t>
            </w:r>
          </w:p>
        </w:tc>
        <w:tc>
          <w:tcPr>
            <w:tcW w:type="dxa" w:w="2250"/>
            <w:vAlign w:val="center"/>
          </w:tcPr>
          <w:p>
            <w:pPr>
              <w:spacing w:after="30" w:before="30" w:line="230"/>
              <w:jc w:val="left"/>
            </w:pPr>
            <w:r>
              <w:rPr>
                <w:rFonts w:ascii="Consolas" w:cs="Consolas" w:eastAsia="Consolas" w:hAnsi="Consolas"/>
                <w:b/>
                <w:bCs/>
                <w:sz w:val="16"/>
                <w:szCs w:val="16"/>
              </w:rPr>
              <w:t xml:space="preserve">I = B_Haupt = G</w:t>
            </w:r>
            <w:r>
              <w:rPr>
                <w:sz w:val="16"/>
                <w:szCs w:val="16"/>
              </w:rPr>
              <w:t xml:space="preserve"> | </w:t>
            </w:r>
            <w:r>
              <w:rPr>
                <w:rFonts w:ascii="Consolas" w:cs="Consolas" w:eastAsia="Consolas" w:hAnsi="Consolas"/>
                <w:b/>
                <w:bCs/>
                <w:sz w:val="16"/>
                <w:szCs w:val="16"/>
              </w:rPr>
              <w:t xml:space="preserve">V_M = B_Mit</w:t>
            </w:r>
            <w:r>
              <w:rPr>
                <w:sz w:val="16"/>
                <w:szCs w:val="16"/>
              </w:rPr>
              <w:t xml:space="preserve"> (2 Parteien)</w:t>
            </w:r>
          </w:p>
        </w:tc>
        <w:tc>
          <w:tcPr>
            <w:tcW w:type="dxa" w:w="4938"/>
            <w:vAlign w:val="center"/>
          </w:tcPr>
          <w:p>
            <w:pPr>
              <w:spacing w:after="30" w:before="30" w:line="230"/>
              <w:jc w:val="left"/>
            </w:pPr>
            <w:r>
              <w:rPr>
                <w:sz w:val="16"/>
                <w:szCs w:val="16"/>
              </w:rPr>
              <w:t xml:space="preserve">„Der Investor (Hauptbetreiber, Grund-/Gebäudeeigentümer) kauft und errichtet die Photovoltaikanlage auf der eigenen Dach-/Freifläche · … betreibt die Photovoltaikanlage · … teilvermietet die Photovoltaikanlage an einen Mitbetreiber (Verbraucher (Mieter im Gebäude oder Nachbar)) · Der Mitbetreiber … nutzt den Solarstrom zum Eigenverbrauch · Der Investor (Hauptbetreiber, Grund-/Gebäudeeigentümer) speist den über den Eigenverbrauch hinausgehenden Solarstrom ins Netz (z.B. gegen EEG-Vergütung).“</w:t>
            </w:r>
          </w:p>
        </w:tc>
      </w:tr>
      <w:tr>
        <w:tc>
          <w:tcPr>
            <w:tcW w:type="dxa" w:w="1750"/>
            <w:shd w:fill="F2F5FA" w:color="auto" w:val="clear"/>
            <w:vAlign w:val="center"/>
          </w:tcPr>
          <w:p>
            <w:pPr>
              <w:spacing w:after="30" w:before="30" w:line="230"/>
              <w:jc w:val="left"/>
            </w:pPr>
            <w:r>
              <w:rPr>
                <w:b/>
                <w:bCs/>
                <w:sz w:val="16"/>
                <w:szCs w:val="16"/>
              </w:rPr>
              <w:t xml:space="preserve">PV-Teil-Mieten 4</w:t>
            </w:r>
          </w:p>
        </w:tc>
        <w:tc>
          <w:tcPr>
            <w:tcW w:type="dxa" w:w="700"/>
            <w:shd w:fill="F2F5FA" w:color="auto" w:val="clear"/>
            <w:vAlign w:val="center"/>
          </w:tcPr>
          <w:p>
            <w:pPr>
              <w:spacing w:after="30" w:before="30" w:line="230"/>
              <w:jc w:val="center"/>
            </w:pPr>
            <w:r>
              <w:rPr>
                <w:sz w:val="16"/>
                <w:szCs w:val="16"/>
              </w:rPr>
              <w:t xml:space="preserve">27</w:t>
            </w:r>
          </w:p>
        </w:tc>
        <w:tc>
          <w:tcPr>
            <w:tcW w:type="dxa" w:w="2250"/>
            <w:shd w:fill="F2F5FA" w:color="auto" w:val="clear"/>
            <w:vAlign w:val="center"/>
          </w:tcPr>
          <w:p>
            <w:pPr>
              <w:spacing w:after="30" w:before="30" w:line="230"/>
              <w:jc w:val="left"/>
            </w:pPr>
            <w:r>
              <w:rPr>
                <w:rFonts w:ascii="Consolas" w:cs="Consolas" w:eastAsia="Consolas" w:hAnsi="Consolas"/>
                <w:b/>
                <w:bCs/>
                <w:sz w:val="16"/>
                <w:szCs w:val="16"/>
              </w:rPr>
              <w:t xml:space="preserve">I = B_Haupt = G = V_G</w:t>
            </w:r>
            <w:r>
              <w:rPr>
                <w:sz w:val="16"/>
                <w:szCs w:val="16"/>
              </w:rPr>
              <w:t xml:space="preserve"> | </w:t>
            </w:r>
            <w:r>
              <w:rPr>
                <w:rFonts w:ascii="Consolas" w:cs="Consolas" w:eastAsia="Consolas" w:hAnsi="Consolas"/>
                <w:b/>
                <w:bCs/>
                <w:sz w:val="16"/>
                <w:szCs w:val="16"/>
              </w:rPr>
              <w:t xml:space="preserve">V_M = B_Mit</w:t>
            </w:r>
            <w:r>
              <w:rPr>
                <w:sz w:val="16"/>
                <w:szCs w:val="16"/>
              </w:rPr>
              <w:t xml:space="preserve"> (2 Parteien)</w:t>
            </w:r>
          </w:p>
        </w:tc>
        <w:tc>
          <w:tcPr>
            <w:tcW w:type="dxa" w:w="4938"/>
            <w:shd w:fill="F2F5FA" w:color="auto" w:val="clear"/>
            <w:vAlign w:val="center"/>
          </w:tcPr>
          <w:p>
            <w:pPr>
              <w:spacing w:after="30" w:before="30" w:line="230"/>
              <w:jc w:val="left"/>
            </w:pPr>
            <w:r>
              <w:rPr>
                <w:sz w:val="16"/>
                <w:szCs w:val="16"/>
              </w:rPr>
              <w:t xml:space="preserve">„Der Investor (Hauptbetreiber, Grund-/Gebäudeeigentümer, Verbraucher) kauft und errichtet die Photovoltaikanlage auf der eigenen Dach-/Freifläche · … betreibt die Photovoltaikanlage · … nutzt den Solarstrom zum Eigenverbrauch · … teilvermietet die Photovoltaikanlage an einen Mitbetreiber (Verbraucher (Mieter im Gebäude oder Nachbar)) · Der Mitbetreiber … nutzt den Solarstrom zum Eigenverbrauch · … speist den über den Eigenverbrauch hinausgehenden Solarstrom ins Netz (z.B. gegen EEG-Vergütung).“</w:t>
            </w:r>
          </w:p>
        </w:tc>
      </w:tr>
      <w:tr>
        <w:tc>
          <w:tcPr>
            <w:tcW w:type="dxa" w:w="1750"/>
            <w:vAlign w:val="center"/>
          </w:tcPr>
          <w:p>
            <w:pPr>
              <w:spacing w:after="30" w:before="30" w:line="230"/>
              <w:jc w:val="left"/>
            </w:pPr>
            <w:r>
              <w:rPr>
                <w:b/>
                <w:bCs/>
                <w:sz w:val="16"/>
                <w:szCs w:val="16"/>
              </w:rPr>
              <w:t xml:space="preserve">PV-Teil-Mieten 5</w:t>
            </w:r>
          </w:p>
        </w:tc>
        <w:tc>
          <w:tcPr>
            <w:tcW w:type="dxa" w:w="700"/>
            <w:vAlign w:val="center"/>
          </w:tcPr>
          <w:p>
            <w:pPr>
              <w:spacing w:after="30" w:before="30" w:line="230"/>
              <w:jc w:val="center"/>
            </w:pPr>
            <w:r>
              <w:rPr>
                <w:sz w:val="16"/>
                <w:szCs w:val="16"/>
              </w:rPr>
              <w:t xml:space="preserve">28</w:t>
            </w:r>
          </w:p>
        </w:tc>
        <w:tc>
          <w:tcPr>
            <w:tcW w:type="dxa" w:w="2250"/>
            <w:vAlign w:val="center"/>
          </w:tcPr>
          <w:p>
            <w:pPr>
              <w:spacing w:after="30" w:before="30" w:line="230"/>
              <w:jc w:val="left"/>
            </w:pPr>
            <w:r>
              <w:rPr>
                <w:rFonts w:ascii="Consolas" w:cs="Consolas" w:eastAsia="Consolas" w:hAnsi="Consolas"/>
                <w:b/>
                <w:bCs/>
                <w:sz w:val="16"/>
                <w:szCs w:val="16"/>
              </w:rPr>
              <w:t xml:space="preserve">I = B_Haupt</w:t>
            </w:r>
            <w:r>
              <w:rPr>
                <w:sz w:val="16"/>
                <w:szCs w:val="16"/>
              </w:rPr>
              <w:t xml:space="preserve"> | </w:t>
            </w:r>
            <w:r>
              <w:rPr>
                <w:rFonts w:ascii="Consolas" w:cs="Consolas" w:eastAsia="Consolas" w:hAnsi="Consolas"/>
                <w:b/>
                <w:bCs/>
                <w:sz w:val="16"/>
                <w:szCs w:val="16"/>
              </w:rPr>
              <w:t xml:space="preserve">G = V_G = B_Mit</w:t>
            </w:r>
            <w:r>
              <w:rPr>
                <w:sz w:val="16"/>
                <w:szCs w:val="16"/>
              </w:rPr>
              <w:t xml:space="preserve"> | </w:t>
            </w:r>
            <w:r>
              <w:rPr>
                <w:rFonts w:ascii="Consolas" w:cs="Consolas" w:eastAsia="Consolas" w:hAnsi="Consolas"/>
                <w:b/>
                <w:bCs/>
                <w:sz w:val="16"/>
                <w:szCs w:val="16"/>
              </w:rPr>
              <w:t xml:space="preserve">V_M = B_Mit</w:t>
            </w:r>
            <w:r>
              <w:rPr>
                <w:sz w:val="16"/>
                <w:szCs w:val="16"/>
              </w:rPr>
              <w:t xml:space="preserve"> (3 Parteien, </w:t>
            </w:r>
            <w:r>
              <w:rPr>
                <w:b/>
                <w:bCs/>
                <w:sz w:val="16"/>
                <w:szCs w:val="16"/>
              </w:rPr>
              <w:t xml:space="preserve">zwei verschiedene Mitbetreiber</w:t>
            </w:r>
            <w:r>
              <w:rPr>
                <w:sz w:val="16"/>
                <w:szCs w:val="16"/>
              </w:rPr>
              <w:t xml:space="preserve">)</w:t>
            </w:r>
          </w:p>
        </w:tc>
        <w:tc>
          <w:tcPr>
            <w:tcW w:type="dxa" w:w="4938"/>
            <w:vAlign w:val="center"/>
          </w:tcPr>
          <w:p>
            <w:pPr>
              <w:spacing w:after="30" w:before="30" w:line="230"/>
              <w:jc w:val="left"/>
            </w:pPr>
            <w:r>
              <w:rPr>
                <w:sz w:val="16"/>
                <w:szCs w:val="16"/>
              </w:rPr>
              <w:t xml:space="preserve">„Der Investor (Hauptbetreiber) kauft und errichtet die Photovoltaikanlage auf einer fremden Dach-/Freifläche · Der Mitbetreiber (Grund-/Gebäudeeigentümer, Verbraucher) gestattet … die Nutzung der Fläche · … betreibt die Photovoltaikanlage · … teilvermietet die Photovoltaikanlage an den Mitbetreiber (Grund-/Gebäudeeigentümer, Verbraucher) · … teilvermietet die Photovoltaikanlage an einen Mitbetreiber (Verbraucher (Mieter im Gebäude oder Nachbar)) · beide Mitbetreiber nutzen den Solarstrom zum Eigenverbrauch · Der Investor (Hauptbetreiber) speist den über den Eigenverbrauch hinausgehenden Solarstrom ins Netz (z.B. gegen EEG-Vergütung).“</w:t>
            </w:r>
          </w:p>
        </w:tc>
      </w:tr>
    </w:tbl>
    <w:p>
      <w:pPr>
        <w:spacing w:after="100"/>
      </w:pPr>
      <w:r>
        <w:rPr>
          <w:sz w:val="8"/>
          <w:szCs w:val="8"/>
        </w:rPr>
        <w:t xml:space="preserve"/>
      </w:r>
    </w:p>
    <w:p>
      <w:pPr>
        <w:spacing w:before="200"/>
      </w:pPr>
      <w:r>
        <w:rPr>
          <w:b/>
          <w:bCs/>
        </w:rPr>
        <w:t xml:space="preserve">Zwei Beobachtungen aus dem verifizierten Katalog.</w:t>
      </w:r>
      <w:r>
        <w:t xml:space="preserve"> Erstens bestätigt sich die Grundregel „niedrige Nummer = hohe Rollenkonzentration, höhere Nummer = zunehmende Aufspaltung“ nur als grobe Tendenz, nicht als starre Systematik: Innerhalb der Familie PV-Mieten wechseln sich Varianten mit Eigenverbrauch (1, 2, 3, 5, 6, 8, 10), mit Lieferung an Dritte (4, 7, 9, 11) und mit Haupt-/Mitbetreiber-Teilung (5, 6, 8, 10) ab; maßgeblich ist stets die Formelzeile, nicht die Nummer. Zweitens weicht die App-Systematik von der öffentlichen Produktinformation ab, die von „ca. 30 Modellen“ bzw. „über 20 Betreibermodellen“ spricht und eine eigenständige Familie „PV-Mieterstrom“ nennt [22]. Diese Familie existiert in der App nicht; Mieterstrom wird über die Familie PV-Stromlieferung abgebildet. Für die Kundenkommunikation ist deshalb der App-Katalog maßgeblich.</w:t>
      </w:r>
    </w:p>
    <w:p>
      <w:pPr>
        <w:pStyle w:val="Heading2"/>
      </w:pPr>
      <w:bookmarkStart w:id="900008" w:name="_Toc90000008"/>
      <w:r>
        <w:t xml:space="preserve">A3  Brücke zur Praxis: DGS-Vertragssystematik „PV-Mieten Plus“</w:t>
      </w:r>
      <w:bookmarkEnd w:id="900008"/>
    </w:p>
    <w:p>
      <w:r>
        <w:t xml:space="preserve">Der App-Katalog aus A2 beschreibt die </w:t>
      </w:r>
      <w:r>
        <w:rPr>
          <w:b/>
          <w:bCs/>
        </w:rPr>
        <w:t xml:space="preserve">Rollenverteilung</w:t>
      </w:r>
      <w:r>
        <w:t xml:space="preserve">; für die vertragliche Umsetzung tritt eine zweite Systematik daneben: die Vertragssystematik „PV-Mieten Plus“ aus der DGS-Broschüre „Neue Chancen für die Photovoltaik“ (11/2025, 28 Seiten, kostenlos) [26]. Sie liefert die Musterverträge zu genau den Zahlungsströmen, die in M1 Schritt 5 zwischen den Akteuren fließen. </w:t>
      </w:r>
      <w:r>
        <w:rPr>
          <w:b/>
          <w:bCs/>
        </w:rPr>
        <w:t xml:space="preserve">Achtung: Diese Nummerierung ist eine andere als die der App-Modelle</w:t>
      </w:r>
      <w:r>
        <w:t xml:space="preserve"> – beide dürfen nicht vermischt werden.</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600"/>
        <w:gridCol w:w="900"/>
        <w:gridCol w:w="6138"/>
      </w:tblGrid>
      <w:tr>
        <w:trPr>
          <w:tblHeader/>
        </w:trPr>
        <w:tc>
          <w:tcPr>
            <w:tcW w:type="dxa" w:w="2600"/>
            <w:shd w:fill="1F3864" w:color="auto" w:val="clear"/>
            <w:vAlign w:val="center"/>
          </w:tcPr>
          <w:p>
            <w:pPr>
              <w:spacing w:after="30" w:before="30" w:line="230"/>
              <w:jc w:val="left"/>
            </w:pPr>
            <w:r>
              <w:rPr>
                <w:b/>
                <w:bCs/>
                <w:color w:val="FFFFFF"/>
                <w:sz w:val="17"/>
                <w:szCs w:val="17"/>
              </w:rPr>
              <w:t xml:space="preserve">Gruppe</w:t>
            </w:r>
          </w:p>
        </w:tc>
        <w:tc>
          <w:tcPr>
            <w:tcW w:type="dxa" w:w="900"/>
            <w:shd w:fill="1F3864" w:color="auto" w:val="clear"/>
            <w:vAlign w:val="center"/>
          </w:tcPr>
          <w:p>
            <w:pPr>
              <w:spacing w:after="30" w:before="30" w:line="230"/>
              <w:jc w:val="left"/>
            </w:pPr>
            <w:r>
              <w:rPr>
                <w:b/>
                <w:bCs/>
                <w:color w:val="FFFFFF"/>
                <w:sz w:val="17"/>
                <w:szCs w:val="17"/>
              </w:rPr>
              <w:t xml:space="preserve">Nr.</w:t>
            </w:r>
          </w:p>
        </w:tc>
        <w:tc>
          <w:tcPr>
            <w:tcW w:type="dxa" w:w="6138"/>
            <w:shd w:fill="1F3864" w:color="auto" w:val="clear"/>
            <w:vAlign w:val="center"/>
          </w:tcPr>
          <w:p>
            <w:pPr>
              <w:spacing w:after="30" w:before="30" w:line="230"/>
              <w:jc w:val="left"/>
            </w:pPr>
            <w:r>
              <w:rPr>
                <w:b/>
                <w:bCs/>
                <w:color w:val="FFFFFF"/>
                <w:sz w:val="17"/>
                <w:szCs w:val="17"/>
              </w:rPr>
              <w:t xml:space="preserve">Vertragstyp</w:t>
            </w:r>
          </w:p>
        </w:tc>
      </w:tr>
      <w:tr>
        <w:tc>
          <w:tcPr>
            <w:tcW w:type="dxa" w:w="2600"/>
            <w:vMerge w:val="restart"/>
            <w:vAlign w:val="center"/>
          </w:tcPr>
          <w:p>
            <w:pPr>
              <w:spacing w:after="30" w:before="30" w:line="230"/>
              <w:jc w:val="left"/>
            </w:pPr>
            <w:r>
              <w:rPr>
                <w:b/>
                <w:bCs/>
                <w:sz w:val="17"/>
                <w:szCs w:val="17"/>
              </w:rPr>
              <w:t xml:space="preserve">1 Fremdversorgung</w:t>
            </w:r>
          </w:p>
        </w:tc>
        <w:tc>
          <w:tcPr>
            <w:tcW w:type="dxa" w:w="900"/>
            <w:vAlign w:val="center"/>
          </w:tcPr>
          <w:p>
            <w:pPr>
              <w:spacing w:after="30" w:before="30" w:line="230"/>
              <w:jc w:val="center"/>
            </w:pPr>
            <w:r>
              <w:rPr>
                <w:sz w:val="17"/>
                <w:szCs w:val="17"/>
              </w:rPr>
              <w:t xml:space="preserve">1a</w:t>
            </w:r>
          </w:p>
        </w:tc>
        <w:tc>
          <w:tcPr>
            <w:tcW w:type="dxa" w:w="6138"/>
            <w:vAlign w:val="center"/>
          </w:tcPr>
          <w:p>
            <w:pPr>
              <w:spacing w:after="30" w:before="30" w:line="230"/>
              <w:jc w:val="left"/>
            </w:pPr>
            <w:r>
              <w:rPr>
                <w:sz w:val="17"/>
                <w:szCs w:val="17"/>
              </w:rPr>
              <w:t xml:space="preserve">PV-Strom (Ergänzungsversorgung)</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1b</w:t>
            </w:r>
          </w:p>
        </w:tc>
        <w:tc>
          <w:tcPr>
            <w:tcW w:type="dxa" w:w="6138"/>
            <w:vAlign w:val="center"/>
          </w:tcPr>
          <w:p>
            <w:pPr>
              <w:spacing w:after="30" w:before="30" w:line="230"/>
              <w:jc w:val="left"/>
            </w:pPr>
            <w:r>
              <w:rPr>
                <w:sz w:val="17"/>
                <w:szCs w:val="17"/>
              </w:rPr>
              <w:t xml:space="preserve">PV-Strom-Mix (Vollversorgung)</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1c</w:t>
            </w:r>
          </w:p>
        </w:tc>
        <w:tc>
          <w:tcPr>
            <w:tcW w:type="dxa" w:w="6138"/>
            <w:vAlign w:val="center"/>
          </w:tcPr>
          <w:p>
            <w:pPr>
              <w:spacing w:after="30" w:before="30" w:line="230"/>
              <w:jc w:val="left"/>
            </w:pPr>
            <w:r>
              <w:rPr>
                <w:sz w:val="17"/>
                <w:szCs w:val="17"/>
              </w:rPr>
              <w:t xml:space="preserve">PV-Strom im Haus</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1d</w:t>
            </w:r>
          </w:p>
        </w:tc>
        <w:tc>
          <w:tcPr>
            <w:tcW w:type="dxa" w:w="6138"/>
            <w:vAlign w:val="center"/>
          </w:tcPr>
          <w:p>
            <w:pPr>
              <w:spacing w:after="30" w:before="30" w:line="230"/>
              <w:jc w:val="left"/>
            </w:pPr>
            <w:r>
              <w:rPr>
                <w:sz w:val="17"/>
                <w:szCs w:val="17"/>
              </w:rPr>
              <w:t xml:space="preserve">PV-Strom und Wärme (Contractor)</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1e</w:t>
            </w:r>
          </w:p>
        </w:tc>
        <w:tc>
          <w:tcPr>
            <w:tcW w:type="dxa" w:w="6138"/>
            <w:vAlign w:val="center"/>
          </w:tcPr>
          <w:p>
            <w:pPr>
              <w:spacing w:after="30" w:before="30" w:line="230"/>
              <w:jc w:val="left"/>
            </w:pPr>
            <w:r>
              <w:rPr>
                <w:sz w:val="17"/>
                <w:szCs w:val="17"/>
              </w:rPr>
              <w:t xml:space="preserve">PV-Mieterstrom (§ 42a EnWG)</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1f</w:t>
            </w:r>
          </w:p>
        </w:tc>
        <w:tc>
          <w:tcPr>
            <w:tcW w:type="dxa" w:w="6138"/>
            <w:vAlign w:val="center"/>
          </w:tcPr>
          <w:p>
            <w:pPr>
              <w:spacing w:after="30" w:before="30" w:line="230"/>
              <w:jc w:val="left"/>
            </w:pPr>
            <w:r>
              <w:rPr>
                <w:sz w:val="17"/>
                <w:szCs w:val="17"/>
              </w:rPr>
              <w:t xml:space="preserve">PV-Gebäudestrom (gemeinschaftliche Gebäudeversorgung, § 42b EnWG)</w:t>
            </w:r>
          </w:p>
        </w:tc>
      </w:tr>
      <w:tr>
        <w:tc>
          <w:tcPr>
            <w:tcW w:type="dxa" w:w="2600"/>
            <w:vMerge w:val="restart"/>
            <w:vAlign w:val="center"/>
          </w:tcPr>
          <w:p>
            <w:pPr>
              <w:spacing w:after="30" w:before="30" w:line="230"/>
              <w:jc w:val="left"/>
            </w:pPr>
            <w:r>
              <w:rPr>
                <w:b/>
                <w:bCs/>
                <w:sz w:val="17"/>
                <w:szCs w:val="17"/>
              </w:rPr>
              <w:t xml:space="preserve">2 Selbstversorgung</w:t>
            </w:r>
          </w:p>
        </w:tc>
        <w:tc>
          <w:tcPr>
            <w:tcW w:type="dxa" w:w="900"/>
            <w:vAlign w:val="center"/>
          </w:tcPr>
          <w:p>
            <w:pPr>
              <w:spacing w:after="30" w:before="30" w:line="230"/>
              <w:jc w:val="center"/>
            </w:pPr>
            <w:r>
              <w:rPr>
                <w:sz w:val="17"/>
                <w:szCs w:val="17"/>
              </w:rPr>
              <w:t xml:space="preserve">2a</w:t>
            </w:r>
          </w:p>
        </w:tc>
        <w:tc>
          <w:tcPr>
            <w:tcW w:type="dxa" w:w="6138"/>
            <w:vAlign w:val="center"/>
          </w:tcPr>
          <w:p>
            <w:pPr>
              <w:spacing w:after="30" w:before="30" w:line="230"/>
              <w:jc w:val="left"/>
            </w:pPr>
            <w:r>
              <w:rPr>
                <w:sz w:val="17"/>
                <w:szCs w:val="17"/>
              </w:rPr>
              <w:t xml:space="preserve">PV-Miete (komplette Anlage)</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2b</w:t>
            </w:r>
          </w:p>
        </w:tc>
        <w:tc>
          <w:tcPr>
            <w:tcW w:type="dxa" w:w="6138"/>
            <w:vAlign w:val="center"/>
          </w:tcPr>
          <w:p>
            <w:pPr>
              <w:spacing w:after="30" w:before="30" w:line="230"/>
              <w:jc w:val="left"/>
            </w:pPr>
            <w:r>
              <w:rPr>
                <w:sz w:val="17"/>
                <w:szCs w:val="17"/>
              </w:rPr>
              <w:t xml:space="preserve">PV-Teilmiete (ideeller Anteil)</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2c</w:t>
            </w:r>
          </w:p>
        </w:tc>
        <w:tc>
          <w:tcPr>
            <w:tcW w:type="dxa" w:w="6138"/>
            <w:vAlign w:val="center"/>
          </w:tcPr>
          <w:p>
            <w:pPr>
              <w:spacing w:after="30" w:before="30" w:line="230"/>
              <w:jc w:val="left"/>
            </w:pPr>
            <w:r>
              <w:rPr>
                <w:sz w:val="17"/>
                <w:szCs w:val="17"/>
              </w:rPr>
              <w:t xml:space="preserve">PV-Wohnraummiete</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2d</w:t>
            </w:r>
          </w:p>
        </w:tc>
        <w:tc>
          <w:tcPr>
            <w:tcW w:type="dxa" w:w="6138"/>
            <w:vAlign w:val="center"/>
          </w:tcPr>
          <w:p>
            <w:pPr>
              <w:spacing w:after="30" w:before="30" w:line="230"/>
              <w:jc w:val="left"/>
            </w:pPr>
            <w:r>
              <w:rPr>
                <w:sz w:val="17"/>
                <w:szCs w:val="17"/>
              </w:rPr>
              <w:t xml:space="preserve">PV-Wohnungsmiete Energie inklusive</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2e</w:t>
            </w:r>
          </w:p>
        </w:tc>
        <w:tc>
          <w:tcPr>
            <w:tcW w:type="dxa" w:w="6138"/>
            <w:vAlign w:val="center"/>
          </w:tcPr>
          <w:p>
            <w:pPr>
              <w:spacing w:after="30" w:before="30" w:line="230"/>
              <w:jc w:val="left"/>
            </w:pPr>
            <w:r>
              <w:rPr>
                <w:sz w:val="17"/>
                <w:szCs w:val="17"/>
              </w:rPr>
              <w:t xml:space="preserve">PV-Gewerbemiete</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2f</w:t>
            </w:r>
          </w:p>
        </w:tc>
        <w:tc>
          <w:tcPr>
            <w:tcW w:type="dxa" w:w="6138"/>
            <w:vAlign w:val="center"/>
          </w:tcPr>
          <w:p>
            <w:pPr>
              <w:spacing w:after="30" w:before="30" w:line="230"/>
              <w:jc w:val="left"/>
            </w:pPr>
            <w:r>
              <w:rPr>
                <w:sz w:val="17"/>
                <w:szCs w:val="17"/>
              </w:rPr>
              <w:t xml:space="preserve">PV-Gewerbemiete Energie inklusive</w:t>
            </w:r>
          </w:p>
        </w:tc>
      </w:tr>
      <w:tr>
        <w:tc>
          <w:tcPr>
            <w:tcW w:type="dxa" w:w="2600"/>
            <w:vMerge w:val="restart"/>
            <w:vAlign w:val="center"/>
          </w:tcPr>
          <w:p>
            <w:pPr>
              <w:spacing w:after="30" w:before="30" w:line="230"/>
              <w:jc w:val="left"/>
            </w:pPr>
            <w:r>
              <w:rPr>
                <w:b/>
                <w:bCs/>
                <w:sz w:val="17"/>
                <w:szCs w:val="17"/>
              </w:rPr>
              <w:t xml:space="preserve">3 Gemeinschaft</w:t>
            </w:r>
          </w:p>
        </w:tc>
        <w:tc>
          <w:tcPr>
            <w:tcW w:type="dxa" w:w="900"/>
            <w:vAlign w:val="center"/>
          </w:tcPr>
          <w:p>
            <w:pPr>
              <w:spacing w:after="30" w:before="30" w:line="230"/>
              <w:jc w:val="center"/>
            </w:pPr>
            <w:r>
              <w:rPr>
                <w:sz w:val="17"/>
                <w:szCs w:val="17"/>
              </w:rPr>
              <w:t xml:space="preserve">3a</w:t>
            </w:r>
          </w:p>
        </w:tc>
        <w:tc>
          <w:tcPr>
            <w:tcW w:type="dxa" w:w="6138"/>
            <w:vAlign w:val="center"/>
          </w:tcPr>
          <w:p>
            <w:pPr>
              <w:spacing w:after="30" w:before="30" w:line="230"/>
              <w:jc w:val="left"/>
            </w:pPr>
            <w:r>
              <w:rPr>
                <w:sz w:val="17"/>
                <w:szCs w:val="17"/>
              </w:rPr>
              <w:t xml:space="preserve">PV-Gemeinschaft (Bruchteilsgemeinschaft)</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3b</w:t>
            </w:r>
          </w:p>
        </w:tc>
        <w:tc>
          <w:tcPr>
            <w:tcW w:type="dxa" w:w="6138"/>
            <w:vAlign w:val="center"/>
          </w:tcPr>
          <w:p>
            <w:pPr>
              <w:spacing w:after="30" w:before="30" w:line="230"/>
              <w:jc w:val="left"/>
            </w:pPr>
            <w:r>
              <w:rPr>
                <w:sz w:val="17"/>
                <w:szCs w:val="17"/>
              </w:rPr>
              <w:t xml:space="preserve">PV-GbR</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3c</w:t>
            </w:r>
          </w:p>
        </w:tc>
        <w:tc>
          <w:tcPr>
            <w:tcW w:type="dxa" w:w="6138"/>
            <w:vAlign w:val="center"/>
          </w:tcPr>
          <w:p>
            <w:pPr>
              <w:spacing w:after="30" w:before="30" w:line="230"/>
              <w:jc w:val="left"/>
            </w:pPr>
            <w:r>
              <w:rPr>
                <w:sz w:val="17"/>
                <w:szCs w:val="17"/>
              </w:rPr>
              <w:t xml:space="preserve">PV-UG</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3d</w:t>
            </w:r>
          </w:p>
        </w:tc>
        <w:tc>
          <w:tcPr>
            <w:tcW w:type="dxa" w:w="6138"/>
            <w:vAlign w:val="center"/>
          </w:tcPr>
          <w:p>
            <w:pPr>
              <w:spacing w:after="30" w:before="30" w:line="230"/>
              <w:jc w:val="left"/>
            </w:pPr>
            <w:r>
              <w:rPr>
                <w:sz w:val="17"/>
                <w:szCs w:val="17"/>
              </w:rPr>
              <w:t xml:space="preserve">PV-WEG</w:t>
            </w:r>
          </w:p>
        </w:tc>
      </w:tr>
      <w:tr>
        <w:tc>
          <w:tcPr>
            <w:tcW w:type="dxa" w:w="2600"/>
            <w:vMerge w:val="restart"/>
            <w:vAlign w:val="center"/>
          </w:tcPr>
          <w:p>
            <w:pPr>
              <w:spacing w:after="30" w:before="30" w:line="230"/>
              <w:jc w:val="left"/>
            </w:pPr>
            <w:r>
              <w:rPr>
                <w:b/>
                <w:bCs/>
                <w:sz w:val="17"/>
                <w:szCs w:val="17"/>
              </w:rPr>
              <w:t xml:space="preserve">4/5 Zusatzverträge</w:t>
            </w:r>
          </w:p>
        </w:tc>
        <w:tc>
          <w:tcPr>
            <w:tcW w:type="dxa" w:w="900"/>
            <w:vAlign w:val="center"/>
          </w:tcPr>
          <w:p>
            <w:pPr>
              <w:spacing w:after="30" w:before="30" w:line="230"/>
              <w:jc w:val="center"/>
            </w:pPr>
            <w:r>
              <w:rPr>
                <w:sz w:val="17"/>
                <w:szCs w:val="17"/>
              </w:rPr>
              <w:t xml:space="preserve">4a</w:t>
            </w:r>
          </w:p>
        </w:tc>
        <w:tc>
          <w:tcPr>
            <w:tcW w:type="dxa" w:w="6138"/>
            <w:vAlign w:val="center"/>
          </w:tcPr>
          <w:p>
            <w:pPr>
              <w:spacing w:after="30" w:before="30" w:line="230"/>
              <w:jc w:val="left"/>
            </w:pPr>
            <w:r>
              <w:rPr>
                <w:sz w:val="17"/>
                <w:szCs w:val="17"/>
              </w:rPr>
              <w:t xml:space="preserve">Dachmiete</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4b</w:t>
            </w:r>
          </w:p>
        </w:tc>
        <w:tc>
          <w:tcPr>
            <w:tcW w:type="dxa" w:w="6138"/>
            <w:vAlign w:val="center"/>
          </w:tcPr>
          <w:p>
            <w:pPr>
              <w:spacing w:after="30" w:before="30" w:line="230"/>
              <w:jc w:val="left"/>
            </w:pPr>
            <w:r>
              <w:rPr>
                <w:sz w:val="17"/>
                <w:szCs w:val="17"/>
              </w:rPr>
              <w:t xml:space="preserve">Freiflächenpacht</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4c</w:t>
            </w:r>
          </w:p>
        </w:tc>
        <w:tc>
          <w:tcPr>
            <w:tcW w:type="dxa" w:w="6138"/>
            <w:vAlign w:val="center"/>
          </w:tcPr>
          <w:p>
            <w:pPr>
              <w:spacing w:after="30" w:before="30" w:line="230"/>
              <w:jc w:val="left"/>
            </w:pPr>
            <w:r>
              <w:rPr>
                <w:sz w:val="17"/>
                <w:szCs w:val="17"/>
              </w:rPr>
              <w:t xml:space="preserve">Flächenmiete Trafo/Batterie</w:t>
            </w:r>
          </w:p>
        </w:tc>
      </w:tr>
      <w:tr>
        <w:tc>
          <w:tcPr>
            <w:tcW w:type="dxa" w:w="2600"/>
            <w:vMerge w:val="continue"/>
            <w:vAlign w:val="center"/>
          </w:tcPr>
          <w:p>
            <w:pPr>
              <w:spacing w:after="30" w:before="30" w:line="230"/>
              <w:jc w:val="left"/>
            </w:pPr>
            <w:r>
              <w:rPr>
                <w:sz w:val="17"/>
                <w:szCs w:val="17"/>
              </w:rPr>
              <w:t xml:space="preserve"/>
            </w:r>
          </w:p>
        </w:tc>
        <w:tc>
          <w:tcPr>
            <w:tcW w:type="dxa" w:w="900"/>
            <w:vAlign w:val="center"/>
          </w:tcPr>
          <w:p>
            <w:pPr>
              <w:spacing w:after="30" w:before="30" w:line="230"/>
              <w:jc w:val="center"/>
            </w:pPr>
            <w:r>
              <w:rPr>
                <w:sz w:val="17"/>
                <w:szCs w:val="17"/>
              </w:rPr>
              <w:t xml:space="preserve">5</w:t>
            </w:r>
          </w:p>
        </w:tc>
        <w:tc>
          <w:tcPr>
            <w:tcW w:type="dxa" w:w="6138"/>
            <w:vAlign w:val="center"/>
          </w:tcPr>
          <w:p>
            <w:pPr>
              <w:spacing w:after="30" w:before="30" w:line="230"/>
              <w:jc w:val="left"/>
            </w:pPr>
            <w:r>
              <w:rPr>
                <w:sz w:val="17"/>
                <w:szCs w:val="17"/>
              </w:rPr>
              <w:t xml:space="preserve">PV-Wartung und Betriebsführung</w:t>
            </w:r>
          </w:p>
        </w:tc>
      </w:tr>
    </w:tbl>
    <w:p>
      <w:pPr>
        <w:spacing w:after="100"/>
      </w:pPr>
      <w:r>
        <w:rPr>
          <w:sz w:val="8"/>
          <w:szCs w:val="8"/>
        </w:rPr>
        <w:t xml:space="preserve"/>
      </w:r>
    </w:p>
    <w:p>
      <w:r>
        <w:t xml:space="preserve">Die Zuordnung zur App-Systematik gelingt über die Rollenlogik: Gruppe 1 entspricht der Familie „PV-Stromlieferung“ (Rollen B und V fallen auseinander), Gruppe 2 den Familien „PV-Mieten“ und „PV-Teil-Mieten“ (Rollen I und B fallen auseinander, B und V bleiben verbunden), Gruppe 3 den Gesellschaftskonstruktionen, mit denen mehrere Akteure zu einem Akteur zusammengefasst werden.</w:t>
      </w:r>
    </w:p>
    <w:p>
      <w:r>
        <w:t xml:space="preserve">Ergänzend enthält die Broschüre </w:t>
      </w:r>
      <w:r>
        <w:rPr>
          <w:b/>
          <w:bCs/>
        </w:rPr>
        <w:t xml:space="preserve">zehn Zähler- und Messkonzepte</w:t>
      </w:r>
      <w:r>
        <w:t xml:space="preserve"> – (1) Summenzähler einfach, (2) „1 Anlage, 1 Verbraucher“, (3) separate Anlagen, (4) Summenzähler mit Solarkundenzähler, (5a/5b) Kaskade, (6) virtuelle Zählpunkte, (7a/7b) Smart-Meter-Gateway, (8) virtuelles Summenzählermodell, (9) gemeinschaftliche Gebäudeversorgung, (10) Einzelzähler mit Energieverteilungseinheit – zugeordnet zu </w:t>
      </w:r>
      <w:r>
        <w:rPr>
          <w:b/>
          <w:bCs/>
        </w:rPr>
        <w:t xml:space="preserve">fünf Zielgruppen</w:t>
      </w:r>
      <w:r>
        <w:t xml:space="preserve">: Einfamilienhaus, Zweifamilienhaus, kleines Mehrfamilienhaus (3–20 Einheiten), großes Mehrfamilienhaus (über 20 Einheiten) und Gewerbe [26].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90"/>
          <w:left w:type="dxa" w:w="150"/>
          <w:bottom w:type="dxa" w:w="90"/>
          <w:right w:type="dxa" w:w="150"/>
        </w:tblCellMar>
      </w:tblPr>
      <w:tblGrid>
        <w:gridCol w:w="9638"/>
      </w:tblGrid>
      <w:tr>
        <w:trPr>
          <w:cantSplit/>
        </w:trPr>
        <w:tc>
          <w:tcPr>
            <w:tcW w:type="dxa" w:w="9638"/>
            <w:tcBorders>
              <w:top w:val="single" w:color="2E5395" w:sz="2"/>
              <w:left w:val="single" w:color="2E5395" w:sz="24"/>
              <w:bottom w:val="single" w:color="2E5395" w:sz="2"/>
              <w:right w:val="single" w:color="2E5395" w:sz="2"/>
            </w:tcBorders>
            <w:shd w:fill="EAF1FA" w:color="auto" w:val="clear"/>
          </w:tcPr>
          <w:p>
            <w:pPr>
              <w:spacing w:after="80" w:before="40"/>
            </w:pPr>
            <w:r>
              <w:rPr>
                <w:b/>
                <w:bCs/>
                <w:color w:val="2E5395"/>
                <w:sz w:val="20"/>
                <w:szCs w:val="20"/>
              </w:rPr>
              <w:t xml:space="preserve">Achtungszeichen BGH – Kundenanlage</w:t>
            </w:r>
          </w:p>
          <w:p>
            <w:pPr>
              <w:spacing w:after="60" w:before="40" w:line="250"/>
            </w:pPr>
            <w:r>
              <w:rPr>
                <w:sz w:val="19"/>
                <w:szCs w:val="19"/>
              </w:rPr>
              <w:t xml:space="preserve">Der Bundesgerichtshof hat am 13.05.2025 (EnVR 83/20) zum Begriff der Kundenanlage entschieden [26]. Konzepte, die auf einer weiten Auslegung des Kundenanlagenbegriffs beruhen – insbesondere Areal- und Quartierslösungen mit eigener Verteilinfrastruktur – sind vor Vertragsabschluss rechtlich zu prüfen. Für Mieterstrom im engeren Sinn (dasselbe Gebäude, keine Netzdurchleitung) und für die gemeinschaftliche Gebäudeversorgung ist die Entscheidung weniger kritisch, weil beide Modelle keine Kundenanlagen-Argumentation benötigen.</w:t>
            </w:r>
          </w:p>
        </w:tc>
      </w:tr>
    </w:tbl>
    <w:p>
      <w:pPr>
        <w:spacing w:after="160"/>
      </w:pPr>
      <w:r>
        <w:rPr>
          <w:sz w:val="8"/>
          <w:szCs w:val="8"/>
        </w:rPr>
        <w:t xml:space="preserve"/>
      </w:r>
    </w:p>
    <w:p>
      <w:r>
        <w:t xml:space="preserve">Preise der DGS-Vertragsmuster: Vertragspakete 300 €, 600 € und 700 €, Einzelvertrag 90 €, Handbuch als PDF 120 € – jeweils netto [26].</w:t>
      </w:r>
    </w:p>
    <w:p>
      <w:pPr>
        <w:pStyle w:val="Heading2"/>
      </w:pPr>
      <w:bookmarkStart w:id="900009" w:name="_Toc90000009"/>
      <w:r>
        <w:t xml:space="preserve">A4  Entscheidungshilfe Modellwahl</w:t>
      </w:r>
      <w:bookmarkEnd w:id="900009"/>
    </w:p>
    <w:p>
      <w:r>
        <w:t xml:space="preserve">Der folgende Entscheidungsbaum bildet die vier belegten Kernfragen ab. Er ersetzt nicht das interaktive Hilfetool der App, strukturiert aber das Erstgespräch.</w:t>
      </w:r>
    </w:p>
    <w:p>
      <w:pPr>
        <w:spacing w:after="60" w:before="160"/>
      </w:pPr>
      <w:r>
        <w:rPr>
          <w:b/>
          <w:bCs/>
        </w:rPr>
        <w:t xml:space="preserve">Frage 1 – Gibt es relevanten Stromverbrauch am Standort?</w:t>
      </w:r>
    </w:p>
    <w:p>
      <w:pPr>
        <w:spacing w:after="50" w:line="262"/>
        <w:ind w:left="340"/>
      </w:pPr>
      <w:r>
        <w:rPr>
          <w:i/>
          <w:iCs/>
        </w:rPr>
        <w:t xml:space="preserve">Nein</w:t>
      </w:r>
      <w:r>
        <w:t xml:space="preserve"> → Familie </w:t>
      </w:r>
      <w:r>
        <w:rPr>
          <w:b/>
          <w:bCs/>
        </w:rPr>
        <w:t xml:space="preserve">PV-Netz-Einspeisung</w:t>
      </w:r>
      <w:r>
        <w:t xml:space="preserve">. Prüfen: Volleinspeisungszuschlag nach § 48 Abs. 2a EEG (nur Gebäudeanlagen, Meldung vor Inbetriebnahme!). Warnung: Bei aktuellen Sätzen deckt die Volleinspeisung die Gestehungskosten kleiner Dachanlagen häufig nicht – siehe Fallbeispiel Teil C.</w:t>
      </w:r>
    </w:p>
    <w:p>
      <w:pPr>
        <w:spacing w:after="50" w:line="262"/>
        <w:ind w:left="340"/>
      </w:pPr>
      <w:r>
        <w:rPr>
          <w:i/>
          <w:iCs/>
        </w:rPr>
        <w:t xml:space="preserve">Ja</w:t>
      </w:r>
      <w:r>
        <w:t xml:space="preserve"> → Frage 2.</w:t>
      </w:r>
    </w:p>
    <w:p>
      <w:pPr>
        <w:spacing w:after="60" w:before="160"/>
      </w:pPr>
      <w:r>
        <w:rPr>
          <w:b/>
          <w:bCs/>
        </w:rPr>
        <w:t xml:space="preserve">Frage 2 – Verbraucht der Investor den Strom selbst?</w:t>
      </w:r>
    </w:p>
    <w:p>
      <w:pPr>
        <w:spacing w:after="50" w:line="262"/>
        <w:ind w:left="340"/>
      </w:pPr>
      <w:r>
        <w:rPr>
          <w:i/>
          <w:iCs/>
        </w:rPr>
        <w:t xml:space="preserve">Ja</w:t>
      </w:r>
      <w:r>
        <w:t xml:space="preserve"> → Familie </w:t>
      </w:r>
      <w:r>
        <w:rPr>
          <w:b/>
          <w:bCs/>
        </w:rPr>
        <w:t xml:space="preserve">PV-Überschuss-Einspeisung</w:t>
      </w:r>
      <w:r>
        <w:t xml:space="preserve">. Gehört ihm auch das Gebäude, ist es Modell 1 (</w:t>
      </w:r>
      <w:r>
        <w:rPr>
          <w:rFonts w:ascii="Consolas" w:cs="Consolas" w:eastAsia="Consolas" w:hAnsi="Consolas"/>
          <w:b/>
          <w:bCs/>
        </w:rPr>
        <w:t xml:space="preserve">I = B = G = V</w:t>
      </w:r>
      <w:r>
        <w:t xml:space="preserve">); ist er Mieter im Gebäude, ist es Modell 2 (</w:t>
      </w:r>
      <w:r>
        <w:rPr>
          <w:rFonts w:ascii="Consolas" w:cs="Consolas" w:eastAsia="Consolas" w:hAnsi="Consolas"/>
          <w:b/>
          <w:bCs/>
        </w:rPr>
        <w:t xml:space="preserve">I = B = V_M | G</w:t>
      </w:r>
      <w:r>
        <w:t xml:space="preserve">) mit zusätzlichem Dachmietvertrag.</w:t>
      </w:r>
    </w:p>
    <w:p>
      <w:pPr>
        <w:spacing w:after="50" w:line="262"/>
        <w:ind w:left="340"/>
      </w:pPr>
      <w:r>
        <w:rPr>
          <w:i/>
          <w:iCs/>
        </w:rPr>
        <w:t xml:space="preserve">Nein</w:t>
      </w:r>
      <w:r>
        <w:t xml:space="preserve"> → Frage 3.</w:t>
      </w:r>
    </w:p>
    <w:p>
      <w:pPr>
        <w:spacing w:after="60" w:before="160"/>
      </w:pPr>
      <w:r>
        <w:rPr>
          <w:b/>
          <w:bCs/>
        </w:rPr>
        <w:t xml:space="preserve">Frage 3 – Soll der Verbraucher Anlagenbetreiber werden?</w:t>
      </w:r>
    </w:p>
    <w:p>
      <w:pPr>
        <w:spacing w:after="50" w:line="262"/>
        <w:ind w:left="340"/>
      </w:pPr>
      <w:r>
        <w:rPr>
          <w:i/>
          <w:iCs/>
        </w:rPr>
        <w:t xml:space="preserve">Ja</w:t>
      </w:r>
      <w:r>
        <w:t xml:space="preserve"> → Familie </w:t>
      </w:r>
      <w:r>
        <w:rPr>
          <w:b/>
          <w:bCs/>
        </w:rPr>
        <w:t xml:space="preserve">PV-Mieten</w:t>
      </w:r>
      <w:r>
        <w:t xml:space="preserve"> (gesamte Anlage) oder </w:t>
      </w:r>
      <w:r>
        <w:rPr>
          <w:b/>
          <w:bCs/>
        </w:rPr>
        <w:t xml:space="preserve">PV-Teil-Mieten</w:t>
      </w:r>
      <w:r>
        <w:t xml:space="preserve"> (ideeller Anteil bei mehreren Nutzern). Vorteil: kein Lieferverhältnis, der Betreiber behält den EEG-Anspruch, energiewirtschaftliche Pflichten entfallen weitgehend.</w:t>
      </w:r>
    </w:p>
    <w:p>
      <w:pPr>
        <w:spacing w:after="50" w:line="262"/>
        <w:ind w:left="340"/>
      </w:pPr>
      <w:r>
        <w:rPr>
          <w:i/>
          <w:iCs/>
        </w:rPr>
        <w:t xml:space="preserve">Nein, der Betreiber soll liefern</w:t>
      </w:r>
      <w:r>
        <w:t xml:space="preserve"> → Familie </w:t>
      </w:r>
      <w:r>
        <w:rPr>
          <w:b/>
          <w:bCs/>
        </w:rPr>
        <w:t xml:space="preserve">PV-Stromlieferung</w:t>
      </w:r>
      <w:r>
        <w:t xml:space="preserve">, dann Frage 4.</w:t>
      </w:r>
    </w:p>
    <w:p>
      <w:pPr>
        <w:spacing w:after="60" w:before="160"/>
      </w:pPr>
      <w:r>
        <w:rPr>
          <w:b/>
          <w:bCs/>
        </w:rPr>
        <w:t xml:space="preserve">Frage 4 – Welche Lieferform?</w:t>
      </w:r>
    </w:p>
    <w:p>
      <w:pPr>
        <w:spacing w:after="50" w:line="262"/>
        <w:ind w:left="340"/>
      </w:pPr>
      <w:r>
        <w:rPr>
          <w:i/>
          <w:iCs/>
        </w:rPr>
        <w:t xml:space="preserve">Belieferung im selben Gebäude, ohne Netzdurchleitung, Vollversorgung gewünscht</w:t>
      </w:r>
      <w:r>
        <w:t xml:space="preserve"> → </w:t>
      </w:r>
      <w:r>
        <w:rPr>
          <w:b/>
          <w:bCs/>
        </w:rPr>
        <w:t xml:space="preserve">Mieterstrom</w:t>
      </w:r>
      <w:r>
        <w:t xml:space="preserve"> nach § 42a EnWG mit Mieterstromzuschlag, aber vollen Lieferantenpflichten und 90-%-Preisdeckel.</w:t>
      </w:r>
    </w:p>
    <w:p>
      <w:pPr>
        <w:spacing w:after="50" w:line="262"/>
        <w:ind w:left="340"/>
      </w:pPr>
      <w:r>
        <w:rPr>
          <w:i/>
          <w:iCs/>
        </w:rPr>
        <w:t xml:space="preserve">Belieferung im selben Gebäude, nur PV-Strom, reduzierte Pflichten</w:t>
      </w:r>
      <w:r>
        <w:t xml:space="preserve"> → </w:t>
      </w:r>
      <w:r>
        <w:rPr>
          <w:b/>
          <w:bCs/>
        </w:rPr>
        <w:t xml:space="preserve">gemeinschaftliche Gebäudeversorgung</w:t>
      </w:r>
      <w:r>
        <w:t xml:space="preserve"> nach § 42b EnWG – ohne Mieterstromzuschlag.</w:t>
      </w:r>
    </w:p>
    <w:p>
      <w:pPr>
        <w:spacing w:after="50" w:line="262"/>
        <w:ind w:left="340"/>
      </w:pPr>
      <w:r>
        <w:rPr>
          <w:i/>
          <w:iCs/>
        </w:rPr>
        <w:t xml:space="preserve">Teilen über das öffentliche Verteilnetz</w:t>
      </w:r>
      <w:r>
        <w:t xml:space="preserve"> → </w:t>
      </w:r>
      <w:r>
        <w:rPr>
          <w:b/>
          <w:bCs/>
        </w:rPr>
        <w:t xml:space="preserve">Energy Sharing</w:t>
      </w:r>
      <w:r>
        <w:t xml:space="preserve"> nach § 42c EnWG, anwendbar seit 01.06.2026, ohne eigene EEG-Förderung.</w:t>
      </w:r>
    </w:p>
    <w:p>
      <w:pPr>
        <w:spacing w:before="200"/>
      </w:pPr>
      <w:r>
        <w:rPr>
          <w:b/>
          <w:bCs/>
        </w:rPr>
        <w:t xml:space="preserve">Querschnittsprüfungen bei jeder Variante:</w:t>
      </w:r>
      <w:r>
        <w:t xml:space="preserve"> Wer investiert und wer schreibt ab (Investitionsabzugsbetrag, Sonderabschreibung, Nullsteuersatz, Kleinunternehmerregelung)? Ist ein Modellwechsel im Zeitverlauf sinnvoll? Welches Messkonzept trägt die gewählte Vertragsstruktur? Und – für 2026 entscheidend – ist eine Inbetriebnahme bis 31.12.2026 erreichbar (Bestandsschutz, siehe B3)?</w:t>
      </w:r>
    </w:p>
    <w:p>
      <w:pPr>
        <w:pStyle w:val="Heading1"/>
      </w:pPr>
      <w:bookmarkStart w:id="900010" w:name="_Toc90000010"/>
      <w:r>
        <w:t xml:space="preserve">B  Vergütungen und Erlösmodelle</w:t>
      </w:r>
      <w:bookmarkEnd w:id="900010"/>
    </w:p>
    <w:p>
      <w:pPr>
        <w:pStyle w:val="Heading2"/>
      </w:pPr>
      <w:bookmarkStart w:id="900011" w:name="_Toc90000011"/>
      <w:r>
        <w:t xml:space="preserve">B1  Die acht Erlöswege im Überblick</w:t>
      </w:r>
      <w:bookmarkEnd w:id="900011"/>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380"/>
        <w:gridCol w:w="1700"/>
        <w:gridCol w:w="1740"/>
        <w:gridCol w:w="2120"/>
        <w:gridCol w:w="2898"/>
        <w:gridCol w:w="800"/>
      </w:tblGrid>
      <w:tr>
        <w:trPr>
          <w:tblHeader/>
        </w:trPr>
        <w:tc>
          <w:tcPr>
            <w:tcW w:type="dxa" w:w="380"/>
            <w:shd w:fill="1F3864" w:color="auto" w:val="clear"/>
            <w:vAlign w:val="center"/>
          </w:tcPr>
          <w:p>
            <w:pPr>
              <w:spacing w:after="30" w:before="30" w:line="230"/>
              <w:jc w:val="left"/>
            </w:pPr>
            <w:r>
              <w:rPr>
                <w:b/>
                <w:bCs/>
                <w:color w:val="FFFFFF"/>
                <w:sz w:val="17"/>
                <w:szCs w:val="17"/>
              </w:rPr>
              <w:t xml:space="preserve"/>
            </w:r>
          </w:p>
        </w:tc>
        <w:tc>
          <w:tcPr>
            <w:tcW w:type="dxa" w:w="1700"/>
            <w:shd w:fill="1F3864" w:color="auto" w:val="clear"/>
            <w:vAlign w:val="center"/>
          </w:tcPr>
          <w:p>
            <w:pPr>
              <w:spacing w:after="30" w:before="30" w:line="230"/>
              <w:jc w:val="left"/>
            </w:pPr>
            <w:r>
              <w:rPr>
                <w:b/>
                <w:bCs/>
                <w:color w:val="FFFFFF"/>
                <w:sz w:val="17"/>
                <w:szCs w:val="17"/>
              </w:rPr>
              <w:t xml:space="preserve">Erlösweg</w:t>
            </w:r>
          </w:p>
        </w:tc>
        <w:tc>
          <w:tcPr>
            <w:tcW w:type="dxa" w:w="1740"/>
            <w:shd w:fill="1F3864" w:color="auto" w:val="clear"/>
            <w:vAlign w:val="center"/>
          </w:tcPr>
          <w:p>
            <w:pPr>
              <w:spacing w:after="30" w:before="30" w:line="230"/>
              <w:jc w:val="left"/>
            </w:pPr>
            <w:r>
              <w:rPr>
                <w:b/>
                <w:bCs/>
                <w:color w:val="FFFFFF"/>
                <w:sz w:val="17"/>
                <w:szCs w:val="17"/>
              </w:rPr>
              <w:t xml:space="preserve">Rechtsgrundlage</w:t>
            </w:r>
          </w:p>
        </w:tc>
        <w:tc>
          <w:tcPr>
            <w:tcW w:type="dxa" w:w="2120"/>
            <w:shd w:fill="1F3864" w:color="auto" w:val="clear"/>
            <w:vAlign w:val="center"/>
          </w:tcPr>
          <w:p>
            <w:pPr>
              <w:spacing w:after="30" w:before="30" w:line="230"/>
              <w:jc w:val="left"/>
            </w:pPr>
            <w:r>
              <w:rPr>
                <w:b/>
                <w:bCs/>
                <w:color w:val="FFFFFF"/>
                <w:sz w:val="17"/>
                <w:szCs w:val="17"/>
              </w:rPr>
              <w:t xml:space="preserve">Zulässigkeit / Grenzen</w:t>
            </w:r>
          </w:p>
        </w:tc>
        <w:tc>
          <w:tcPr>
            <w:tcW w:type="dxa" w:w="2898"/>
            <w:shd w:fill="1F3864" w:color="auto" w:val="clear"/>
            <w:vAlign w:val="center"/>
          </w:tcPr>
          <w:p>
            <w:pPr>
              <w:spacing w:after="30" w:before="30" w:line="230"/>
              <w:jc w:val="left"/>
            </w:pPr>
            <w:r>
              <w:rPr>
                <w:b/>
                <w:bCs/>
                <w:color w:val="FFFFFF"/>
                <w:sz w:val="17"/>
                <w:szCs w:val="17"/>
              </w:rPr>
              <w:t xml:space="preserve">Höhe / Formel</w:t>
            </w:r>
          </w:p>
        </w:tc>
        <w:tc>
          <w:tcPr>
            <w:tcW w:type="dxa" w:w="800"/>
            <w:shd w:fill="1F3864" w:color="auto" w:val="clear"/>
            <w:vAlign w:val="center"/>
          </w:tcPr>
          <w:p>
            <w:pPr>
              <w:spacing w:after="30" w:before="30" w:line="230"/>
              <w:jc w:val="center"/>
            </w:pPr>
            <w:r>
              <w:rPr>
                <w:b/>
                <w:bCs/>
                <w:color w:val="FFFFFF"/>
                <w:sz w:val="17"/>
                <w:szCs w:val="17"/>
              </w:rPr>
              <w:t xml:space="preserve">Quelle</w:t>
            </w:r>
          </w:p>
        </w:tc>
      </w:tr>
      <w:tr>
        <w:tc>
          <w:tcPr>
            <w:tcW w:type="dxa" w:w="380"/>
            <w:vAlign w:val="center"/>
          </w:tcPr>
          <w:p>
            <w:pPr>
              <w:spacing w:after="30" w:before="30" w:line="230"/>
              <w:jc w:val="center"/>
            </w:pPr>
            <w:r>
              <w:rPr>
                <w:b/>
                <w:bCs/>
                <w:sz w:val="17"/>
                <w:szCs w:val="17"/>
              </w:rPr>
              <w:t xml:space="preserve">a</w:t>
            </w:r>
          </w:p>
        </w:tc>
        <w:tc>
          <w:tcPr>
            <w:tcW w:type="dxa" w:w="1700"/>
            <w:vAlign w:val="center"/>
          </w:tcPr>
          <w:p>
            <w:pPr>
              <w:spacing w:after="30" w:before="30" w:line="230"/>
              <w:jc w:val="left"/>
            </w:pPr>
            <w:r>
              <w:rPr>
                <w:sz w:val="17"/>
                <w:szCs w:val="17"/>
              </w:rPr>
              <w:t xml:space="preserve">Feste Einspeisevergütung</w:t>
            </w:r>
          </w:p>
        </w:tc>
        <w:tc>
          <w:tcPr>
            <w:tcW w:type="dxa" w:w="1740"/>
            <w:vAlign w:val="center"/>
          </w:tcPr>
          <w:p>
            <w:pPr>
              <w:spacing w:after="30" w:before="30" w:line="230"/>
              <w:jc w:val="left"/>
            </w:pPr>
            <w:r>
              <w:rPr>
                <w:sz w:val="17"/>
                <w:szCs w:val="17"/>
              </w:rPr>
              <w:t xml:space="preserve">§ 21 Abs. 1 Nr. 1 i. V. m. § 53 Abs. 1 Nr. 2 EEG</w:t>
            </w:r>
          </w:p>
        </w:tc>
        <w:tc>
          <w:tcPr>
            <w:tcW w:type="dxa" w:w="2120"/>
            <w:vAlign w:val="center"/>
          </w:tcPr>
          <w:p>
            <w:pPr>
              <w:spacing w:after="30" w:before="30" w:line="230"/>
              <w:jc w:val="left"/>
            </w:pPr>
            <w:r>
              <w:rPr>
                <w:sz w:val="17"/>
                <w:szCs w:val="17"/>
              </w:rPr>
              <w:t xml:space="preserve">nur Anlagen ≤ 100 kW; keine Teilnahme am Regelenergiemarkt</w:t>
            </w:r>
          </w:p>
        </w:tc>
        <w:tc>
          <w:tcPr>
            <w:tcW w:type="dxa" w:w="2898"/>
            <w:vAlign w:val="center"/>
          </w:tcPr>
          <w:p>
            <w:pPr>
              <w:spacing w:after="30" w:before="30" w:line="230"/>
              <w:jc w:val="left"/>
            </w:pPr>
            <w:r>
              <w:rPr>
                <w:sz w:val="17"/>
                <w:szCs w:val="17"/>
              </w:rPr>
              <w:t xml:space="preserve">anzulegender Wert </w:t>
            </w:r>
            <w:r>
              <w:rPr>
                <w:b/>
                <w:bCs/>
                <w:sz w:val="17"/>
                <w:szCs w:val="17"/>
              </w:rPr>
              <w:t xml:space="preserve">minus 0,40 ct/kWh</w:t>
            </w:r>
          </w:p>
        </w:tc>
        <w:tc>
          <w:tcPr>
            <w:tcW w:type="dxa" w:w="800"/>
            <w:vAlign w:val="center"/>
          </w:tcPr>
          <w:p>
            <w:pPr>
              <w:spacing w:after="30" w:before="30" w:line="230"/>
              <w:jc w:val="center"/>
            </w:pPr>
            <w:r>
              <w:rPr>
                <w:sz w:val="17"/>
                <w:szCs w:val="17"/>
              </w:rPr>
              <w:t xml:space="preserve">[4]</w:t>
            </w:r>
          </w:p>
        </w:tc>
      </w:tr>
      <w:tr>
        <w:tc>
          <w:tcPr>
            <w:tcW w:type="dxa" w:w="380"/>
            <w:shd w:fill="F2F5FA" w:color="auto" w:val="clear"/>
            <w:vAlign w:val="center"/>
          </w:tcPr>
          <w:p>
            <w:pPr>
              <w:spacing w:after="30" w:before="30" w:line="230"/>
              <w:jc w:val="center"/>
            </w:pPr>
            <w:r>
              <w:rPr>
                <w:b/>
                <w:bCs/>
                <w:sz w:val="17"/>
                <w:szCs w:val="17"/>
              </w:rPr>
              <w:t xml:space="preserve">b</w:t>
            </w:r>
          </w:p>
        </w:tc>
        <w:tc>
          <w:tcPr>
            <w:tcW w:type="dxa" w:w="1700"/>
            <w:shd w:fill="F2F5FA" w:color="auto" w:val="clear"/>
            <w:vAlign w:val="center"/>
          </w:tcPr>
          <w:p>
            <w:pPr>
              <w:spacing w:after="30" w:before="30" w:line="230"/>
              <w:jc w:val="left"/>
            </w:pPr>
            <w:r>
              <w:rPr>
                <w:sz w:val="17"/>
                <w:szCs w:val="17"/>
              </w:rPr>
              <w:t xml:space="preserve">Marktprämie (geförderte Direktvermarktung)</w:t>
            </w:r>
          </w:p>
        </w:tc>
        <w:tc>
          <w:tcPr>
            <w:tcW w:type="dxa" w:w="1740"/>
            <w:shd w:fill="F2F5FA" w:color="auto" w:val="clear"/>
            <w:vAlign w:val="center"/>
          </w:tcPr>
          <w:p>
            <w:pPr>
              <w:spacing w:after="30" w:before="30" w:line="230"/>
              <w:jc w:val="left"/>
            </w:pPr>
            <w:r>
              <w:rPr>
                <w:sz w:val="17"/>
                <w:szCs w:val="17"/>
              </w:rPr>
              <w:t xml:space="preserve">§ 20 EEG, Anlage 1 zu § 23a EEG</w:t>
            </w:r>
          </w:p>
        </w:tc>
        <w:tc>
          <w:tcPr>
            <w:tcW w:type="dxa" w:w="2120"/>
            <w:shd w:fill="F2F5FA" w:color="auto" w:val="clear"/>
            <w:vAlign w:val="center"/>
          </w:tcPr>
          <w:p>
            <w:pPr>
              <w:spacing w:after="30" w:before="30" w:line="230"/>
              <w:jc w:val="left"/>
            </w:pPr>
            <w:r>
              <w:rPr>
                <w:sz w:val="17"/>
                <w:szCs w:val="17"/>
              </w:rPr>
              <w:t xml:space="preserve">freiwillig ≤ 100 kW, faktisch Pflicht &gt; 100 kW</w:t>
            </w:r>
          </w:p>
        </w:tc>
        <w:tc>
          <w:tcPr>
            <w:tcW w:type="dxa" w:w="2898"/>
            <w:shd w:fill="F2F5FA" w:color="auto" w:val="clear"/>
            <w:vAlign w:val="center"/>
          </w:tcPr>
          <w:p>
            <w:pPr>
              <w:spacing w:after="30" w:before="30" w:line="230"/>
              <w:jc w:val="left"/>
            </w:pPr>
            <w:r>
              <w:rPr>
                <w:b/>
                <w:bCs/>
                <w:sz w:val="17"/>
                <w:szCs w:val="17"/>
              </w:rPr>
              <w:t xml:space="preserve">MP = anzulegender Wert − Jahresmarktwert Solar</w:t>
            </w:r>
            <w:r>
              <w:rPr>
                <w:sz w:val="17"/>
                <w:szCs w:val="17"/>
              </w:rPr>
              <w:t xml:space="preserve"> (für Inbetriebnahme ab 01.01.2023; der Monatsmarktwert gilt nur für frühere Inbetriebnahmen); MP ≥ 0; Vermarktungskosten sind nicht gesetzlich geregelt, sondern vertraglich (Voreinstellung im Tool: 0,40 ct/kWh)</w:t>
            </w:r>
          </w:p>
        </w:tc>
        <w:tc>
          <w:tcPr>
            <w:tcW w:type="dxa" w:w="800"/>
            <w:shd w:fill="F2F5FA" w:color="auto" w:val="clear"/>
            <w:vAlign w:val="center"/>
          </w:tcPr>
          <w:p>
            <w:pPr>
              <w:spacing w:after="30" w:before="30" w:line="230"/>
              <w:jc w:val="center"/>
            </w:pPr>
            <w:r>
              <w:rPr>
                <w:sz w:val="17"/>
                <w:szCs w:val="17"/>
              </w:rPr>
              <w:t xml:space="preserve">[4][29]</w:t>
            </w:r>
          </w:p>
        </w:tc>
      </w:tr>
      <w:tr>
        <w:tc>
          <w:tcPr>
            <w:tcW w:type="dxa" w:w="380"/>
            <w:vAlign w:val="center"/>
          </w:tcPr>
          <w:p>
            <w:pPr>
              <w:spacing w:after="30" w:before="30" w:line="230"/>
              <w:jc w:val="center"/>
            </w:pPr>
            <w:r>
              <w:rPr>
                <w:b/>
                <w:bCs/>
                <w:sz w:val="17"/>
                <w:szCs w:val="17"/>
              </w:rPr>
              <w:t xml:space="preserve">c</w:t>
            </w:r>
          </w:p>
        </w:tc>
        <w:tc>
          <w:tcPr>
            <w:tcW w:type="dxa" w:w="1700"/>
            <w:vAlign w:val="center"/>
          </w:tcPr>
          <w:p>
            <w:pPr>
              <w:spacing w:after="30" w:before="30" w:line="230"/>
              <w:jc w:val="left"/>
            </w:pPr>
            <w:r>
              <w:rPr>
                <w:sz w:val="17"/>
                <w:szCs w:val="17"/>
              </w:rPr>
              <w:t xml:space="preserve">Ausschreibung</w:t>
            </w:r>
          </w:p>
        </w:tc>
        <w:tc>
          <w:tcPr>
            <w:tcW w:type="dxa" w:w="1740"/>
            <w:vAlign w:val="center"/>
          </w:tcPr>
          <w:p>
            <w:pPr>
              <w:spacing w:after="30" w:before="30" w:line="230"/>
              <w:jc w:val="left"/>
            </w:pPr>
            <w:r>
              <w:rPr>
                <w:sz w:val="17"/>
                <w:szCs w:val="17"/>
              </w:rPr>
              <w:t xml:space="preserve">§ 22 Abs. 3 EEG</w:t>
            </w:r>
          </w:p>
        </w:tc>
        <w:tc>
          <w:tcPr>
            <w:tcW w:type="dxa" w:w="2120"/>
            <w:vAlign w:val="center"/>
          </w:tcPr>
          <w:p>
            <w:pPr>
              <w:spacing w:after="30" w:before="30" w:line="230"/>
              <w:jc w:val="left"/>
            </w:pPr>
            <w:r>
              <w:rPr>
                <w:sz w:val="17"/>
                <w:szCs w:val="17"/>
              </w:rPr>
              <w:t xml:space="preserve">1. Segment &gt; 1 MW; 2. Segment Gebäude &gt; 1.000 kWp; maximale Gebotsgröße 20 MW; pay-as-bid </w:t>
            </w:r>
            <w:r>
              <w:rPr>
                <w:i/>
                <w:iCs/>
                <w:sz w:val="17"/>
                <w:szCs w:val="17"/>
              </w:rPr>
              <w:t xml:space="preserve">(die Anhebung der maximalen Gebotsgröße auf 50 MW steht unter Beihilfevorbehalt, siehe offene Punkte in Q2)</w:t>
            </w:r>
          </w:p>
        </w:tc>
        <w:tc>
          <w:tcPr>
            <w:tcW w:type="dxa" w:w="2898"/>
            <w:vAlign w:val="center"/>
          </w:tcPr>
          <w:p>
            <w:pPr>
              <w:spacing w:after="30" w:before="30" w:line="230"/>
              <w:jc w:val="left"/>
            </w:pPr>
            <w:r>
              <w:rPr>
                <w:sz w:val="17"/>
                <w:szCs w:val="17"/>
              </w:rPr>
              <w:t xml:space="preserve">Zuschlagswert wird zum anzulegenden Wert; Durchschnittswerte 2026 siehe B3</w:t>
            </w:r>
          </w:p>
        </w:tc>
        <w:tc>
          <w:tcPr>
            <w:tcW w:type="dxa" w:w="800"/>
            <w:vAlign w:val="center"/>
          </w:tcPr>
          <w:p>
            <w:pPr>
              <w:spacing w:after="30" w:before="30" w:line="230"/>
              <w:jc w:val="center"/>
            </w:pPr>
            <w:r>
              <w:rPr>
                <w:sz w:val="17"/>
                <w:szCs w:val="17"/>
              </w:rPr>
              <w:t xml:space="preserve">[4][5][6]</w:t>
            </w:r>
          </w:p>
        </w:tc>
      </w:tr>
      <w:tr>
        <w:tc>
          <w:tcPr>
            <w:tcW w:type="dxa" w:w="380"/>
            <w:shd w:fill="F2F5FA" w:color="auto" w:val="clear"/>
            <w:vAlign w:val="center"/>
          </w:tcPr>
          <w:p>
            <w:pPr>
              <w:spacing w:after="30" w:before="30" w:line="230"/>
              <w:jc w:val="center"/>
            </w:pPr>
            <w:r>
              <w:rPr>
                <w:b/>
                <w:bCs/>
                <w:sz w:val="17"/>
                <w:szCs w:val="17"/>
              </w:rPr>
              <w:t xml:space="preserve">d</w:t>
            </w:r>
          </w:p>
        </w:tc>
        <w:tc>
          <w:tcPr>
            <w:tcW w:type="dxa" w:w="1700"/>
            <w:shd w:fill="F2F5FA" w:color="auto" w:val="clear"/>
            <w:vAlign w:val="center"/>
          </w:tcPr>
          <w:p>
            <w:pPr>
              <w:spacing w:after="30" w:before="30" w:line="230"/>
              <w:jc w:val="left"/>
            </w:pPr>
            <w:r>
              <w:rPr>
                <w:sz w:val="17"/>
                <w:szCs w:val="17"/>
              </w:rPr>
              <w:t xml:space="preserve">Sonstige Direktvermarktung / PPA</w:t>
            </w:r>
          </w:p>
        </w:tc>
        <w:tc>
          <w:tcPr>
            <w:tcW w:type="dxa" w:w="1740"/>
            <w:shd w:fill="F2F5FA" w:color="auto" w:val="clear"/>
            <w:vAlign w:val="center"/>
          </w:tcPr>
          <w:p>
            <w:pPr>
              <w:spacing w:after="30" w:before="30" w:line="230"/>
              <w:jc w:val="left"/>
            </w:pPr>
            <w:r>
              <w:rPr>
                <w:sz w:val="17"/>
                <w:szCs w:val="17"/>
              </w:rPr>
              <w:t xml:space="preserve">§ 21a EEG</w:t>
            </w:r>
          </w:p>
        </w:tc>
        <w:tc>
          <w:tcPr>
            <w:tcW w:type="dxa" w:w="2120"/>
            <w:shd w:fill="F2F5FA" w:color="auto" w:val="clear"/>
            <w:vAlign w:val="center"/>
          </w:tcPr>
          <w:p>
            <w:pPr>
              <w:spacing w:after="30" w:before="30" w:line="230"/>
              <w:jc w:val="left"/>
            </w:pPr>
            <w:r>
              <w:rPr>
                <w:sz w:val="17"/>
                <w:szCs w:val="17"/>
              </w:rPr>
              <w:t xml:space="preserve">jede Anlage; kein EEG-Zahlungsanspruch; die Grünstromeigenschaft verbleibt beim Betreiber</w:t>
            </w:r>
          </w:p>
        </w:tc>
        <w:tc>
          <w:tcPr>
            <w:tcW w:type="dxa" w:w="2898"/>
            <w:shd w:fill="F2F5FA" w:color="auto" w:val="clear"/>
            <w:vAlign w:val="center"/>
          </w:tcPr>
          <w:p>
            <w:pPr>
              <w:spacing w:after="30" w:before="30" w:line="230"/>
              <w:jc w:val="left"/>
            </w:pPr>
            <w:r>
              <w:rPr>
                <w:sz w:val="17"/>
                <w:szCs w:val="17"/>
              </w:rPr>
              <w:t xml:space="preserve">frei verhandelt; Marktreferenz Solar Deutschland 2025: </w:t>
            </w:r>
            <w:r>
              <w:rPr>
                <w:b/>
                <w:bCs/>
                <w:sz w:val="17"/>
                <w:szCs w:val="17"/>
              </w:rPr>
              <w:t xml:space="preserve">3,5–4,5 ct/kWh</w:t>
            </w:r>
          </w:p>
        </w:tc>
        <w:tc>
          <w:tcPr>
            <w:tcW w:type="dxa" w:w="800"/>
            <w:shd w:fill="F2F5FA" w:color="auto" w:val="clear"/>
            <w:vAlign w:val="center"/>
          </w:tcPr>
          <w:p>
            <w:pPr>
              <w:spacing w:after="30" w:before="30" w:line="230"/>
              <w:jc w:val="center"/>
            </w:pPr>
            <w:r>
              <w:rPr>
                <w:sz w:val="17"/>
                <w:szCs w:val="17"/>
              </w:rPr>
              <w:t xml:space="preserve">[4][10]</w:t>
            </w:r>
          </w:p>
        </w:tc>
      </w:tr>
      <w:tr>
        <w:tc>
          <w:tcPr>
            <w:tcW w:type="dxa" w:w="380"/>
            <w:vAlign w:val="center"/>
          </w:tcPr>
          <w:p>
            <w:pPr>
              <w:spacing w:after="30" w:before="30" w:line="230"/>
              <w:jc w:val="center"/>
            </w:pPr>
            <w:r>
              <w:rPr>
                <w:b/>
                <w:bCs/>
                <w:sz w:val="17"/>
                <w:szCs w:val="17"/>
              </w:rPr>
              <w:t xml:space="preserve">e</w:t>
            </w:r>
          </w:p>
        </w:tc>
        <w:tc>
          <w:tcPr>
            <w:tcW w:type="dxa" w:w="1700"/>
            <w:vAlign w:val="center"/>
          </w:tcPr>
          <w:p>
            <w:pPr>
              <w:spacing w:after="30" w:before="30" w:line="230"/>
              <w:jc w:val="left"/>
            </w:pPr>
            <w:r>
              <w:rPr>
                <w:sz w:val="17"/>
                <w:szCs w:val="17"/>
              </w:rPr>
              <w:t xml:space="preserve">Mieterstromzuschlag</w:t>
            </w:r>
          </w:p>
        </w:tc>
        <w:tc>
          <w:tcPr>
            <w:tcW w:type="dxa" w:w="1740"/>
            <w:vAlign w:val="center"/>
          </w:tcPr>
          <w:p>
            <w:pPr>
              <w:spacing w:after="30" w:before="30" w:line="230"/>
              <w:jc w:val="left"/>
            </w:pPr>
            <w:r>
              <w:rPr>
                <w:sz w:val="17"/>
                <w:szCs w:val="17"/>
              </w:rPr>
              <w:t xml:space="preserve">§ 19 Abs. 1 Nr. 3, § 21 Abs. 3, § 48a EEG; § 42a EnWG</w:t>
            </w:r>
          </w:p>
        </w:tc>
        <w:tc>
          <w:tcPr>
            <w:tcW w:type="dxa" w:w="2120"/>
            <w:vAlign w:val="center"/>
          </w:tcPr>
          <w:p>
            <w:pPr>
              <w:spacing w:after="30" w:before="30" w:line="230"/>
              <w:jc w:val="left"/>
            </w:pPr>
            <w:r>
              <w:rPr>
                <w:sz w:val="17"/>
                <w:szCs w:val="17"/>
              </w:rPr>
              <w:t xml:space="preserve">ohne Netzdurchleitung; seit Solarpaket I für alle Gebäudetypen; zusätzlich zur Einspeisevergütung für den Überschuss; Vollversorgungsgebot, Preisdeckel 90 % des Grundversorgungstarifs</w:t>
            </w:r>
          </w:p>
        </w:tc>
        <w:tc>
          <w:tcPr>
            <w:tcW w:type="dxa" w:w="2898"/>
            <w:vAlign w:val="center"/>
          </w:tcPr>
          <w:p>
            <w:pPr>
              <w:spacing w:after="30" w:before="30" w:line="230"/>
              <w:jc w:val="left"/>
            </w:pPr>
            <w:r>
              <w:rPr>
                <w:sz w:val="17"/>
                <w:szCs w:val="17"/>
              </w:rPr>
              <w:t xml:space="preserve">Inbetriebnahme 08/2026–01/2027: </w:t>
            </w:r>
            <w:r>
              <w:rPr>
                <w:b/>
                <w:bCs/>
                <w:sz w:val="17"/>
                <w:szCs w:val="17"/>
              </w:rPr>
              <w:t xml:space="preserve">2,51 / 2,33 / 1,57 ct/kWh</w:t>
            </w:r>
            <w:r>
              <w:rPr>
                <w:sz w:val="17"/>
                <w:szCs w:val="17"/>
              </w:rPr>
              <w:t xml:space="preserve"> (≤ 10 / ≤ 40 / ≤ 1.000 kW)</w:t>
            </w:r>
          </w:p>
        </w:tc>
        <w:tc>
          <w:tcPr>
            <w:tcW w:type="dxa" w:w="800"/>
            <w:vAlign w:val="center"/>
          </w:tcPr>
          <w:p>
            <w:pPr>
              <w:spacing w:after="30" w:before="30" w:line="230"/>
              <w:jc w:val="center"/>
            </w:pPr>
            <w:r>
              <w:rPr>
                <w:sz w:val="17"/>
                <w:szCs w:val="17"/>
              </w:rPr>
              <w:t xml:space="preserve">[1][2][4]</w:t>
            </w:r>
          </w:p>
        </w:tc>
      </w:tr>
      <w:tr>
        <w:tc>
          <w:tcPr>
            <w:tcW w:type="dxa" w:w="380"/>
            <w:shd w:fill="F2F5FA" w:color="auto" w:val="clear"/>
            <w:vAlign w:val="center"/>
          </w:tcPr>
          <w:p>
            <w:pPr>
              <w:spacing w:after="30" w:before="30" w:line="230"/>
              <w:jc w:val="center"/>
            </w:pPr>
            <w:r>
              <w:rPr>
                <w:b/>
                <w:bCs/>
                <w:sz w:val="17"/>
                <w:szCs w:val="17"/>
              </w:rPr>
              <w:t xml:space="preserve">f</w:t>
            </w:r>
          </w:p>
        </w:tc>
        <w:tc>
          <w:tcPr>
            <w:tcW w:type="dxa" w:w="1700"/>
            <w:shd w:fill="F2F5FA" w:color="auto" w:val="clear"/>
            <w:vAlign w:val="center"/>
          </w:tcPr>
          <w:p>
            <w:pPr>
              <w:spacing w:after="30" w:before="30" w:line="230"/>
              <w:jc w:val="left"/>
            </w:pPr>
            <w:r>
              <w:rPr>
                <w:sz w:val="17"/>
                <w:szCs w:val="17"/>
              </w:rPr>
              <w:t xml:space="preserve">Ausfallvergütung</w:t>
            </w:r>
          </w:p>
        </w:tc>
        <w:tc>
          <w:tcPr>
            <w:tcW w:type="dxa" w:w="1740"/>
            <w:shd w:fill="F2F5FA" w:color="auto" w:val="clear"/>
            <w:vAlign w:val="center"/>
          </w:tcPr>
          <w:p>
            <w:pPr>
              <w:spacing w:after="30" w:before="30" w:line="230"/>
              <w:jc w:val="left"/>
            </w:pPr>
            <w:r>
              <w:rPr>
                <w:b/>
                <w:bCs/>
                <w:sz w:val="17"/>
                <w:szCs w:val="17"/>
              </w:rPr>
              <w:t xml:space="preserve">§ 21 Abs. 1 S. 1 Nr. 3 i. V. m. § 53 Abs. 3 EEG</w:t>
            </w:r>
          </w:p>
        </w:tc>
        <w:tc>
          <w:tcPr>
            <w:tcW w:type="dxa" w:w="2120"/>
            <w:shd w:fill="F2F5FA" w:color="auto" w:val="clear"/>
            <w:vAlign w:val="center"/>
          </w:tcPr>
          <w:p>
            <w:pPr>
              <w:spacing w:after="30" w:before="30" w:line="230"/>
              <w:jc w:val="left"/>
            </w:pPr>
            <w:r>
              <w:rPr>
                <w:b/>
                <w:bCs/>
                <w:sz w:val="17"/>
                <w:szCs w:val="17"/>
              </w:rPr>
              <w:t xml:space="preserve">nur Anlagen &gt; 100 kW</w:t>
            </w:r>
            <w:r>
              <w:rPr>
                <w:sz w:val="17"/>
                <w:szCs w:val="17"/>
              </w:rPr>
              <w:t xml:space="preserve">; maximal 3 Monate in Folge, 6 Monate je Kalenderjahr</w:t>
            </w:r>
          </w:p>
        </w:tc>
        <w:tc>
          <w:tcPr>
            <w:tcW w:type="dxa" w:w="2898"/>
            <w:shd w:fill="F2F5FA" w:color="auto" w:val="clear"/>
            <w:vAlign w:val="center"/>
          </w:tcPr>
          <w:p>
            <w:pPr>
              <w:spacing w:after="30" w:before="30" w:line="230"/>
              <w:jc w:val="left"/>
            </w:pPr>
            <w:r>
              <w:rPr>
                <w:b/>
                <w:bCs/>
                <w:sz w:val="17"/>
                <w:szCs w:val="17"/>
              </w:rPr>
              <w:t xml:space="preserve">80 % des anzulegenden Wertes</w:t>
            </w:r>
            <w:r>
              <w:rPr>
                <w:sz w:val="17"/>
                <w:szCs w:val="17"/>
              </w:rPr>
              <w:t xml:space="preserve"> (Abschlag 20 %)</w:t>
            </w:r>
          </w:p>
        </w:tc>
        <w:tc>
          <w:tcPr>
            <w:tcW w:type="dxa" w:w="800"/>
            <w:shd w:fill="F2F5FA" w:color="auto" w:val="clear"/>
            <w:vAlign w:val="center"/>
          </w:tcPr>
          <w:p>
            <w:pPr>
              <w:spacing w:after="30" w:before="30" w:line="230"/>
              <w:jc w:val="center"/>
            </w:pPr>
            <w:r>
              <w:rPr>
                <w:sz w:val="17"/>
                <w:szCs w:val="17"/>
              </w:rPr>
              <w:t xml:space="preserve">[4]</w:t>
            </w:r>
          </w:p>
        </w:tc>
      </w:tr>
      <w:tr>
        <w:tc>
          <w:tcPr>
            <w:tcW w:type="dxa" w:w="380"/>
            <w:vAlign w:val="center"/>
          </w:tcPr>
          <w:p>
            <w:pPr>
              <w:spacing w:after="30" w:before="30" w:line="230"/>
              <w:jc w:val="center"/>
            </w:pPr>
            <w:r>
              <w:rPr>
                <w:b/>
                <w:bCs/>
                <w:sz w:val="17"/>
                <w:szCs w:val="17"/>
              </w:rPr>
              <w:t xml:space="preserve">g</w:t>
            </w:r>
          </w:p>
        </w:tc>
        <w:tc>
          <w:tcPr>
            <w:tcW w:type="dxa" w:w="1700"/>
            <w:vAlign w:val="center"/>
          </w:tcPr>
          <w:p>
            <w:pPr>
              <w:spacing w:after="30" w:before="30" w:line="230"/>
              <w:jc w:val="left"/>
            </w:pPr>
            <w:r>
              <w:rPr>
                <w:sz w:val="17"/>
                <w:szCs w:val="17"/>
              </w:rPr>
              <w:t xml:space="preserve">Zuschlag Volleinspeisung</w:t>
            </w:r>
          </w:p>
        </w:tc>
        <w:tc>
          <w:tcPr>
            <w:tcW w:type="dxa" w:w="1740"/>
            <w:vAlign w:val="center"/>
          </w:tcPr>
          <w:p>
            <w:pPr>
              <w:spacing w:after="30" w:before="30" w:line="230"/>
              <w:jc w:val="left"/>
            </w:pPr>
            <w:r>
              <w:rPr>
                <w:sz w:val="17"/>
                <w:szCs w:val="17"/>
              </w:rPr>
              <w:t xml:space="preserve">§ 48 Abs. 2a EEG</w:t>
            </w:r>
          </w:p>
        </w:tc>
        <w:tc>
          <w:tcPr>
            <w:tcW w:type="dxa" w:w="2120"/>
            <w:vAlign w:val="center"/>
          </w:tcPr>
          <w:p>
            <w:pPr>
              <w:spacing w:after="30" w:before="30" w:line="230"/>
              <w:jc w:val="left"/>
            </w:pPr>
            <w:r>
              <w:rPr>
                <w:sz w:val="17"/>
                <w:szCs w:val="17"/>
              </w:rPr>
              <w:t xml:space="preserve">nur Gebäudeanlagen; </w:t>
            </w:r>
            <w:r>
              <w:rPr>
                <w:b/>
                <w:bCs/>
                <w:sz w:val="17"/>
                <w:szCs w:val="17"/>
              </w:rPr>
              <w:t xml:space="preserve">Meldung in Textform vor Inbetriebnahme bzw. jeweils vor dem 1. Dezember des Vorjahres</w:t>
            </w:r>
          </w:p>
        </w:tc>
        <w:tc>
          <w:tcPr>
            <w:tcW w:type="dxa" w:w="2898"/>
            <w:vAlign w:val="center"/>
          </w:tcPr>
          <w:p>
            <w:pPr>
              <w:spacing w:after="30" w:before="30" w:line="230"/>
              <w:jc w:val="left"/>
            </w:pPr>
            <w:r>
              <w:rPr>
                <w:sz w:val="17"/>
                <w:szCs w:val="17"/>
              </w:rPr>
              <w:t xml:space="preserve">Stufen (Basis 2023): + 4,8 / + 3,8 / + 5,1 / + 3,2 / + 1,9 ct/kWh, seither degressiert</w:t>
            </w:r>
          </w:p>
        </w:tc>
        <w:tc>
          <w:tcPr>
            <w:tcW w:type="dxa" w:w="800"/>
            <w:vAlign w:val="center"/>
          </w:tcPr>
          <w:p>
            <w:pPr>
              <w:spacing w:after="30" w:before="30" w:line="230"/>
              <w:jc w:val="center"/>
            </w:pPr>
            <w:r>
              <w:rPr>
                <w:sz w:val="17"/>
                <w:szCs w:val="17"/>
              </w:rPr>
              <w:t xml:space="preserve">[2][4]</w:t>
            </w:r>
          </w:p>
        </w:tc>
      </w:tr>
      <w:tr>
        <w:tc>
          <w:tcPr>
            <w:tcW w:type="dxa" w:w="380"/>
            <w:shd w:fill="F2F5FA" w:color="auto" w:val="clear"/>
            <w:vAlign w:val="center"/>
          </w:tcPr>
          <w:p>
            <w:pPr>
              <w:spacing w:after="30" w:before="30" w:line="230"/>
              <w:jc w:val="center"/>
            </w:pPr>
            <w:r>
              <w:rPr>
                <w:b/>
                <w:bCs/>
                <w:sz w:val="17"/>
                <w:szCs w:val="17"/>
              </w:rPr>
              <w:t xml:space="preserve">h</w:t>
            </w:r>
          </w:p>
        </w:tc>
        <w:tc>
          <w:tcPr>
            <w:tcW w:type="dxa" w:w="1700"/>
            <w:shd w:fill="F2F5FA" w:color="auto" w:val="clear"/>
            <w:vAlign w:val="center"/>
          </w:tcPr>
          <w:p>
            <w:pPr>
              <w:spacing w:after="30" w:before="30" w:line="230"/>
              <w:jc w:val="left"/>
            </w:pPr>
            <w:r>
              <w:rPr>
                <w:sz w:val="17"/>
                <w:szCs w:val="17"/>
              </w:rPr>
              <w:t xml:space="preserve">Unentgeltliche Abnahme</w:t>
            </w:r>
          </w:p>
        </w:tc>
        <w:tc>
          <w:tcPr>
            <w:tcW w:type="dxa" w:w="1740"/>
            <w:shd w:fill="F2F5FA" w:color="auto" w:val="clear"/>
            <w:vAlign w:val="center"/>
          </w:tcPr>
          <w:p>
            <w:pPr>
              <w:spacing w:after="30" w:before="30" w:line="230"/>
              <w:jc w:val="left"/>
            </w:pPr>
            <w:r>
              <w:rPr>
                <w:sz w:val="17"/>
                <w:szCs w:val="17"/>
              </w:rPr>
              <w:t xml:space="preserve">§ 21 Abs. 1 Nr. 2 EEG</w:t>
            </w:r>
          </w:p>
        </w:tc>
        <w:tc>
          <w:tcPr>
            <w:tcW w:type="dxa" w:w="2120"/>
            <w:shd w:fill="F2F5FA" w:color="auto" w:val="clear"/>
            <w:vAlign w:val="center"/>
          </w:tcPr>
          <w:p>
            <w:pPr>
              <w:spacing w:after="30" w:before="30" w:line="230"/>
              <w:jc w:val="left"/>
            </w:pPr>
            <w:r>
              <w:rPr>
                <w:sz w:val="17"/>
                <w:szCs w:val="17"/>
              </w:rPr>
              <w:t xml:space="preserve">Anlagen &lt; 200 kW</w:t>
            </w:r>
          </w:p>
        </w:tc>
        <w:tc>
          <w:tcPr>
            <w:tcW w:type="dxa" w:w="2898"/>
            <w:shd w:fill="F2F5FA" w:color="auto" w:val="clear"/>
            <w:vAlign w:val="center"/>
          </w:tcPr>
          <w:p>
            <w:pPr>
              <w:spacing w:after="30" w:before="30" w:line="230"/>
              <w:jc w:val="left"/>
            </w:pPr>
            <w:r>
              <w:rPr>
                <w:sz w:val="17"/>
                <w:szCs w:val="17"/>
              </w:rPr>
              <w:t xml:space="preserve">Anspruch auf null; </w:t>
            </w:r>
            <w:r>
              <w:rPr>
                <w:b/>
                <w:bCs/>
                <w:sz w:val="17"/>
                <w:szCs w:val="17"/>
              </w:rPr>
              <w:t xml:space="preserve">kein</w:t>
            </w:r>
            <w:r>
              <w:rPr>
                <w:sz w:val="17"/>
                <w:szCs w:val="17"/>
              </w:rPr>
              <w:t xml:space="preserve"> Abzug von 0,40 ct/kWh</w:t>
            </w:r>
          </w:p>
        </w:tc>
        <w:tc>
          <w:tcPr>
            <w:tcW w:type="dxa" w:w="800"/>
            <w:shd w:fill="F2F5FA" w:color="auto" w:val="clear"/>
            <w:vAlign w:val="center"/>
          </w:tcPr>
          <w:p>
            <w:pPr>
              <w:spacing w:after="30" w:before="30" w:line="230"/>
              <w:jc w:val="center"/>
            </w:pPr>
            <w:r>
              <w:rPr>
                <w:sz w:val="17"/>
                <w:szCs w:val="17"/>
              </w:rPr>
              <w:t xml:space="preserve">[4]</w:t>
            </w:r>
          </w:p>
        </w:tc>
      </w:tr>
    </w:tbl>
    <w:p>
      <w:pPr>
        <w:spacing w:after="100"/>
      </w:pPr>
      <w:r>
        <w:rPr>
          <w:sz w:val="8"/>
          <w:szCs w:val="8"/>
        </w:rPr>
        <w:t xml:space="preserve"/>
      </w:r>
    </w:p>
    <w:p>
      <w:r>
        <w:t xml:space="preserve">Zwei weitere Erlösmodelle sind reine Werkzeugfunktionen ohne eigenen EEG-Anspruch: der </w:t>
      </w:r>
      <w:r>
        <w:rPr>
          <w:b/>
          <w:bCs/>
        </w:rPr>
        <w:t xml:space="preserve">freie Vergütungssatz</w:t>
      </w:r>
      <w:r>
        <w:t xml:space="preserve"> (frei eingebbar, für langfristige Projektbetrachtungen und die Zeit nach dem Förderende) und der </w:t>
      </w:r>
      <w:r>
        <w:rPr>
          <w:b/>
          <w:bCs/>
        </w:rPr>
        <w:t xml:space="preserve">Marktwert Solar</w:t>
      </w:r>
      <w:r>
        <w:t xml:space="preserve"> (in pv@now easy-Ü20 der Jahresmarktwert nach § 23b EEG) [22][29].</w:t>
      </w:r>
    </w:p>
    <w:p>
      <w:r>
        <w:t xml:space="preserve">Ebenfalls kein Erlösweg im engeren Sinn, wirtschaftlich aber der wichtigste Hebel: der </w:t>
      </w:r>
      <w:r>
        <w:rPr>
          <w:b/>
          <w:bCs/>
        </w:rPr>
        <w:t xml:space="preserve">vermiedene Netzbezug</w:t>
      </w:r>
      <w:r>
        <w:t xml:space="preserve"> durch Eigenverbrauch. Er ist keine Vergütung, sondern eine Kostenersparnis, und liegt in Höhe des vollen Arbeitspreises einschließlich Netzentgelten, Umlagen und Steuern – im Fallbeispiel im Mittel 45,83 ct/kWh gegenüber 7,47 ct/kWh Einspeisevergütung [29].</w:t>
      </w:r>
    </w:p>
    <w:p>
      <w:pPr>
        <w:pStyle w:val="Heading2"/>
      </w:pPr>
      <w:bookmarkStart w:id="900012" w:name="_Toc90000012"/>
      <w:r>
        <w:t xml:space="preserve">B2  Aktuelle Vergütungssätze</w:t>
      </w:r>
      <w:bookmarkEnd w:id="900012"/>
    </w:p>
    <w:p>
      <w:r>
        <w:rPr>
          <w:b/>
          <w:bCs/>
        </w:rPr>
        <w:t xml:space="preserve">Feste Einspeisevergütung</w:t>
      </w:r>
      <w:r>
        <w:t xml:space="preserve"> (§ 21 Abs. 1 Nr. 1 i. V. m. § 53 Abs. 1 Nr. 2 EEG; nur ≤ 100 kW; entspricht dem anzulegenden Wert minus 0,40 ct/kWh), in ct/kWh netto:</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400"/>
        <w:gridCol w:w="1100"/>
        <w:gridCol w:w="3069"/>
        <w:gridCol w:w="3069"/>
      </w:tblGrid>
      <w:tr>
        <w:trPr>
          <w:tblHeader/>
        </w:trPr>
        <w:tc>
          <w:tcPr>
            <w:tcW w:type="dxa" w:w="2400"/>
            <w:shd w:fill="1F3864" w:color="auto" w:val="clear"/>
            <w:vAlign w:val="center"/>
          </w:tcPr>
          <w:p>
            <w:pPr>
              <w:spacing w:after="30" w:before="30" w:line="230"/>
              <w:jc w:val="left"/>
            </w:pPr>
            <w:r>
              <w:rPr>
                <w:b/>
                <w:bCs/>
                <w:color w:val="FFFFFF"/>
                <w:sz w:val="17"/>
                <w:szCs w:val="17"/>
              </w:rPr>
              <w:t xml:space="preserve">Anlagentyp</w:t>
            </w:r>
          </w:p>
        </w:tc>
        <w:tc>
          <w:tcPr>
            <w:tcW w:type="dxa" w:w="1100"/>
            <w:shd w:fill="1F3864" w:color="auto" w:val="clear"/>
            <w:vAlign w:val="center"/>
          </w:tcPr>
          <w:p>
            <w:pPr>
              <w:spacing w:after="30" w:before="30" w:line="230"/>
              <w:jc w:val="center"/>
            </w:pPr>
            <w:r>
              <w:rPr>
                <w:b/>
                <w:bCs/>
                <w:color w:val="FFFFFF"/>
                <w:sz w:val="17"/>
                <w:szCs w:val="17"/>
              </w:rPr>
              <w:t xml:space="preserve">bis kW</w:t>
            </w:r>
          </w:p>
        </w:tc>
        <w:tc>
          <w:tcPr>
            <w:tcW w:type="dxa" w:w="3069"/>
            <w:shd w:fill="1F3864" w:color="auto" w:val="clear"/>
            <w:vAlign w:val="center"/>
          </w:tcPr>
          <w:p>
            <w:pPr>
              <w:spacing w:after="30" w:before="30" w:line="230"/>
              <w:jc w:val="center"/>
            </w:pPr>
            <w:r>
              <w:rPr>
                <w:b/>
                <w:bCs/>
                <w:color w:val="FFFFFF"/>
                <w:sz w:val="17"/>
                <w:szCs w:val="17"/>
              </w:rPr>
              <w:t xml:space="preserve">IBN 01.08.2026–31.01.2027   Teil / Voll</w:t>
            </w:r>
          </w:p>
        </w:tc>
        <w:tc>
          <w:tcPr>
            <w:tcW w:type="dxa" w:w="3069"/>
            <w:shd w:fill="1F3864" w:color="auto" w:val="clear"/>
            <w:vAlign w:val="center"/>
          </w:tcPr>
          <w:p>
            <w:pPr>
              <w:spacing w:after="30" w:before="30" w:line="230"/>
              <w:jc w:val="center"/>
            </w:pPr>
            <w:r>
              <w:rPr>
                <w:b/>
                <w:bCs/>
                <w:color w:val="FFFFFF"/>
                <w:sz w:val="17"/>
                <w:szCs w:val="17"/>
              </w:rPr>
              <w:t xml:space="preserve">IBN 01.02.2026–31.07.2026   Teil / Voll</w:t>
            </w:r>
          </w:p>
        </w:tc>
      </w:tr>
      <w:tr>
        <w:tc>
          <w:tcPr>
            <w:tcW w:type="dxa" w:w="2400"/>
            <w:vAlign w:val="center"/>
          </w:tcPr>
          <w:p>
            <w:pPr>
              <w:spacing w:after="30" w:before="30" w:line="230"/>
              <w:jc w:val="left"/>
            </w:pPr>
            <w:r>
              <w:rPr>
                <w:sz w:val="17"/>
                <w:szCs w:val="17"/>
              </w:rPr>
              <w:t xml:space="preserve">Gebäude / Lärmschutzwand</w:t>
            </w:r>
          </w:p>
        </w:tc>
        <w:tc>
          <w:tcPr>
            <w:tcW w:type="dxa" w:w="1100"/>
            <w:vAlign w:val="center"/>
          </w:tcPr>
          <w:p>
            <w:pPr>
              <w:spacing w:after="30" w:before="30" w:line="230"/>
              <w:jc w:val="center"/>
            </w:pPr>
            <w:r>
              <w:rPr>
                <w:sz w:val="17"/>
                <w:szCs w:val="17"/>
              </w:rPr>
              <w:t xml:space="preserve">10</w:t>
            </w:r>
          </w:p>
        </w:tc>
        <w:tc>
          <w:tcPr>
            <w:tcW w:type="dxa" w:w="3069"/>
            <w:vAlign w:val="center"/>
          </w:tcPr>
          <w:p>
            <w:pPr>
              <w:spacing w:after="30" w:before="30" w:line="230"/>
              <w:jc w:val="center"/>
            </w:pPr>
            <w:r>
              <w:rPr>
                <w:b/>
                <w:bCs/>
                <w:sz w:val="17"/>
                <w:szCs w:val="17"/>
              </w:rPr>
              <w:t xml:space="preserve">7,70 / 12,22</w:t>
            </w:r>
          </w:p>
        </w:tc>
        <w:tc>
          <w:tcPr>
            <w:tcW w:type="dxa" w:w="3069"/>
            <w:vAlign w:val="center"/>
          </w:tcPr>
          <w:p>
            <w:pPr>
              <w:spacing w:after="30" w:before="30" w:line="230"/>
              <w:jc w:val="center"/>
            </w:pPr>
            <w:r>
              <w:rPr>
                <w:sz w:val="17"/>
                <w:szCs w:val="17"/>
              </w:rPr>
              <w:t xml:space="preserve">7,78 / 12,34</w:t>
            </w:r>
          </w:p>
        </w:tc>
      </w:tr>
      <w:tr>
        <w:tc>
          <w:tcPr>
            <w:tcW w:type="dxa" w:w="2400"/>
            <w:shd w:fill="F2F5FA" w:color="auto" w:val="clear"/>
            <w:vAlign w:val="center"/>
          </w:tcPr>
          <w:p>
            <w:pPr>
              <w:spacing w:after="30" w:before="30" w:line="230"/>
              <w:jc w:val="left"/>
            </w:pPr>
            <w:r>
              <w:rPr>
                <w:sz w:val="17"/>
                <w:szCs w:val="17"/>
              </w:rPr>
              <w:t xml:space="preserve">Gebäude</w:t>
            </w:r>
          </w:p>
        </w:tc>
        <w:tc>
          <w:tcPr>
            <w:tcW w:type="dxa" w:w="1100"/>
            <w:shd w:fill="F2F5FA" w:color="auto" w:val="clear"/>
            <w:vAlign w:val="center"/>
          </w:tcPr>
          <w:p>
            <w:pPr>
              <w:spacing w:after="30" w:before="30" w:line="230"/>
              <w:jc w:val="center"/>
            </w:pPr>
            <w:r>
              <w:rPr>
                <w:sz w:val="17"/>
                <w:szCs w:val="17"/>
              </w:rPr>
              <w:t xml:space="preserve">40</w:t>
            </w:r>
          </w:p>
        </w:tc>
        <w:tc>
          <w:tcPr>
            <w:tcW w:type="dxa" w:w="3069"/>
            <w:shd w:fill="F2F5FA" w:color="auto" w:val="clear"/>
            <w:vAlign w:val="center"/>
          </w:tcPr>
          <w:p>
            <w:pPr>
              <w:spacing w:after="30" w:before="30" w:line="230"/>
              <w:jc w:val="center"/>
            </w:pPr>
            <w:r>
              <w:rPr>
                <w:sz w:val="17"/>
                <w:szCs w:val="17"/>
              </w:rPr>
              <w:t xml:space="preserve">6,66 / 10,24</w:t>
            </w:r>
          </w:p>
        </w:tc>
        <w:tc>
          <w:tcPr>
            <w:tcW w:type="dxa" w:w="3069"/>
            <w:shd w:fill="F2F5FA" w:color="auto" w:val="clear"/>
            <w:vAlign w:val="center"/>
          </w:tcPr>
          <w:p>
            <w:pPr>
              <w:spacing w:after="30" w:before="30" w:line="230"/>
              <w:jc w:val="center"/>
            </w:pPr>
            <w:r>
              <w:rPr>
                <w:sz w:val="17"/>
                <w:szCs w:val="17"/>
              </w:rPr>
              <w:t xml:space="preserve">6,73 / 10,35</w:t>
            </w:r>
          </w:p>
        </w:tc>
      </w:tr>
      <w:tr>
        <w:tc>
          <w:tcPr>
            <w:tcW w:type="dxa" w:w="2400"/>
            <w:vAlign w:val="center"/>
          </w:tcPr>
          <w:p>
            <w:pPr>
              <w:spacing w:after="30" w:before="30" w:line="230"/>
              <w:jc w:val="left"/>
            </w:pPr>
            <w:r>
              <w:rPr>
                <w:sz w:val="17"/>
                <w:szCs w:val="17"/>
              </w:rPr>
              <w:t xml:space="preserve">Gebäude</w:t>
            </w:r>
          </w:p>
        </w:tc>
        <w:tc>
          <w:tcPr>
            <w:tcW w:type="dxa" w:w="1100"/>
            <w:vAlign w:val="center"/>
          </w:tcPr>
          <w:p>
            <w:pPr>
              <w:spacing w:after="30" w:before="30" w:line="230"/>
              <w:jc w:val="center"/>
            </w:pPr>
            <w:r>
              <w:rPr>
                <w:sz w:val="17"/>
                <w:szCs w:val="17"/>
              </w:rPr>
              <w:t xml:space="preserve">100</w:t>
            </w:r>
          </w:p>
        </w:tc>
        <w:tc>
          <w:tcPr>
            <w:tcW w:type="dxa" w:w="3069"/>
            <w:vAlign w:val="center"/>
          </w:tcPr>
          <w:p>
            <w:pPr>
              <w:spacing w:after="30" w:before="30" w:line="230"/>
              <w:jc w:val="center"/>
            </w:pPr>
            <w:r>
              <w:rPr>
                <w:sz w:val="17"/>
                <w:szCs w:val="17"/>
              </w:rPr>
              <w:t xml:space="preserve">5,44 / 10,24</w:t>
            </w:r>
          </w:p>
        </w:tc>
        <w:tc>
          <w:tcPr>
            <w:tcW w:type="dxa" w:w="3069"/>
            <w:vAlign w:val="center"/>
          </w:tcPr>
          <w:p>
            <w:pPr>
              <w:spacing w:after="30" w:before="30" w:line="230"/>
              <w:jc w:val="center"/>
            </w:pPr>
            <w:r>
              <w:rPr>
                <w:sz w:val="17"/>
                <w:szCs w:val="17"/>
              </w:rPr>
              <w:t xml:space="preserve">5,50 / 10,35</w:t>
            </w:r>
          </w:p>
        </w:tc>
      </w:tr>
      <w:tr>
        <w:tc>
          <w:tcPr>
            <w:tcW w:type="dxa" w:w="2400"/>
            <w:shd w:fill="F2F5FA" w:color="auto" w:val="clear"/>
            <w:vAlign w:val="center"/>
          </w:tcPr>
          <w:p>
            <w:pPr>
              <w:spacing w:after="30" w:before="30" w:line="230"/>
              <w:jc w:val="left"/>
            </w:pPr>
            <w:r>
              <w:rPr>
                <w:sz w:val="17"/>
                <w:szCs w:val="17"/>
              </w:rPr>
              <w:t xml:space="preserve">Sonstige (§ 48 Abs. 1)</w:t>
            </w:r>
          </w:p>
        </w:tc>
        <w:tc>
          <w:tcPr>
            <w:tcW w:type="dxa" w:w="1100"/>
            <w:shd w:fill="F2F5FA" w:color="auto" w:val="clear"/>
            <w:vAlign w:val="center"/>
          </w:tcPr>
          <w:p>
            <w:pPr>
              <w:spacing w:after="30" w:before="30" w:line="230"/>
              <w:jc w:val="center"/>
            </w:pPr>
            <w:r>
              <w:rPr>
                <w:sz w:val="17"/>
                <w:szCs w:val="17"/>
              </w:rPr>
              <w:t xml:space="preserve">100</w:t>
            </w:r>
          </w:p>
        </w:tc>
        <w:tc>
          <w:tcPr>
            <w:tcW w:type="dxa" w:w="3069"/>
            <w:shd w:fill="F2F5FA" w:color="auto" w:val="clear"/>
            <w:vAlign w:val="center"/>
          </w:tcPr>
          <w:p>
            <w:pPr>
              <w:spacing w:after="30" w:before="30" w:line="230"/>
              <w:jc w:val="center"/>
            </w:pPr>
            <w:r>
              <w:rPr>
                <w:sz w:val="17"/>
                <w:szCs w:val="17"/>
              </w:rPr>
              <w:t xml:space="preserve">6,19 / 6,19</w:t>
            </w:r>
          </w:p>
        </w:tc>
        <w:tc>
          <w:tcPr>
            <w:tcW w:type="dxa" w:w="3069"/>
            <w:shd w:fill="F2F5FA" w:color="auto" w:val="clear"/>
            <w:vAlign w:val="center"/>
          </w:tcPr>
          <w:p>
            <w:pPr>
              <w:spacing w:after="30" w:before="30" w:line="230"/>
              <w:jc w:val="center"/>
            </w:pPr>
            <w:r>
              <w:rPr>
                <w:sz w:val="17"/>
                <w:szCs w:val="17"/>
              </w:rPr>
              <w:t xml:space="preserve">6,26 / 6,26</w:t>
            </w:r>
          </w:p>
        </w:tc>
      </w:tr>
    </w:tbl>
    <w:p>
      <w:pPr>
        <w:spacing w:after="100"/>
      </w:pPr>
      <w:r>
        <w:rPr>
          <w:sz w:val="8"/>
          <w:szCs w:val="8"/>
        </w:rPr>
        <w:t xml:space="preserve"/>
      </w:r>
    </w:p>
    <w:p>
      <w:r>
        <w:rPr>
          <w:sz w:val="19"/>
          <w:szCs w:val="19"/>
        </w:rPr>
        <w:t xml:space="preserve">Quelle: [1][2][3]. Unrundete Werte der Bundesnetzagentur für 02–07/2026 (Teileinspeisung): 7,77851 / 6,73243 / 5,49614 / 6,25693; Volleinspeisung: 12,34327 / 10,34619 / 10,34619 [3].</w:t>
      </w:r>
    </w:p>
    <w:p>
      <w:pPr>
        <w:spacing w:before="200"/>
      </w:pPr>
      <w:r>
        <w:rPr>
          <w:b/>
          <w:bCs/>
        </w:rPr>
        <w:t xml:space="preserve">Anzulegende Werte für die Direktvermarktung / Marktprämie</w:t>
      </w:r>
      <w:r>
        <w:t xml:space="preserve"> (§ 20 EEG), in ct/kWh netto:</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400"/>
        <w:gridCol w:w="1100"/>
        <w:gridCol w:w="3069"/>
        <w:gridCol w:w="3069"/>
      </w:tblGrid>
      <w:tr>
        <w:trPr>
          <w:tblHeader/>
        </w:trPr>
        <w:tc>
          <w:tcPr>
            <w:tcW w:type="dxa" w:w="2400"/>
            <w:shd w:fill="1F3864" w:color="auto" w:val="clear"/>
            <w:vAlign w:val="center"/>
          </w:tcPr>
          <w:p>
            <w:pPr>
              <w:spacing w:after="30" w:before="30" w:line="230"/>
              <w:jc w:val="left"/>
            </w:pPr>
            <w:r>
              <w:rPr>
                <w:b/>
                <w:bCs/>
                <w:color w:val="FFFFFF"/>
                <w:sz w:val="17"/>
                <w:szCs w:val="17"/>
              </w:rPr>
              <w:t xml:space="preserve">Anlagentyp</w:t>
            </w:r>
          </w:p>
        </w:tc>
        <w:tc>
          <w:tcPr>
            <w:tcW w:type="dxa" w:w="1100"/>
            <w:shd w:fill="1F3864" w:color="auto" w:val="clear"/>
            <w:vAlign w:val="center"/>
          </w:tcPr>
          <w:p>
            <w:pPr>
              <w:spacing w:after="30" w:before="30" w:line="230"/>
              <w:jc w:val="center"/>
            </w:pPr>
            <w:r>
              <w:rPr>
                <w:b/>
                <w:bCs/>
                <w:color w:val="FFFFFF"/>
                <w:sz w:val="17"/>
                <w:szCs w:val="17"/>
              </w:rPr>
              <w:t xml:space="preserve">bis kW</w:t>
            </w:r>
          </w:p>
        </w:tc>
        <w:tc>
          <w:tcPr>
            <w:tcW w:type="dxa" w:w="3069"/>
            <w:shd w:fill="1F3864" w:color="auto" w:val="clear"/>
            <w:vAlign w:val="center"/>
          </w:tcPr>
          <w:p>
            <w:pPr>
              <w:spacing w:after="30" w:before="30" w:line="230"/>
              <w:jc w:val="center"/>
            </w:pPr>
            <w:r>
              <w:rPr>
                <w:b/>
                <w:bCs/>
                <w:color w:val="FFFFFF"/>
                <w:sz w:val="17"/>
                <w:szCs w:val="17"/>
              </w:rPr>
              <w:t xml:space="preserve">IBN 08/2026–01/2027   Teil / Voll</w:t>
            </w:r>
          </w:p>
        </w:tc>
        <w:tc>
          <w:tcPr>
            <w:tcW w:type="dxa" w:w="3069"/>
            <w:shd w:fill="1F3864" w:color="auto" w:val="clear"/>
            <w:vAlign w:val="center"/>
          </w:tcPr>
          <w:p>
            <w:pPr>
              <w:spacing w:after="30" w:before="30" w:line="230"/>
              <w:jc w:val="center"/>
            </w:pPr>
            <w:r>
              <w:rPr>
                <w:b/>
                <w:bCs/>
                <w:color w:val="FFFFFF"/>
                <w:sz w:val="17"/>
                <w:szCs w:val="17"/>
              </w:rPr>
              <w:t xml:space="preserve">IBN 02–07/2026   Teil / Voll</w:t>
            </w:r>
          </w:p>
        </w:tc>
      </w:tr>
      <w:tr>
        <w:tc>
          <w:tcPr>
            <w:tcW w:type="dxa" w:w="2400"/>
            <w:vAlign w:val="center"/>
          </w:tcPr>
          <w:p>
            <w:pPr>
              <w:spacing w:after="30" w:before="30" w:line="230"/>
              <w:jc w:val="left"/>
            </w:pPr>
            <w:r>
              <w:rPr>
                <w:sz w:val="17"/>
                <w:szCs w:val="17"/>
              </w:rPr>
              <w:t xml:space="preserve">Gebäude</w:t>
            </w:r>
          </w:p>
        </w:tc>
        <w:tc>
          <w:tcPr>
            <w:tcW w:type="dxa" w:w="1100"/>
            <w:vAlign w:val="center"/>
          </w:tcPr>
          <w:p>
            <w:pPr>
              <w:spacing w:after="30" w:before="30" w:line="230"/>
              <w:jc w:val="center"/>
            </w:pPr>
            <w:r>
              <w:rPr>
                <w:sz w:val="17"/>
                <w:szCs w:val="17"/>
              </w:rPr>
              <w:t xml:space="preserve">10</w:t>
            </w:r>
          </w:p>
        </w:tc>
        <w:tc>
          <w:tcPr>
            <w:tcW w:type="dxa" w:w="3069"/>
            <w:vAlign w:val="center"/>
          </w:tcPr>
          <w:p>
            <w:pPr>
              <w:spacing w:after="30" w:before="30" w:line="230"/>
              <w:jc w:val="center"/>
            </w:pPr>
            <w:r>
              <w:rPr>
                <w:b/>
                <w:bCs/>
                <w:sz w:val="17"/>
                <w:szCs w:val="17"/>
              </w:rPr>
              <w:t xml:space="preserve">8,10 / 12,62</w:t>
            </w:r>
          </w:p>
        </w:tc>
        <w:tc>
          <w:tcPr>
            <w:tcW w:type="dxa" w:w="3069"/>
            <w:vAlign w:val="center"/>
          </w:tcPr>
          <w:p>
            <w:pPr>
              <w:spacing w:after="30" w:before="30" w:line="230"/>
              <w:jc w:val="center"/>
            </w:pPr>
            <w:r>
              <w:rPr>
                <w:sz w:val="17"/>
                <w:szCs w:val="17"/>
              </w:rPr>
              <w:t xml:space="preserve">8,18 / 12,74</w:t>
            </w:r>
          </w:p>
        </w:tc>
      </w:tr>
      <w:tr>
        <w:tc>
          <w:tcPr>
            <w:tcW w:type="dxa" w:w="2400"/>
            <w:shd w:fill="F2F5FA" w:color="auto" w:val="clear"/>
            <w:vAlign w:val="center"/>
          </w:tcPr>
          <w:p>
            <w:pPr>
              <w:spacing w:after="30" w:before="30" w:line="230"/>
              <w:jc w:val="left"/>
            </w:pPr>
            <w:r>
              <w:rPr>
                <w:sz w:val="17"/>
                <w:szCs w:val="17"/>
              </w:rPr>
              <w:t xml:space="preserve">Gebäude</w:t>
            </w:r>
          </w:p>
        </w:tc>
        <w:tc>
          <w:tcPr>
            <w:tcW w:type="dxa" w:w="1100"/>
            <w:shd w:fill="F2F5FA" w:color="auto" w:val="clear"/>
            <w:vAlign w:val="center"/>
          </w:tcPr>
          <w:p>
            <w:pPr>
              <w:spacing w:after="30" w:before="30" w:line="230"/>
              <w:jc w:val="center"/>
            </w:pPr>
            <w:r>
              <w:rPr>
                <w:sz w:val="17"/>
                <w:szCs w:val="17"/>
              </w:rPr>
              <w:t xml:space="preserve">40</w:t>
            </w:r>
          </w:p>
        </w:tc>
        <w:tc>
          <w:tcPr>
            <w:tcW w:type="dxa" w:w="3069"/>
            <w:shd w:fill="F2F5FA" w:color="auto" w:val="clear"/>
            <w:vAlign w:val="center"/>
          </w:tcPr>
          <w:p>
            <w:pPr>
              <w:spacing w:after="30" w:before="30" w:line="230"/>
              <w:jc w:val="center"/>
            </w:pPr>
            <w:r>
              <w:rPr>
                <w:sz w:val="17"/>
                <w:szCs w:val="17"/>
              </w:rPr>
              <w:t xml:space="preserve">7,06 / 10,64</w:t>
            </w:r>
          </w:p>
        </w:tc>
        <w:tc>
          <w:tcPr>
            <w:tcW w:type="dxa" w:w="3069"/>
            <w:shd w:fill="F2F5FA" w:color="auto" w:val="clear"/>
            <w:vAlign w:val="center"/>
          </w:tcPr>
          <w:p>
            <w:pPr>
              <w:spacing w:after="30" w:before="30" w:line="230"/>
              <w:jc w:val="center"/>
            </w:pPr>
            <w:r>
              <w:rPr>
                <w:sz w:val="17"/>
                <w:szCs w:val="17"/>
              </w:rPr>
              <w:t xml:space="preserve">7,13 / 10,75</w:t>
            </w:r>
          </w:p>
        </w:tc>
      </w:tr>
      <w:tr>
        <w:tc>
          <w:tcPr>
            <w:tcW w:type="dxa" w:w="2400"/>
            <w:vAlign w:val="center"/>
          </w:tcPr>
          <w:p>
            <w:pPr>
              <w:spacing w:after="30" w:before="30" w:line="230"/>
              <w:jc w:val="left"/>
            </w:pPr>
            <w:r>
              <w:rPr>
                <w:sz w:val="17"/>
                <w:szCs w:val="17"/>
              </w:rPr>
              <w:t xml:space="preserve">Gebäude</w:t>
            </w:r>
          </w:p>
        </w:tc>
        <w:tc>
          <w:tcPr>
            <w:tcW w:type="dxa" w:w="1100"/>
            <w:vAlign w:val="center"/>
          </w:tcPr>
          <w:p>
            <w:pPr>
              <w:spacing w:after="30" w:before="30" w:line="230"/>
              <w:jc w:val="center"/>
            </w:pPr>
            <w:r>
              <w:rPr>
                <w:sz w:val="17"/>
                <w:szCs w:val="17"/>
              </w:rPr>
              <w:t xml:space="preserve">100</w:t>
            </w:r>
          </w:p>
        </w:tc>
        <w:tc>
          <w:tcPr>
            <w:tcW w:type="dxa" w:w="3069"/>
            <w:vAlign w:val="center"/>
          </w:tcPr>
          <w:p>
            <w:pPr>
              <w:spacing w:after="30" w:before="30" w:line="230"/>
              <w:jc w:val="center"/>
            </w:pPr>
            <w:r>
              <w:rPr>
                <w:sz w:val="17"/>
                <w:szCs w:val="17"/>
              </w:rPr>
              <w:t xml:space="preserve">5,84 / 10,64</w:t>
            </w:r>
          </w:p>
        </w:tc>
        <w:tc>
          <w:tcPr>
            <w:tcW w:type="dxa" w:w="3069"/>
            <w:vAlign w:val="center"/>
          </w:tcPr>
          <w:p>
            <w:pPr>
              <w:spacing w:after="30" w:before="30" w:line="230"/>
              <w:jc w:val="center"/>
            </w:pPr>
            <w:r>
              <w:rPr>
                <w:sz w:val="17"/>
                <w:szCs w:val="17"/>
              </w:rPr>
              <w:t xml:space="preserve">5,90 / 10,75</w:t>
            </w:r>
          </w:p>
        </w:tc>
      </w:tr>
      <w:tr>
        <w:tc>
          <w:tcPr>
            <w:tcW w:type="dxa" w:w="2400"/>
            <w:shd w:fill="F2F5FA" w:color="auto" w:val="clear"/>
            <w:vAlign w:val="center"/>
          </w:tcPr>
          <w:p>
            <w:pPr>
              <w:spacing w:after="30" w:before="30" w:line="230"/>
              <w:jc w:val="left"/>
            </w:pPr>
            <w:r>
              <w:rPr>
                <w:sz w:val="17"/>
                <w:szCs w:val="17"/>
              </w:rPr>
              <w:t xml:space="preserve">Gebäude</w:t>
            </w:r>
          </w:p>
        </w:tc>
        <w:tc>
          <w:tcPr>
            <w:tcW w:type="dxa" w:w="1100"/>
            <w:shd w:fill="F2F5FA" w:color="auto" w:val="clear"/>
            <w:vAlign w:val="center"/>
          </w:tcPr>
          <w:p>
            <w:pPr>
              <w:spacing w:after="30" w:before="30" w:line="230"/>
              <w:jc w:val="center"/>
            </w:pPr>
            <w:r>
              <w:rPr>
                <w:sz w:val="17"/>
                <w:szCs w:val="17"/>
              </w:rPr>
              <w:t xml:space="preserve">400</w:t>
            </w:r>
          </w:p>
        </w:tc>
        <w:tc>
          <w:tcPr>
            <w:tcW w:type="dxa" w:w="3069"/>
            <w:shd w:fill="F2F5FA" w:color="auto" w:val="clear"/>
            <w:vAlign w:val="center"/>
          </w:tcPr>
          <w:p>
            <w:pPr>
              <w:spacing w:after="30" w:before="30" w:line="230"/>
              <w:jc w:val="center"/>
            </w:pPr>
            <w:r>
              <w:rPr>
                <w:sz w:val="17"/>
                <w:szCs w:val="17"/>
              </w:rPr>
              <w:t xml:space="preserve">5,84 / 8,85</w:t>
            </w:r>
          </w:p>
        </w:tc>
        <w:tc>
          <w:tcPr>
            <w:tcW w:type="dxa" w:w="3069"/>
            <w:shd w:fill="F2F5FA" w:color="auto" w:val="clear"/>
            <w:vAlign w:val="center"/>
          </w:tcPr>
          <w:p>
            <w:pPr>
              <w:spacing w:after="30" w:before="30" w:line="230"/>
              <w:jc w:val="center"/>
            </w:pPr>
            <w:r>
              <w:rPr>
                <w:sz w:val="17"/>
                <w:szCs w:val="17"/>
              </w:rPr>
              <w:t xml:space="preserve">5,90 / 8,94</w:t>
            </w:r>
          </w:p>
        </w:tc>
      </w:tr>
      <w:tr>
        <w:tc>
          <w:tcPr>
            <w:tcW w:type="dxa" w:w="2400"/>
            <w:vAlign w:val="center"/>
          </w:tcPr>
          <w:p>
            <w:pPr>
              <w:spacing w:after="30" w:before="30" w:line="230"/>
              <w:jc w:val="left"/>
            </w:pPr>
            <w:r>
              <w:rPr>
                <w:sz w:val="17"/>
                <w:szCs w:val="17"/>
              </w:rPr>
              <w:t xml:space="preserve">Gebäude</w:t>
            </w:r>
          </w:p>
        </w:tc>
        <w:tc>
          <w:tcPr>
            <w:tcW w:type="dxa" w:w="1100"/>
            <w:vAlign w:val="center"/>
          </w:tcPr>
          <w:p>
            <w:pPr>
              <w:spacing w:after="30" w:before="30" w:line="230"/>
              <w:jc w:val="center"/>
            </w:pPr>
            <w:r>
              <w:rPr>
                <w:sz w:val="17"/>
                <w:szCs w:val="17"/>
              </w:rPr>
              <w:t xml:space="preserve">1.000</w:t>
            </w:r>
          </w:p>
        </w:tc>
        <w:tc>
          <w:tcPr>
            <w:tcW w:type="dxa" w:w="3069"/>
            <w:vAlign w:val="center"/>
          </w:tcPr>
          <w:p>
            <w:pPr>
              <w:spacing w:after="30" w:before="30" w:line="230"/>
              <w:jc w:val="center"/>
            </w:pPr>
            <w:r>
              <w:rPr>
                <w:sz w:val="17"/>
                <w:szCs w:val="17"/>
              </w:rPr>
              <w:t xml:space="preserve">5,84 / 7,63</w:t>
            </w:r>
          </w:p>
        </w:tc>
        <w:tc>
          <w:tcPr>
            <w:tcW w:type="dxa" w:w="3069"/>
            <w:vAlign w:val="center"/>
          </w:tcPr>
          <w:p>
            <w:pPr>
              <w:spacing w:after="30" w:before="30" w:line="230"/>
              <w:jc w:val="center"/>
            </w:pPr>
            <w:r>
              <w:rPr>
                <w:sz w:val="17"/>
                <w:szCs w:val="17"/>
              </w:rPr>
              <w:t xml:space="preserve">5,90 / 7,70</w:t>
            </w:r>
          </w:p>
        </w:tc>
      </w:tr>
      <w:tr>
        <w:tc>
          <w:tcPr>
            <w:tcW w:type="dxa" w:w="2400"/>
            <w:shd w:fill="F2F5FA" w:color="auto" w:val="clear"/>
            <w:vAlign w:val="center"/>
          </w:tcPr>
          <w:p>
            <w:pPr>
              <w:spacing w:after="30" w:before="30" w:line="230"/>
              <w:jc w:val="left"/>
            </w:pPr>
            <w:r>
              <w:rPr>
                <w:sz w:val="17"/>
                <w:szCs w:val="17"/>
              </w:rPr>
              <w:t xml:space="preserve">Sonstige</w:t>
            </w:r>
          </w:p>
        </w:tc>
        <w:tc>
          <w:tcPr>
            <w:tcW w:type="dxa" w:w="1100"/>
            <w:shd w:fill="F2F5FA" w:color="auto" w:val="clear"/>
            <w:vAlign w:val="center"/>
          </w:tcPr>
          <w:p>
            <w:pPr>
              <w:spacing w:after="30" w:before="30" w:line="230"/>
              <w:jc w:val="center"/>
            </w:pPr>
            <w:r>
              <w:rPr>
                <w:sz w:val="17"/>
                <w:szCs w:val="17"/>
              </w:rPr>
              <w:t xml:space="preserve">1.000</w:t>
            </w:r>
          </w:p>
        </w:tc>
        <w:tc>
          <w:tcPr>
            <w:tcW w:type="dxa" w:w="3069"/>
            <w:shd w:fill="F2F5FA" w:color="auto" w:val="clear"/>
            <w:vAlign w:val="center"/>
          </w:tcPr>
          <w:p>
            <w:pPr>
              <w:spacing w:after="30" w:before="30" w:line="230"/>
              <w:jc w:val="center"/>
            </w:pPr>
            <w:r>
              <w:rPr>
                <w:sz w:val="17"/>
                <w:szCs w:val="17"/>
              </w:rPr>
              <w:t xml:space="preserve">6,59 / 6,59</w:t>
            </w:r>
          </w:p>
        </w:tc>
        <w:tc>
          <w:tcPr>
            <w:tcW w:type="dxa" w:w="3069"/>
            <w:shd w:fill="F2F5FA" w:color="auto" w:val="clear"/>
            <w:vAlign w:val="center"/>
          </w:tcPr>
          <w:p>
            <w:pPr>
              <w:spacing w:after="30" w:before="30" w:line="230"/>
              <w:jc w:val="center"/>
            </w:pPr>
            <w:r>
              <w:rPr>
                <w:sz w:val="17"/>
                <w:szCs w:val="17"/>
              </w:rPr>
              <w:t xml:space="preserve">6,66 / 6,66</w:t>
            </w:r>
          </w:p>
        </w:tc>
      </w:tr>
    </w:tbl>
    <w:p>
      <w:pPr>
        <w:spacing w:after="100"/>
      </w:pPr>
      <w:r>
        <w:rPr>
          <w:sz w:val="8"/>
          <w:szCs w:val="8"/>
        </w:rPr>
        <w:t xml:space="preserve"/>
      </w:r>
    </w:p>
    <w:p>
      <w:r>
        <w:rPr>
          <w:sz w:val="19"/>
          <w:szCs w:val="19"/>
        </w:rPr>
        <w:t xml:space="preserve">Quelle: [1][2][3].</w:t>
      </w:r>
    </w:p>
    <w:p>
      <w:pPr>
        <w:spacing w:before="200"/>
      </w:pPr>
      <w:r>
        <w:rPr>
          <w:b/>
          <w:bCs/>
        </w:rPr>
        <w:t xml:space="preserve">Anlagen über 1 MW ohne Ausschreibung</w:t>
      </w:r>
      <w:r>
        <w:t xml:space="preserve"> (§ 48 Abs. 1a EEG), Inbetriebnahme 2026: 1. Segment </w:t>
      </w:r>
      <w:r>
        <w:rPr>
          <w:b/>
          <w:bCs/>
        </w:rPr>
        <w:t xml:space="preserve">5,48 ct/kWh</w:t>
      </w:r>
      <w:r>
        <w:t xml:space="preserve">, 2. Segment (Gebäude) </w:t>
      </w:r>
      <w:r>
        <w:rPr>
          <w:b/>
          <w:bCs/>
        </w:rPr>
        <w:t xml:space="preserve">10,16 ct/kWh</w:t>
      </w:r>
      <w:r>
        <w:t xml:space="preserve">. Diese Werte entsprechen dem Durchschnitt der höchsten bezuschlagten Gebote der Vorjahresrunden; sie sind kalenderjahresbezogen und unterliegen nicht der Degression nach § 49 EEG [1][4].</w:t>
      </w:r>
    </w:p>
    <w:p>
      <w:r>
        <w:rPr>
          <w:b/>
          <w:bCs/>
        </w:rPr>
        <w:t xml:space="preserve">Mieterstromzuschlag</w:t>
      </w:r>
      <w:r>
        <w:t xml:space="preserve"> (§ 48a EEG), in ct/kWh: Inbetriebnahme 08/2026–01/2027: </w:t>
      </w:r>
      <w:r>
        <w:rPr>
          <w:b/>
          <w:bCs/>
        </w:rPr>
        <w:t xml:space="preserve">2,51</w:t>
      </w:r>
      <w:r>
        <w:t xml:space="preserve"> (≤ 10 kW), </w:t>
      </w:r>
      <w:r>
        <w:rPr>
          <w:b/>
          <w:bCs/>
        </w:rPr>
        <w:t xml:space="preserve">2,33</w:t>
      </w:r>
      <w:r>
        <w:t xml:space="preserve"> (≤ 40 kW), </w:t>
      </w:r>
      <w:r>
        <w:rPr>
          <w:b/>
          <w:bCs/>
        </w:rPr>
        <w:t xml:space="preserve">1,57</w:t>
      </w:r>
      <w:r>
        <w:t xml:space="preserve"> (≤ 1.000 kW); Inbetriebnahme 02–07/2026: 2,54 / 2,36 / 1,59 [1][2][3].</w:t>
      </w:r>
    </w:p>
    <w:p>
      <w:r>
        <w:rPr>
          <w:b/>
          <w:bCs/>
        </w:rPr>
        <w:t xml:space="preserve">Degression nach § 49 EEG:</w:t>
      </w:r>
      <w:r>
        <w:t xml:space="preserve"> Seit 01.02.2024 sinken die anzulegenden Werte alle sechs Monate um 1 %. Basis der Berechnung ist stets der </w:t>
      </w:r>
      <w:r>
        <w:rPr>
          <w:b/>
          <w:bCs/>
        </w:rPr>
        <w:t xml:space="preserve">unrundete</w:t>
      </w:r>
      <w:r>
        <w:t xml:space="preserve"> Ausgangswert, die Rundung erfolgt erst am Ende auf zwei Nachkommastellen. Für 2026 ist die Regel unverändert; die nächste Absenkung erfolgt zum 01.02.2027, vorbehaltlich der Novelle. Gegenprobe: 8,60 × 0,99⁶ = 8,0967 → </w:t>
      </w:r>
      <w:r>
        <w:rPr>
          <w:b/>
          <w:bCs/>
        </w:rPr>
        <w:t xml:space="preserve">8,10 ct/kWh</w:t>
      </w:r>
      <w:r>
        <w:t xml:space="preserve"> ✓ [1][4].</w:t>
      </w:r>
    </w:p>
    <w:p>
      <w:pPr>
        <w:keepNext/>
      </w:pPr>
      <w:r>
        <w:rPr>
          <w:b/>
          <w:bCs/>
        </w:rPr>
        <w:t xml:space="preserve">Stufenmodell nach § 23c EEG – Rechenbeispiel (eigene Rechnung aus den Werten in [1][2]):</w:t>
      </w:r>
      <w:r>
        <w:t xml:space="preserve"> Anlagen werden nicht nach ihrer Gesamtleistung einer Klasse zugeordnet, sondern </w:t>
      </w:r>
      <w:r>
        <w:rPr>
          <w:b/>
          <w:bCs/>
        </w:rPr>
        <w:t xml:space="preserve">anteilig gemischt</w:t>
      </w:r>
      <w:r>
        <w:t xml:space="preserve">. Für eine Gebäudeanlage mit 30 kWp und Inbetriebnahme ab 01.08.2026 in Teileinspeisung gilt: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50"/>
          <w:bottom w:type="dxa" w:w="80"/>
          <w:right w:type="dxa" w:w="150"/>
        </w:tblCellMar>
      </w:tblPr>
      <w:tblGrid>
        <w:gridCol w:w="9638"/>
      </w:tblGrid>
      <w:tr>
        <w:trPr>
          <w:cantSplit/>
        </w:trPr>
        <w:tc>
          <w:tcPr>
            <w:tcW w:type="dxa" w:w="9638"/>
            <w:tcBorders>
              <w:top w:val="none" w:color="FFFFFF" w:sz="0"/>
              <w:left w:val="single" w:color="A6A6A6" w:sz="18"/>
              <w:bottom w:val="none" w:color="FFFFFF" w:sz="0"/>
              <w:right w:val="none" w:color="FFFFFF" w:sz="0"/>
            </w:tcBorders>
            <w:shd w:fill="F2F2F2" w:color="auto" w:val="clear"/>
          </w:tcPr>
          <w:p>
            <w:pPr>
              <w:spacing w:after="30" w:before="30" w:line="250"/>
            </w:pPr>
            <w:r>
              <w:rPr>
                <w:sz w:val="19"/>
                <w:szCs w:val="19"/>
              </w:rPr>
              <w:t xml:space="preserve">anzulegender Wert = (10 kW × 8,10 ct + 20 kW × 7,06 ct) / 30 kW = (81,00 + 141,20) / 30 = </w:t>
            </w:r>
            <w:r>
              <w:rPr>
                <w:b/>
                <w:bCs/>
                <w:sz w:val="19"/>
                <w:szCs w:val="19"/>
              </w:rPr>
              <w:t xml:space="preserve">7,4067 → 7,41 ct/kWh</w:t>
            </w:r>
          </w:p>
          <w:p>
            <w:pPr>
              <w:spacing w:after="30" w:before="30" w:line="250"/>
            </w:pPr>
            <w:r>
              <w:rPr>
                <w:sz w:val="19"/>
                <w:szCs w:val="19"/>
              </w:rPr>
              <w:t xml:space="preserve">feste Einspeisevergütung = 7,41 − 0,40 = </w:t>
            </w:r>
            <w:r>
              <w:rPr>
                <w:b/>
                <w:bCs/>
                <w:sz w:val="19"/>
                <w:szCs w:val="19"/>
              </w:rPr>
              <w:t xml:space="preserve">7,01 ct/kWh</w:t>
            </w:r>
          </w:p>
          <w:p>
            <w:pPr>
              <w:spacing w:after="30" w:before="30" w:line="250"/>
            </w:pPr>
            <w:r>
              <w:rPr>
                <w:sz w:val="19"/>
                <w:szCs w:val="19"/>
              </w:rPr>
              <w:t xml:space="preserve">zum Vergleich in Volleinspeisung: (10 × 12,62 + 20 × 10,64) / 30 = </w:t>
            </w:r>
            <w:r>
              <w:rPr>
                <w:b/>
                <w:bCs/>
                <w:sz w:val="19"/>
                <w:szCs w:val="19"/>
              </w:rPr>
              <w:t xml:space="preserve">11,30 ct/kWh</w:t>
            </w:r>
            <w:r>
              <w:rPr>
                <w:sz w:val="19"/>
                <w:szCs w:val="19"/>
              </w:rPr>
              <w:t xml:space="preserve"> anzulegender Wert bzw. </w:t>
            </w:r>
            <w:r>
              <w:rPr>
                <w:b/>
                <w:bCs/>
                <w:sz w:val="19"/>
                <w:szCs w:val="19"/>
              </w:rPr>
              <w:t xml:space="preserve">10,90 ct/kWh</w:t>
            </w:r>
            <w:r>
              <w:rPr>
                <w:sz w:val="19"/>
                <w:szCs w:val="19"/>
              </w:rPr>
              <w:t xml:space="preserve"> feste Einspeisevergütung</w:t>
            </w:r>
          </w:p>
        </w:tc>
      </w:tr>
    </w:tbl>
    <w:p>
      <w:pPr>
        <w:spacing w:after="160"/>
      </w:pPr>
      <w:r>
        <w:rPr>
          <w:sz w:val="8"/>
          <w:szCs w:val="8"/>
        </w:rPr>
        <w:t xml:space="preserve"/>
      </w:r>
    </w:p>
    <w:p>
      <w:r>
        <w:t xml:space="preserve">Beispiel der Bundesnetzagentur für 100 kWp in Direktvermarktung/Teileinspeisung: 10/100 × 8,10 + 30/100 × 7,06 + 60/100 × 5,84 = </w:t>
      </w:r>
      <w:r>
        <w:rPr>
          <w:b/>
          <w:bCs/>
        </w:rPr>
        <w:t xml:space="preserve">6,43 ct/kWh</w:t>
      </w:r>
      <w:r>
        <w:t xml:space="preserve">; die zugehörige feste Einspeisevergütung beträgt </w:t>
      </w:r>
      <w:r>
        <w:rPr>
          <w:b/>
          <w:bCs/>
        </w:rPr>
        <w:t xml:space="preserve">6,03 ct/kWh</w:t>
      </w:r>
      <w:r>
        <w:t xml:space="preserve">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90"/>
          <w:left w:type="dxa" w:w="150"/>
          <w:bottom w:type="dxa" w:w="90"/>
          <w:right w:type="dxa" w:w="150"/>
        </w:tblCellMar>
      </w:tblPr>
      <w:tblGrid>
        <w:gridCol w:w="9638"/>
      </w:tblGrid>
      <w:tr>
        <w:trPr>
          <w:cantSplit/>
        </w:trPr>
        <w:tc>
          <w:tcPr>
            <w:tcW w:type="dxa" w:w="9638"/>
            <w:tcBorders>
              <w:top w:val="single" w:color="C00000" w:sz="2"/>
              <w:left w:val="single" w:color="C00000" w:sz="24"/>
              <w:bottom w:val="single" w:color="C00000" w:sz="2"/>
              <w:right w:val="single" w:color="C00000" w:sz="2"/>
            </w:tcBorders>
            <w:shd w:fill="FDEDEC" w:color="auto" w:val="clear"/>
          </w:tcPr>
          <w:p>
            <w:pPr>
              <w:spacing w:after="80" w:before="40"/>
            </w:pPr>
            <w:r>
              <w:rPr>
                <w:b/>
                <w:bCs/>
                <w:color w:val="C00000"/>
                <w:sz w:val="20"/>
                <w:szCs w:val="20"/>
              </w:rPr>
              <w:t xml:space="preserve">Warnhinweis · § 101 EEG: Der +1,5-ct-Aufschlag des Solarpakets I ist nicht anwendbar</w:t>
            </w:r>
          </w:p>
          <w:p>
            <w:pPr>
              <w:spacing w:after="60" w:before="40" w:line="250"/>
            </w:pPr>
            <w:r>
              <w:rPr>
                <w:sz w:val="19"/>
                <w:szCs w:val="19"/>
              </w:rPr>
              <w:t xml:space="preserve">Der Aufschlag von +1,5 ct/kWh für Gebäudeanlagen von 40 kW bis 1 MW ist in § 48 Abs. 2 Nr. 3 EEG </w:t>
            </w:r>
            <w:r>
              <w:rPr>
                <w:b/>
                <w:bCs/>
                <w:sz w:val="19"/>
                <w:szCs w:val="19"/>
              </w:rPr>
              <w:t xml:space="preserve">gesetzlich vorgesehen, aber nach § 101 EEG mangels beihilferechtlicher Genehmigung der EU-Kommission NICHT anwendbar (Stand 25.08.2026)</w:t>
            </w:r>
            <w:r>
              <w:rPr>
                <w:sz w:val="19"/>
                <w:szCs w:val="19"/>
              </w:rPr>
              <w:t xml:space="preserve">. Bis zur Genehmigung gilt die Fassung vom 15.05.2024; die Bundesnetzagentur rechnet unverändert mit den Basiswerten 8,60 / 7,50 / 6,20 ct/kWh.</w:t>
            </w:r>
          </w:p>
          <w:p>
            <w:pPr>
              <w:spacing w:after="60" w:before="40" w:line="250"/>
            </w:pPr>
            <w:r>
              <w:rPr>
                <w:sz w:val="19"/>
                <w:szCs w:val="19"/>
              </w:rPr>
              <w:t xml:space="preserve">Ebenfalls ausgesetzt sind unter anderem § 48 Abs. 1b (Agri-PV-Zuschlag), § 37b, § 37d, § 22 Abs. 3 S. 2 und § 30 Abs. 2. Offener Streitpunkt ist eine mögliche Rückforderung (Clawback). Der Hinweis im Tool auf Werte „ab 16.05.2024 inklusive +1,5 ct“ ist deshalb beratungsrelevant zu relativieren. [4][14][20][29]</w:t>
            </w:r>
          </w:p>
        </w:tc>
      </w:tr>
    </w:tbl>
    <w:p>
      <w:pPr>
        <w:spacing w:after="160"/>
      </w:pPr>
      <w:r>
        <w:rPr>
          <w:sz w:val="8"/>
          <w:szCs w:val="8"/>
        </w:rPr>
        <w:t xml:space="preserve"/>
      </w:r>
    </w:p>
    <w:p>
      <w:pPr>
        <w:pStyle w:val="Heading2"/>
      </w:pPr>
      <w:bookmarkStart w:id="900013" w:name="_Toc90000013"/>
      <w:r>
        <w:t xml:space="preserve">B3  Rechtsrahmen</w:t>
      </w:r>
      <w:bookmarkEnd w:id="900013"/>
    </w:p>
    <w:p>
      <w:r>
        <w:rPr>
          <w:b/>
          <w:bCs/>
        </w:rPr>
        <w:t xml:space="preserve">Rechtsstand:</w:t>
      </w:r>
      <w:r>
        <w:t xml:space="preserve"> EEG 2023 in der Fassung der 15. Änderung (Gesetz vom 18.12.2025, BGBl. 2025 I Nr. 347), gültig ab 23.12.2025. Im Jahr 2026 ist bisher </w:t>
      </w:r>
      <w:r>
        <w:rPr>
          <w:b/>
          <w:bCs/>
        </w:rPr>
        <w:t xml:space="preserve">keine</w:t>
      </w:r>
      <w:r>
        <w:t xml:space="preserve"> EEG-Novelle in Kraft getreten [4].</w:t>
      </w:r>
    </w:p>
    <w:p>
      <w:pPr>
        <w:spacing w:after="100" w:before="180"/>
      </w:pPr>
      <w:r>
        <w:rPr>
          <w:b/>
          <w:bCs/>
        </w:rPr>
        <w:t xml:space="preserve">Zeitleiste der Rechtsentwicklung – warum heute gilt, was gilt.</w:t>
      </w:r>
      <w:r>
        <w:t xml:space="preserve"> Die Tabelle ist keine Chronik, sondern die Begründung des heutigen Standes: Jede Zeile erklärt eine Regel, die für eine Inbetriebnahme im Jahr 2026 noch wirkt. Abgeschlossene Zwischenstände stehen bewusst nur in Stichworten.</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350"/>
        <w:gridCol w:w="2100"/>
        <w:gridCol w:w="6188"/>
      </w:tblGrid>
      <w:tr>
        <w:trPr>
          <w:tblHeader/>
        </w:trPr>
        <w:tc>
          <w:tcPr>
            <w:tcW w:type="dxa" w:w="1350"/>
            <w:shd w:fill="1F3864" w:color="auto" w:val="clear"/>
            <w:vAlign w:val="center"/>
          </w:tcPr>
          <w:p>
            <w:pPr>
              <w:spacing w:after="30" w:before="30" w:line="230"/>
              <w:jc w:val="left"/>
            </w:pPr>
            <w:r>
              <w:rPr>
                <w:b/>
                <w:bCs/>
                <w:color w:val="FFFFFF"/>
                <w:sz w:val="17"/>
                <w:szCs w:val="17"/>
              </w:rPr>
              <w:t xml:space="preserve">Datum</w:t>
            </w:r>
          </w:p>
        </w:tc>
        <w:tc>
          <w:tcPr>
            <w:tcW w:type="dxa" w:w="2100"/>
            <w:shd w:fill="1F3864" w:color="auto" w:val="clear"/>
            <w:vAlign w:val="center"/>
          </w:tcPr>
          <w:p>
            <w:pPr>
              <w:spacing w:after="30" w:before="30" w:line="230"/>
              <w:jc w:val="left"/>
            </w:pPr>
            <w:r>
              <w:rPr>
                <w:b/>
                <w:bCs/>
                <w:color w:val="FFFFFF"/>
                <w:sz w:val="17"/>
                <w:szCs w:val="17"/>
              </w:rPr>
              <w:t xml:space="preserve">Ereignis</w:t>
            </w:r>
          </w:p>
        </w:tc>
        <w:tc>
          <w:tcPr>
            <w:tcW w:type="dxa" w:w="6188"/>
            <w:shd w:fill="1F3864" w:color="auto" w:val="clear"/>
            <w:vAlign w:val="center"/>
          </w:tcPr>
          <w:p>
            <w:pPr>
              <w:spacing w:after="30" w:before="30" w:line="230"/>
              <w:jc w:val="left"/>
            </w:pPr>
            <w:r>
              <w:rPr>
                <w:b/>
                <w:bCs/>
                <w:color w:val="FFFFFF"/>
                <w:sz w:val="17"/>
                <w:szCs w:val="17"/>
              </w:rPr>
              <w:t xml:space="preserve">Wirkung für die Vergütung</w:t>
            </w:r>
          </w:p>
        </w:tc>
      </w:tr>
      <w:tr>
        <w:tc>
          <w:tcPr>
            <w:tcW w:type="dxa" w:w="1350"/>
            <w:vAlign w:val="center"/>
          </w:tcPr>
          <w:p>
            <w:pPr>
              <w:spacing w:after="30" w:before="30" w:line="230"/>
              <w:jc w:val="left"/>
            </w:pPr>
            <w:r>
              <w:rPr>
                <w:b/>
                <w:bCs/>
                <w:sz w:val="17"/>
                <w:szCs w:val="17"/>
              </w:rPr>
              <w:t xml:space="preserve">01.01.2023</w:t>
            </w:r>
          </w:p>
        </w:tc>
        <w:tc>
          <w:tcPr>
            <w:tcW w:type="dxa" w:w="2100"/>
            <w:vAlign w:val="center"/>
          </w:tcPr>
          <w:p>
            <w:pPr>
              <w:spacing w:after="30" w:before="30" w:line="230"/>
              <w:jc w:val="left"/>
            </w:pPr>
            <w:r>
              <w:rPr>
                <w:b w:val="false"/>
                <w:bCs w:val="false"/>
                <w:sz w:val="17"/>
                <w:szCs w:val="17"/>
              </w:rPr>
              <w:t xml:space="preserve">EEG 2023 (Osterpaket)</w:t>
            </w:r>
          </w:p>
        </w:tc>
        <w:tc>
          <w:tcPr>
            <w:tcW w:type="dxa" w:w="6188"/>
            <w:vAlign w:val="center"/>
          </w:tcPr>
          <w:p>
            <w:pPr>
              <w:spacing w:after="30" w:before="30" w:line="230"/>
              <w:jc w:val="left"/>
            </w:pPr>
            <w:r>
              <w:rPr>
                <w:b w:val="false"/>
                <w:bCs w:val="false"/>
                <w:sz w:val="17"/>
                <w:szCs w:val="17"/>
              </w:rPr>
              <w:t xml:space="preserve">Neue anzulegende Werte 8,60 / 7,50 / 6,20 ct/kWh (Teil) bzw. 13,40 / 11,30 / 11,30 / 9,40 / 8,10 ct/kWh (Voll); Einführung des Volleinspeisungszuschlags § 48 Abs. 2a; Degressionsstopp bis 01/2024 [4]</w:t>
            </w:r>
          </w:p>
        </w:tc>
      </w:tr>
      <w:tr>
        <w:tc>
          <w:tcPr>
            <w:tcW w:type="dxa" w:w="1350"/>
            <w:shd w:fill="F2F5FA" w:color="auto" w:val="clear"/>
            <w:vAlign w:val="center"/>
          </w:tcPr>
          <w:p>
            <w:pPr>
              <w:spacing w:after="30" w:before="30" w:line="230"/>
              <w:jc w:val="left"/>
            </w:pPr>
            <w:r>
              <w:rPr>
                <w:b/>
                <w:bCs/>
                <w:sz w:val="17"/>
                <w:szCs w:val="17"/>
              </w:rPr>
              <w:t xml:space="preserve">05.02.2024</w:t>
            </w:r>
          </w:p>
        </w:tc>
        <w:tc>
          <w:tcPr>
            <w:tcW w:type="dxa" w:w="2100"/>
            <w:shd w:fill="F2F5FA" w:color="auto" w:val="clear"/>
            <w:vAlign w:val="center"/>
          </w:tcPr>
          <w:p>
            <w:pPr>
              <w:spacing w:after="30" w:before="30" w:line="230"/>
              <w:jc w:val="left"/>
            </w:pPr>
            <w:r>
              <w:rPr>
                <w:b w:val="false"/>
                <w:bCs w:val="false"/>
                <w:sz w:val="17"/>
                <w:szCs w:val="17"/>
              </w:rPr>
              <w:t xml:space="preserve">Ende des Degressionsstopps</w:t>
            </w:r>
          </w:p>
        </w:tc>
        <w:tc>
          <w:tcPr>
            <w:tcW w:type="dxa" w:w="6188"/>
            <w:shd w:fill="F2F5FA" w:color="auto" w:val="clear"/>
            <w:vAlign w:val="center"/>
          </w:tcPr>
          <w:p>
            <w:pPr>
              <w:spacing w:after="30" w:before="30" w:line="230"/>
              <w:jc w:val="left"/>
            </w:pPr>
            <w:r>
              <w:rPr>
                <w:b w:val="false"/>
                <w:bCs w:val="false"/>
                <w:sz w:val="17"/>
                <w:szCs w:val="17"/>
              </w:rPr>
              <w:t xml:space="preserve">Ab 01.02.2024 wieder 1 % Degression je Halbjahr [1][4]</w:t>
            </w:r>
          </w:p>
        </w:tc>
      </w:tr>
      <w:tr>
        <w:tc>
          <w:tcPr>
            <w:tcW w:type="dxa" w:w="1350"/>
            <w:vAlign w:val="center"/>
          </w:tcPr>
          <w:p>
            <w:pPr>
              <w:spacing w:after="30" w:before="30" w:line="230"/>
              <w:jc w:val="left"/>
            </w:pPr>
            <w:r>
              <w:rPr>
                <w:b/>
                <w:bCs/>
                <w:sz w:val="17"/>
                <w:szCs w:val="17"/>
              </w:rPr>
              <w:t xml:space="preserve">16.05.2024</w:t>
            </w:r>
          </w:p>
        </w:tc>
        <w:tc>
          <w:tcPr>
            <w:tcW w:type="dxa" w:w="2100"/>
            <w:vAlign w:val="center"/>
          </w:tcPr>
          <w:p>
            <w:pPr>
              <w:spacing w:after="30" w:before="30" w:line="230"/>
              <w:jc w:val="left"/>
            </w:pPr>
            <w:r>
              <w:rPr>
                <w:b w:val="false"/>
                <w:bCs w:val="false"/>
                <w:sz w:val="17"/>
                <w:szCs w:val="17"/>
              </w:rPr>
              <w:t xml:space="preserve">Solarpaket I</w:t>
            </w:r>
          </w:p>
        </w:tc>
        <w:tc>
          <w:tcPr>
            <w:tcW w:type="dxa" w:w="6188"/>
            <w:vAlign w:val="center"/>
          </w:tcPr>
          <w:p>
            <w:pPr>
              <w:spacing w:after="30" w:before="30" w:line="230"/>
              <w:jc w:val="left"/>
            </w:pPr>
            <w:r>
              <w:rPr>
                <w:b w:val="false"/>
                <w:bCs w:val="false"/>
                <w:sz w:val="17"/>
                <w:szCs w:val="17"/>
              </w:rPr>
              <w:t xml:space="preserve">Unentgeltliche Abnahme (§ 21 Abs. 1 Nr. 2), Repowering (§ 48 Abs. 4), Mieterstrom für alle Gebäudetypen; </w:t>
            </w:r>
            <w:r>
              <w:rPr>
                <w:b/>
                <w:bCs/>
                <w:sz w:val="17"/>
                <w:szCs w:val="17"/>
              </w:rPr>
              <w:t xml:space="preserve">+1,5 ct/kWh für Gebäudeanlagen 40 kW bis 1 MW (§ 48 Abs. 2 Nr. 3 → 7,64 ct/kWh) – nicht anwendbar, siehe folgende Zeile</w:t>
            </w:r>
            <w:r>
              <w:rPr>
                <w:b w:val="false"/>
                <w:bCs w:val="false"/>
                <w:sz w:val="17"/>
                <w:szCs w:val="17"/>
              </w:rPr>
              <w:t xml:space="preserve"> [4][12]</w:t>
            </w:r>
          </w:p>
        </w:tc>
      </w:tr>
      <w:tr>
        <w:tc>
          <w:tcPr>
            <w:tcW w:type="dxa" w:w="1350"/>
            <w:shd w:fill="FDEDEC" w:color="auto" w:val="clear"/>
            <w:vAlign w:val="center"/>
          </w:tcPr>
          <w:p>
            <w:pPr>
              <w:spacing w:after="30" w:before="30" w:line="230"/>
              <w:jc w:val="left"/>
            </w:pPr>
            <w:r>
              <w:rPr>
                <w:b/>
                <w:bCs/>
                <w:sz w:val="17"/>
                <w:szCs w:val="17"/>
              </w:rPr>
              <w:t xml:space="preserve">fortlaufend</w:t>
            </w:r>
          </w:p>
        </w:tc>
        <w:tc>
          <w:tcPr>
            <w:tcW w:type="dxa" w:w="2100"/>
            <w:shd w:fill="FDEDEC" w:color="auto" w:val="clear"/>
            <w:vAlign w:val="center"/>
          </w:tcPr>
          <w:p>
            <w:pPr>
              <w:spacing w:after="30" w:before="30" w:line="230"/>
              <w:jc w:val="left"/>
            </w:pPr>
            <w:r>
              <w:rPr>
                <w:b/>
                <w:bCs/>
                <w:sz w:val="17"/>
                <w:szCs w:val="17"/>
              </w:rPr>
              <w:t xml:space="preserve">§ 101 EEG Beihilfevorbehalt</w:t>
            </w:r>
          </w:p>
        </w:tc>
        <w:tc>
          <w:tcPr>
            <w:tcW w:type="dxa" w:w="6188"/>
            <w:shd w:fill="FDEDEC" w:color="auto" w:val="clear"/>
            <w:vAlign w:val="center"/>
          </w:tcPr>
          <w:p>
            <w:pPr>
              <w:spacing w:after="30" w:before="30" w:line="230"/>
              <w:jc w:val="left"/>
            </w:pPr>
            <w:r>
              <w:rPr>
                <w:b/>
                <w:bCs/>
                <w:sz w:val="17"/>
                <w:szCs w:val="17"/>
              </w:rPr>
              <w:t xml:space="preserve">Der +1,5-ct-Aufschlag ist gesetzlich vorgesehen, aber nach § 101 EEG mangels EU-Genehmigung NICHT anwendbar (Stand 25.08.2026).</w:t>
            </w:r>
            <w:r>
              <w:rPr>
                <w:b w:val="false"/>
                <w:bCs w:val="false"/>
                <w:sz w:val="17"/>
                <w:szCs w:val="17"/>
              </w:rPr>
              <w:t xml:space="preserve"> Bis zur Genehmigung gilt die Fassung vom 15.05.2024; die Bundesnetzagentur rechnet weiter mit der Basis 8,60 / 7,50 / 6,20 ct/kWh. Ebenfalls ausgesetzt sind unter anderem § 48 Abs. 1b (Agri-PV-Zuschlag), § 37b, § 37d, § 22 Abs. 3 S. 2 und § 30 Abs. 2. Offener Streitpunkt ist eine mögliche Rückforderung (Clawback) [4][14][20]</w:t>
            </w:r>
          </w:p>
        </w:tc>
      </w:tr>
      <w:tr>
        <w:tc>
          <w:tcPr>
            <w:tcW w:type="dxa" w:w="1350"/>
            <w:vAlign w:val="center"/>
          </w:tcPr>
          <w:p>
            <w:pPr>
              <w:spacing w:after="30" w:before="30" w:line="230"/>
              <w:jc w:val="left"/>
            </w:pPr>
            <w:r>
              <w:rPr>
                <w:b/>
                <w:bCs/>
                <w:sz w:val="17"/>
                <w:szCs w:val="17"/>
              </w:rPr>
              <w:t xml:space="preserve">21./25.02.2025</w:t>
            </w:r>
          </w:p>
        </w:tc>
        <w:tc>
          <w:tcPr>
            <w:tcW w:type="dxa" w:w="2100"/>
            <w:vAlign w:val="center"/>
          </w:tcPr>
          <w:p>
            <w:pPr>
              <w:spacing w:after="30" w:before="30" w:line="230"/>
              <w:jc w:val="left"/>
            </w:pPr>
            <w:r>
              <w:rPr>
                <w:b w:val="false"/>
                <w:bCs w:val="false"/>
                <w:sz w:val="17"/>
                <w:szCs w:val="17"/>
              </w:rPr>
              <w:t xml:space="preserve">Solarspitzengesetz (BGBl. 2025 I Nr. 51; Art. 3 rückwirkend zum 01.01.2025)</w:t>
            </w:r>
          </w:p>
        </w:tc>
        <w:tc>
          <w:tcPr>
            <w:tcW w:type="dxa" w:w="6188"/>
            <w:vAlign w:val="center"/>
          </w:tcPr>
          <w:p>
            <w:pPr>
              <w:spacing w:after="30" w:before="30" w:line="230"/>
              <w:jc w:val="left"/>
            </w:pPr>
            <w:r>
              <w:rPr>
                <w:b w:val="false"/>
                <w:bCs w:val="false"/>
                <w:sz w:val="17"/>
                <w:szCs w:val="17"/>
              </w:rPr>
              <w:t xml:space="preserve">siehe unten [12][19]</w:t>
            </w:r>
          </w:p>
        </w:tc>
      </w:tr>
      <w:tr>
        <w:tc>
          <w:tcPr>
            <w:tcW w:type="dxa" w:w="1350"/>
            <w:shd w:fill="F2F5FA" w:color="auto" w:val="clear"/>
            <w:vAlign w:val="center"/>
          </w:tcPr>
          <w:p>
            <w:pPr>
              <w:spacing w:after="30" w:before="30" w:line="230"/>
              <w:jc w:val="left"/>
            </w:pPr>
            <w:r>
              <w:rPr>
                <w:b/>
                <w:bCs/>
                <w:sz w:val="17"/>
                <w:szCs w:val="17"/>
              </w:rPr>
              <w:t xml:space="preserve">18.12.2025</w:t>
            </w:r>
          </w:p>
        </w:tc>
        <w:tc>
          <w:tcPr>
            <w:tcW w:type="dxa" w:w="2100"/>
            <w:shd w:fill="F2F5FA" w:color="auto" w:val="clear"/>
            <w:vAlign w:val="center"/>
          </w:tcPr>
          <w:p>
            <w:pPr>
              <w:spacing w:after="30" w:before="30" w:line="230"/>
              <w:jc w:val="left"/>
            </w:pPr>
            <w:r>
              <w:rPr>
                <w:b w:val="false"/>
                <w:bCs w:val="false"/>
                <w:sz w:val="17"/>
                <w:szCs w:val="17"/>
              </w:rPr>
              <w:t xml:space="preserve">15. Änderungsgesetz</w:t>
            </w:r>
          </w:p>
        </w:tc>
        <w:tc>
          <w:tcPr>
            <w:tcW w:type="dxa" w:w="6188"/>
            <w:shd w:fill="F2F5FA" w:color="auto" w:val="clear"/>
            <w:vAlign w:val="center"/>
          </w:tcPr>
          <w:p>
            <w:pPr>
              <w:spacing w:after="30" w:before="30" w:line="230"/>
              <w:jc w:val="left"/>
            </w:pPr>
            <w:r>
              <w:rPr>
                <w:b w:val="false"/>
                <w:bCs w:val="false"/>
                <w:sz w:val="17"/>
                <w:szCs w:val="17"/>
              </w:rPr>
              <w:t xml:space="preserve">§ 42c EnWG Energy Sharing, anwendbar ab </w:t>
            </w:r>
            <w:r>
              <w:rPr>
                <w:b/>
                <w:bCs/>
                <w:sz w:val="17"/>
                <w:szCs w:val="17"/>
              </w:rPr>
              <w:t xml:space="preserve">01.06.2026</w:t>
            </w:r>
            <w:r>
              <w:rPr>
                <w:b w:val="false"/>
                <w:bCs w:val="false"/>
                <w:sz w:val="17"/>
                <w:szCs w:val="17"/>
              </w:rPr>
              <w:t xml:space="preserve"> [4][18]</w:t>
            </w:r>
          </w:p>
        </w:tc>
      </w:tr>
      <w:tr>
        <w:tc>
          <w:tcPr>
            <w:tcW w:type="dxa" w:w="1350"/>
            <w:vAlign w:val="center"/>
          </w:tcPr>
          <w:p>
            <w:pPr>
              <w:spacing w:after="30" w:before="30" w:line="230"/>
              <w:jc w:val="left"/>
            </w:pPr>
            <w:r>
              <w:rPr>
                <w:b/>
                <w:bCs/>
                <w:sz w:val="17"/>
                <w:szCs w:val="17"/>
              </w:rPr>
              <w:t xml:space="preserve">29.07.2026</w:t>
            </w:r>
          </w:p>
        </w:tc>
        <w:tc>
          <w:tcPr>
            <w:tcW w:type="dxa" w:w="2100"/>
            <w:vAlign w:val="center"/>
          </w:tcPr>
          <w:p>
            <w:pPr>
              <w:spacing w:after="30" w:before="30" w:line="230"/>
              <w:jc w:val="left"/>
            </w:pPr>
            <w:r>
              <w:rPr>
                <w:b w:val="false"/>
                <w:bCs w:val="false"/>
                <w:sz w:val="17"/>
                <w:szCs w:val="17"/>
              </w:rPr>
              <w:t xml:space="preserve">Kabinettsbeschluss „EEG-Novelle 2027“</w:t>
            </w:r>
          </w:p>
        </w:tc>
        <w:tc>
          <w:tcPr>
            <w:tcW w:type="dxa" w:w="6188"/>
            <w:vAlign w:val="center"/>
          </w:tcPr>
          <w:p>
            <w:pPr>
              <w:spacing w:after="30" w:before="30" w:line="230"/>
              <w:jc w:val="left"/>
            </w:pPr>
            <w:r>
              <w:rPr>
                <w:b/>
                <w:bCs/>
                <w:sz w:val="17"/>
                <w:szCs w:val="17"/>
              </w:rPr>
              <w:t xml:space="preserve">Regierungsentwurf (Kabinett 29.07.2026)</w:t>
            </w:r>
            <w:r>
              <w:rPr>
                <w:b w:val="false"/>
                <w:bCs w:val="false"/>
                <w:sz w:val="17"/>
                <w:szCs w:val="17"/>
              </w:rPr>
              <w:t xml:space="preserve"> – siehe unten [15][16][17]</w:t>
            </w:r>
          </w:p>
        </w:tc>
      </w:tr>
    </w:tbl>
    <w:p>
      <w:pPr>
        <w:spacing w:after="100"/>
      </w:pPr>
      <w:r>
        <w:rPr>
          <w:sz w:val="8"/>
          <w:szCs w:val="8"/>
        </w:rPr>
        <w:t xml:space="preserve"/>
      </w:r>
    </w:p>
    <w:p>
      <w:r>
        <w:rPr>
          <w:b/>
          <w:bCs/>
        </w:rPr>
        <w:t xml:space="preserve">Solarspitzengesetz in der Praxis.</w:t>
      </w:r>
      <w:r>
        <w:t xml:space="preserve"> Nach dem neu gefassten § 51 EEG wird der anzulegende Wert in </w:t>
      </w:r>
      <w:r>
        <w:rPr>
          <w:b/>
          <w:bCs/>
        </w:rPr>
        <w:t xml:space="preserve">jeder Viertelstunde mit negativem Spotpreis auf null</w:t>
      </w:r>
      <w:r>
        <w:t xml:space="preserve"> gesetzt; die frühere Vier-Stunden-Schwelle entfällt. Ausgenommen sind Anlagen unter 100 kW bis zum Jahresende des Einbaus eines intelligenten Messsystems sowie Anlagen unter 2 kW. § 51a regelt die </w:t>
      </w:r>
      <w:r>
        <w:rPr>
          <w:b/>
          <w:bCs/>
        </w:rPr>
        <w:t xml:space="preserve">Nachholung</w:t>
      </w:r>
      <w:r>
        <w:t xml:space="preserve">: Der Vergütungszeitraum verlängert sich um die Anzahl der Null-Viertelstunden multipliziert mit dem Faktor 0,5 (gerechnet in Volllastviertelstunden), der Abbau erfolgt über ertragsgewichtete Monatskontingente – also </w:t>
      </w:r>
      <w:r>
        <w:rPr>
          <w:b/>
          <w:bCs/>
        </w:rPr>
        <w:t xml:space="preserve">nicht</w:t>
      </w:r>
      <w:r>
        <w:t xml:space="preserve"> eins zu eins am Laufzeitende. Über § 9 Abs. 2 EEG gelten bis zum Einbau von Messsystem und Steuerbox gestaffelte Steuerbarkeitspflichten: ab 100 kW muss die Ist-Einspeisung abrufbar und die Anlage fernsteuerbar sein; von 25 bis unter 100 kW ist die ferngesteuerte Reduzierung erforderlich und – bei fester Einspeisevergütung oder Mieterstrom – zusätzlich eine Begrenzung der Einspeisung auf 60 %; unter 25 kW mit fester Einspeisevergütung gilt die 60-%-Kappung. </w:t>
      </w:r>
      <w:r>
        <w:rPr>
          <w:b/>
          <w:bCs/>
        </w:rPr>
        <w:t xml:space="preserve">In der Direktvermarktung wird nicht gekappt</w:t>
      </w:r>
      <w:r>
        <w:t xml:space="preserve">; Steckersolargeräte bis 2 kW sind ausgenommen. Für Speicher wurden mit § 19 Abs. 3b/3c eine Pauschal- und eine Abgrenzungsoption geschaffen, die eine Direktvermarktung voraussetzen; eine Festlegung der Bundesnetzagentur war bis 06/2026 vorgesehen, ihr Stand ist offen [4][12][19].</w:t>
      </w:r>
    </w:p>
    <w:p>
      <w:pPr>
        <w:spacing w:after="100" w:before="180"/>
      </w:pPr>
      <w:r>
        <w:rPr>
          <w:b/>
          <w:bCs/>
        </w:rPr>
        <w:t xml:space="preserve">Mieterstrom, gemeinschaftliche Gebäudeversorgung und Energy Sharing im Vergleich</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222"/>
        <w:gridCol w:w="2472"/>
        <w:gridCol w:w="2472"/>
        <w:gridCol w:w="2472"/>
      </w:tblGrid>
      <w:tr>
        <w:trPr>
          <w:tblHeader/>
        </w:trPr>
        <w:tc>
          <w:tcPr>
            <w:tcW w:type="dxa" w:w="2222"/>
            <w:shd w:fill="1F3864" w:color="auto" w:val="clear"/>
            <w:vAlign w:val="center"/>
          </w:tcPr>
          <w:p>
            <w:pPr>
              <w:spacing w:after="30" w:before="30" w:line="230"/>
              <w:jc w:val="left"/>
            </w:pPr>
            <w:r>
              <w:rPr>
                <w:b/>
                <w:bCs/>
                <w:color w:val="FFFFFF"/>
                <w:sz w:val="17"/>
                <w:szCs w:val="17"/>
              </w:rPr>
              <w:t xml:space="preserve">Merkmal</w:t>
            </w:r>
          </w:p>
        </w:tc>
        <w:tc>
          <w:tcPr>
            <w:tcW w:type="dxa" w:w="2472"/>
            <w:shd w:fill="1F3864" w:color="auto" w:val="clear"/>
            <w:vAlign w:val="center"/>
          </w:tcPr>
          <w:p>
            <w:pPr>
              <w:spacing w:after="30" w:before="30" w:line="230"/>
              <w:jc w:val="left"/>
            </w:pPr>
            <w:r>
              <w:rPr>
                <w:b/>
                <w:bCs/>
                <w:color w:val="FFFFFF"/>
                <w:sz w:val="17"/>
                <w:szCs w:val="17"/>
              </w:rPr>
              <w:t xml:space="preserve">Mieterstrom § 42a EnWG / § 48a EEG</w:t>
            </w:r>
          </w:p>
        </w:tc>
        <w:tc>
          <w:tcPr>
            <w:tcW w:type="dxa" w:w="2472"/>
            <w:shd w:fill="1F3864" w:color="auto" w:val="clear"/>
            <w:vAlign w:val="center"/>
          </w:tcPr>
          <w:p>
            <w:pPr>
              <w:spacing w:after="30" w:before="30" w:line="230"/>
              <w:jc w:val="left"/>
            </w:pPr>
            <w:r>
              <w:rPr>
                <w:b/>
                <w:bCs/>
                <w:color w:val="FFFFFF"/>
                <w:sz w:val="17"/>
                <w:szCs w:val="17"/>
              </w:rPr>
              <w:t xml:space="preserve">Gemeinschaftliche Gebäudeversorgung § 42b EnWG</w:t>
            </w:r>
          </w:p>
        </w:tc>
        <w:tc>
          <w:tcPr>
            <w:tcW w:type="dxa" w:w="2472"/>
            <w:shd w:fill="1F3864" w:color="auto" w:val="clear"/>
            <w:vAlign w:val="center"/>
          </w:tcPr>
          <w:p>
            <w:pPr>
              <w:spacing w:after="30" w:before="30" w:line="230"/>
              <w:jc w:val="left"/>
            </w:pPr>
            <w:r>
              <w:rPr>
                <w:b/>
                <w:bCs/>
                <w:color w:val="FFFFFF"/>
                <w:sz w:val="17"/>
                <w:szCs w:val="17"/>
              </w:rPr>
              <w:t xml:space="preserve">Energy Sharing § 42c EnWG</w:t>
            </w:r>
          </w:p>
        </w:tc>
      </w:tr>
      <w:tr>
        <w:tc>
          <w:tcPr>
            <w:tcW w:type="dxa" w:w="2222"/>
            <w:vAlign w:val="center"/>
          </w:tcPr>
          <w:p>
            <w:pPr>
              <w:spacing w:after="30" w:before="30" w:line="230"/>
              <w:jc w:val="left"/>
            </w:pPr>
            <w:r>
              <w:rPr>
                <w:b/>
                <w:bCs/>
                <w:sz w:val="17"/>
                <w:szCs w:val="17"/>
              </w:rPr>
              <w:t xml:space="preserve">Anwendbar seit</w:t>
            </w:r>
          </w:p>
        </w:tc>
        <w:tc>
          <w:tcPr>
            <w:tcW w:type="dxa" w:w="2472"/>
            <w:vAlign w:val="center"/>
          </w:tcPr>
          <w:p>
            <w:pPr>
              <w:spacing w:after="30" w:before="30" w:line="230"/>
              <w:jc w:val="left"/>
            </w:pPr>
            <w:r>
              <w:rPr>
                <w:b w:val="false"/>
                <w:bCs w:val="false"/>
                <w:sz w:val="17"/>
                <w:szCs w:val="17"/>
              </w:rPr>
              <w:t xml:space="preserve">Bestand, seit Solarpaket I alle Gebäudetypen</w:t>
            </w:r>
          </w:p>
        </w:tc>
        <w:tc>
          <w:tcPr>
            <w:tcW w:type="dxa" w:w="2472"/>
            <w:vAlign w:val="center"/>
          </w:tcPr>
          <w:p>
            <w:pPr>
              <w:spacing w:after="30" w:before="30" w:line="230"/>
              <w:jc w:val="left"/>
            </w:pPr>
            <w:r>
              <w:rPr>
                <w:b w:val="false"/>
                <w:bCs w:val="false"/>
                <w:sz w:val="17"/>
                <w:szCs w:val="17"/>
              </w:rPr>
              <w:t xml:space="preserve">Bestand</w:t>
            </w:r>
          </w:p>
        </w:tc>
        <w:tc>
          <w:tcPr>
            <w:tcW w:type="dxa" w:w="2472"/>
            <w:vAlign w:val="center"/>
          </w:tcPr>
          <w:p>
            <w:pPr>
              <w:spacing w:after="30" w:before="30" w:line="230"/>
              <w:jc w:val="left"/>
            </w:pPr>
            <w:r>
              <w:rPr>
                <w:b/>
                <w:bCs/>
                <w:sz w:val="17"/>
                <w:szCs w:val="17"/>
              </w:rPr>
              <w:t xml:space="preserve">01.06.2026</w:t>
            </w:r>
          </w:p>
        </w:tc>
      </w:tr>
      <w:tr>
        <w:tc>
          <w:tcPr>
            <w:tcW w:type="dxa" w:w="2222"/>
            <w:shd w:fill="F2F5FA" w:color="auto" w:val="clear"/>
            <w:vAlign w:val="center"/>
          </w:tcPr>
          <w:p>
            <w:pPr>
              <w:spacing w:after="30" w:before="30" w:line="230"/>
              <w:jc w:val="left"/>
            </w:pPr>
            <w:r>
              <w:rPr>
                <w:b/>
                <w:bCs/>
                <w:sz w:val="17"/>
                <w:szCs w:val="17"/>
              </w:rPr>
              <w:t xml:space="preserve">Räumlicher Bezug</w:t>
            </w:r>
          </w:p>
        </w:tc>
        <w:tc>
          <w:tcPr>
            <w:tcW w:type="dxa" w:w="2472"/>
            <w:shd w:fill="F2F5FA" w:color="auto" w:val="clear"/>
            <w:vAlign w:val="center"/>
          </w:tcPr>
          <w:p>
            <w:pPr>
              <w:spacing w:after="30" w:before="30" w:line="230"/>
              <w:jc w:val="left"/>
            </w:pPr>
            <w:r>
              <w:rPr>
                <w:b w:val="false"/>
                <w:bCs w:val="false"/>
                <w:sz w:val="17"/>
                <w:szCs w:val="17"/>
              </w:rPr>
              <w:t xml:space="preserve">Gebäude und Quartier</w:t>
            </w:r>
          </w:p>
        </w:tc>
        <w:tc>
          <w:tcPr>
            <w:tcW w:type="dxa" w:w="2472"/>
            <w:shd w:fill="F2F5FA" w:color="auto" w:val="clear"/>
            <w:vAlign w:val="center"/>
          </w:tcPr>
          <w:p>
            <w:pPr>
              <w:spacing w:after="30" w:before="30" w:line="230"/>
              <w:jc w:val="left"/>
            </w:pPr>
            <w:r>
              <w:rPr>
                <w:b w:val="false"/>
                <w:bCs w:val="false"/>
                <w:sz w:val="17"/>
                <w:szCs w:val="17"/>
              </w:rPr>
              <w:t xml:space="preserve">dasselbe Gebäude</w:t>
            </w:r>
          </w:p>
        </w:tc>
        <w:tc>
          <w:tcPr>
            <w:tcW w:type="dxa" w:w="2472"/>
            <w:shd w:fill="F2F5FA" w:color="auto" w:val="clear"/>
            <w:vAlign w:val="center"/>
          </w:tcPr>
          <w:p>
            <w:pPr>
              <w:spacing w:after="30" w:before="30" w:line="230"/>
              <w:jc w:val="left"/>
            </w:pPr>
            <w:r>
              <w:rPr>
                <w:b w:val="false"/>
                <w:bCs w:val="false"/>
                <w:sz w:val="17"/>
                <w:szCs w:val="17"/>
              </w:rPr>
              <w:t xml:space="preserve">Teilen über das öffentliche Verteilnetz</w:t>
            </w:r>
          </w:p>
        </w:tc>
      </w:tr>
      <w:tr>
        <w:tc>
          <w:tcPr>
            <w:tcW w:type="dxa" w:w="2222"/>
            <w:vAlign w:val="center"/>
          </w:tcPr>
          <w:p>
            <w:pPr>
              <w:spacing w:after="30" w:before="30" w:line="230"/>
              <w:jc w:val="left"/>
            </w:pPr>
            <w:r>
              <w:rPr>
                <w:b/>
                <w:bCs/>
                <w:sz w:val="17"/>
                <w:szCs w:val="17"/>
              </w:rPr>
              <w:t xml:space="preserve">Mieterstromzuschlag</w:t>
            </w:r>
          </w:p>
        </w:tc>
        <w:tc>
          <w:tcPr>
            <w:tcW w:type="dxa" w:w="2472"/>
            <w:vAlign w:val="center"/>
          </w:tcPr>
          <w:p>
            <w:pPr>
              <w:spacing w:after="30" w:before="30" w:line="230"/>
              <w:jc w:val="left"/>
            </w:pPr>
            <w:r>
              <w:rPr>
                <w:b/>
                <w:bCs/>
                <w:sz w:val="17"/>
                <w:szCs w:val="17"/>
              </w:rPr>
              <w:t xml:space="preserve">ja</w:t>
            </w:r>
          </w:p>
        </w:tc>
        <w:tc>
          <w:tcPr>
            <w:tcW w:type="dxa" w:w="2472"/>
            <w:vAlign w:val="center"/>
          </w:tcPr>
          <w:p>
            <w:pPr>
              <w:spacing w:after="30" w:before="30" w:line="230"/>
              <w:jc w:val="left"/>
            </w:pPr>
            <w:r>
              <w:rPr>
                <w:b/>
                <w:bCs/>
                <w:sz w:val="17"/>
                <w:szCs w:val="17"/>
              </w:rPr>
              <w:t xml:space="preserve">nein</w:t>
            </w:r>
          </w:p>
        </w:tc>
        <w:tc>
          <w:tcPr>
            <w:tcW w:type="dxa" w:w="2472"/>
            <w:vAlign w:val="center"/>
          </w:tcPr>
          <w:p>
            <w:pPr>
              <w:spacing w:after="30" w:before="30" w:line="230"/>
              <w:jc w:val="left"/>
            </w:pPr>
            <w:r>
              <w:rPr>
                <w:b w:val="false"/>
                <w:bCs w:val="false"/>
                <w:sz w:val="17"/>
                <w:szCs w:val="17"/>
              </w:rPr>
              <w:t xml:space="preserve">nein (keine eigene EEG-Förderung)</w:t>
            </w:r>
          </w:p>
        </w:tc>
      </w:tr>
      <w:tr>
        <w:tc>
          <w:tcPr>
            <w:tcW w:type="dxa" w:w="2222"/>
            <w:shd w:fill="F2F5FA" w:color="auto" w:val="clear"/>
            <w:vAlign w:val="center"/>
          </w:tcPr>
          <w:p>
            <w:pPr>
              <w:spacing w:after="30" w:before="30" w:line="230"/>
              <w:jc w:val="left"/>
            </w:pPr>
            <w:r>
              <w:rPr>
                <w:b/>
                <w:bCs/>
                <w:sz w:val="17"/>
                <w:szCs w:val="17"/>
              </w:rPr>
              <w:t xml:space="preserve">Einspeisevergütung für Überschuss</w:t>
            </w:r>
          </w:p>
        </w:tc>
        <w:tc>
          <w:tcPr>
            <w:tcW w:type="dxa" w:w="2472"/>
            <w:shd w:fill="F2F5FA" w:color="auto" w:val="clear"/>
            <w:vAlign w:val="center"/>
          </w:tcPr>
          <w:p>
            <w:pPr>
              <w:spacing w:after="30" w:before="30" w:line="230"/>
              <w:jc w:val="left"/>
            </w:pPr>
            <w:r>
              <w:rPr>
                <w:b w:val="false"/>
                <w:bCs w:val="false"/>
                <w:sz w:val="17"/>
                <w:szCs w:val="17"/>
              </w:rPr>
              <w:t xml:space="preserve">ja</w:t>
            </w:r>
          </w:p>
        </w:tc>
        <w:tc>
          <w:tcPr>
            <w:tcW w:type="dxa" w:w="2472"/>
            <w:shd w:fill="F2F5FA" w:color="auto" w:val="clear"/>
            <w:vAlign w:val="center"/>
          </w:tcPr>
          <w:p>
            <w:pPr>
              <w:spacing w:after="30" w:before="30" w:line="230"/>
              <w:jc w:val="left"/>
            </w:pPr>
            <w:r>
              <w:rPr>
                <w:b w:val="false"/>
                <w:bCs w:val="false"/>
                <w:sz w:val="17"/>
                <w:szCs w:val="17"/>
              </w:rPr>
              <w:t xml:space="preserve">ja</w:t>
            </w:r>
          </w:p>
        </w:tc>
        <w:tc>
          <w:tcPr>
            <w:tcW w:type="dxa" w:w="2472"/>
            <w:shd w:fill="F2F5FA" w:color="auto" w:val="clear"/>
            <w:vAlign w:val="center"/>
          </w:tcPr>
          <w:p>
            <w:pPr>
              <w:spacing w:after="30" w:before="30" w:line="230"/>
              <w:jc w:val="left"/>
            </w:pPr>
            <w:r>
              <w:rPr>
                <w:b w:val="false"/>
                <w:bCs w:val="false"/>
                <w:sz w:val="17"/>
                <w:szCs w:val="17"/>
              </w:rPr>
              <w:t xml:space="preserve">ja, weiterhin EEG-fähig</w:t>
            </w:r>
          </w:p>
        </w:tc>
      </w:tr>
      <w:tr>
        <w:tc>
          <w:tcPr>
            <w:tcW w:type="dxa" w:w="2222"/>
            <w:vAlign w:val="center"/>
          </w:tcPr>
          <w:p>
            <w:pPr>
              <w:spacing w:after="30" w:before="30" w:line="230"/>
              <w:jc w:val="left"/>
            </w:pPr>
            <w:r>
              <w:rPr>
                <w:b/>
                <w:bCs/>
                <w:sz w:val="17"/>
                <w:szCs w:val="17"/>
              </w:rPr>
              <w:t xml:space="preserve">Lieferantenpflichten</w:t>
            </w:r>
          </w:p>
        </w:tc>
        <w:tc>
          <w:tcPr>
            <w:tcW w:type="dxa" w:w="2472"/>
            <w:vAlign w:val="center"/>
          </w:tcPr>
          <w:p>
            <w:pPr>
              <w:spacing w:after="30" w:before="30" w:line="230"/>
              <w:jc w:val="left"/>
            </w:pPr>
            <w:r>
              <w:rPr>
                <w:b w:val="false"/>
                <w:bCs w:val="false"/>
                <w:sz w:val="17"/>
                <w:szCs w:val="17"/>
              </w:rPr>
              <w:t xml:space="preserve">volle Pflichten, </w:t>
            </w:r>
            <w:r>
              <w:rPr>
                <w:b/>
                <w:bCs/>
                <w:sz w:val="17"/>
                <w:szCs w:val="17"/>
              </w:rPr>
              <w:t xml:space="preserve">Vollversorgungsgebot</w:t>
            </w:r>
          </w:p>
        </w:tc>
        <w:tc>
          <w:tcPr>
            <w:tcW w:type="dxa" w:w="2472"/>
            <w:vAlign w:val="center"/>
          </w:tcPr>
          <w:p>
            <w:pPr>
              <w:spacing w:after="30" w:before="30" w:line="230"/>
              <w:jc w:val="left"/>
            </w:pPr>
            <w:r>
              <w:rPr>
                <w:b w:val="false"/>
                <w:bCs w:val="false"/>
                <w:sz w:val="17"/>
                <w:szCs w:val="17"/>
              </w:rPr>
              <w:t xml:space="preserve">reduziert, nur PV-Strom, keine Vollversorgungspflicht</w:t>
            </w:r>
          </w:p>
        </w:tc>
        <w:tc>
          <w:tcPr>
            <w:tcW w:type="dxa" w:w="2472"/>
            <w:vAlign w:val="center"/>
          </w:tcPr>
          <w:p>
            <w:pPr>
              <w:spacing w:after="30" w:before="30" w:line="230"/>
              <w:jc w:val="left"/>
            </w:pPr>
            <w:r>
              <w:rPr>
                <w:b w:val="false"/>
                <w:bCs w:val="false"/>
                <w:sz w:val="17"/>
                <w:szCs w:val="17"/>
              </w:rPr>
              <w:t xml:space="preserve">–</w:t>
            </w:r>
          </w:p>
        </w:tc>
      </w:tr>
      <w:tr>
        <w:tc>
          <w:tcPr>
            <w:tcW w:type="dxa" w:w="2222"/>
            <w:shd w:fill="F2F5FA" w:color="auto" w:val="clear"/>
            <w:vAlign w:val="center"/>
          </w:tcPr>
          <w:p>
            <w:pPr>
              <w:spacing w:after="30" w:before="30" w:line="230"/>
              <w:jc w:val="left"/>
            </w:pPr>
            <w:r>
              <w:rPr>
                <w:b/>
                <w:bCs/>
                <w:sz w:val="17"/>
                <w:szCs w:val="17"/>
              </w:rPr>
              <w:t xml:space="preserve">Preisregulierung</w:t>
            </w:r>
          </w:p>
        </w:tc>
        <w:tc>
          <w:tcPr>
            <w:tcW w:type="dxa" w:w="2472"/>
            <w:shd w:fill="F2F5FA" w:color="auto" w:val="clear"/>
            <w:vAlign w:val="center"/>
          </w:tcPr>
          <w:p>
            <w:pPr>
              <w:spacing w:after="30" w:before="30" w:line="230"/>
              <w:jc w:val="left"/>
            </w:pPr>
            <w:r>
              <w:rPr>
                <w:b w:val="false"/>
                <w:bCs w:val="false"/>
                <w:sz w:val="17"/>
                <w:szCs w:val="17"/>
              </w:rPr>
              <w:t xml:space="preserve">Deckel 90 % des Grundversorgungstarifs</w:t>
            </w:r>
          </w:p>
        </w:tc>
        <w:tc>
          <w:tcPr>
            <w:tcW w:type="dxa" w:w="2472"/>
            <w:shd w:fill="F2F5FA" w:color="auto" w:val="clear"/>
            <w:vAlign w:val="center"/>
          </w:tcPr>
          <w:p>
            <w:pPr>
              <w:spacing w:after="30" w:before="30" w:line="230"/>
              <w:jc w:val="left"/>
            </w:pPr>
            <w:r>
              <w:rPr>
                <w:b w:val="false"/>
                <w:bCs w:val="false"/>
                <w:sz w:val="17"/>
                <w:szCs w:val="17"/>
              </w:rPr>
              <w:t xml:space="preserve">keine</w:t>
            </w:r>
          </w:p>
        </w:tc>
        <w:tc>
          <w:tcPr>
            <w:tcW w:type="dxa" w:w="2472"/>
            <w:shd w:fill="F2F5FA" w:color="auto" w:val="clear"/>
            <w:vAlign w:val="center"/>
          </w:tcPr>
          <w:p>
            <w:pPr>
              <w:spacing w:after="30" w:before="30" w:line="230"/>
              <w:jc w:val="left"/>
            </w:pPr>
            <w:r>
              <w:rPr>
                <w:b w:val="false"/>
                <w:bCs w:val="false"/>
                <w:sz w:val="17"/>
                <w:szCs w:val="17"/>
              </w:rPr>
              <w:t xml:space="preserve">–</w:t>
            </w:r>
          </w:p>
        </w:tc>
      </w:tr>
      <w:tr>
        <w:tc>
          <w:tcPr>
            <w:tcW w:type="dxa" w:w="2222"/>
            <w:vAlign w:val="center"/>
          </w:tcPr>
          <w:p>
            <w:pPr>
              <w:spacing w:after="30" w:before="30" w:line="230"/>
              <w:jc w:val="left"/>
            </w:pPr>
            <w:r>
              <w:rPr>
                <w:b/>
                <w:bCs/>
                <w:sz w:val="17"/>
                <w:szCs w:val="17"/>
              </w:rPr>
              <w:t xml:space="preserve">Messung</w:t>
            </w:r>
          </w:p>
        </w:tc>
        <w:tc>
          <w:tcPr>
            <w:tcW w:type="dxa" w:w="2472"/>
            <w:vAlign w:val="center"/>
          </w:tcPr>
          <w:p>
            <w:pPr>
              <w:spacing w:after="30" w:before="30" w:line="230"/>
              <w:jc w:val="left"/>
            </w:pPr>
            <w:r>
              <w:rPr>
                <w:b w:val="false"/>
                <w:bCs w:val="false"/>
                <w:sz w:val="17"/>
                <w:szCs w:val="17"/>
              </w:rPr>
              <w:t xml:space="preserve">nach gewähltem Messkonzept</w:t>
            </w:r>
          </w:p>
        </w:tc>
        <w:tc>
          <w:tcPr>
            <w:tcW w:type="dxa" w:w="2472"/>
            <w:vAlign w:val="center"/>
          </w:tcPr>
          <w:p>
            <w:pPr>
              <w:spacing w:after="30" w:before="30" w:line="230"/>
              <w:jc w:val="left"/>
            </w:pPr>
            <w:r>
              <w:rPr>
                <w:b w:val="false"/>
                <w:bCs w:val="false"/>
                <w:sz w:val="17"/>
                <w:szCs w:val="17"/>
              </w:rPr>
              <w:t xml:space="preserve">Viertelstundenmessung erforderlich</w:t>
            </w:r>
          </w:p>
        </w:tc>
        <w:tc>
          <w:tcPr>
            <w:tcW w:type="dxa" w:w="2472"/>
            <w:vAlign w:val="center"/>
          </w:tcPr>
          <w:p>
            <w:pPr>
              <w:spacing w:after="30" w:before="30" w:line="230"/>
              <w:jc w:val="left"/>
            </w:pPr>
            <w:r>
              <w:rPr>
                <w:b w:val="false"/>
                <w:bCs w:val="false"/>
                <w:sz w:val="17"/>
                <w:szCs w:val="17"/>
              </w:rPr>
              <w:t xml:space="preserve">–</w:t>
            </w:r>
          </w:p>
        </w:tc>
      </w:tr>
    </w:tbl>
    <w:p>
      <w:pPr>
        <w:spacing w:after="100"/>
      </w:pPr>
      <w:r>
        <w:rPr>
          <w:sz w:val="8"/>
          <w:szCs w:val="8"/>
        </w:rPr>
        <w:t xml:space="preserve"/>
      </w:r>
    </w:p>
    <w:p>
      <w:r>
        <w:rPr>
          <w:sz w:val="19"/>
          <w:szCs w:val="19"/>
        </w:rPr>
        <w:t xml:space="preserve">Quellen: [4][13][18].</w:t>
      </w:r>
    </w:p>
    <w:p>
      <w:pPr>
        <w:spacing w:after="100" w:before="200"/>
      </w:pPr>
      <w:r>
        <w:rPr>
          <w:b/>
          <w:bCs/>
        </w:rPr>
        <w:t xml:space="preserve">Ausschreibungsergebnisse 2026</w:t>
      </w:r>
      <w:r>
        <w:t xml:space="preserve"> (Bundesnetzagentur, pay-as-bid), Durchschnittswerte in ct/kWh:</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300"/>
        <w:gridCol w:w="1400"/>
        <w:gridCol w:w="1700"/>
        <w:gridCol w:w="1400"/>
        <w:gridCol w:w="2838"/>
      </w:tblGrid>
      <w:tr>
        <w:trPr>
          <w:tblHeader/>
        </w:trPr>
        <w:tc>
          <w:tcPr>
            <w:tcW w:type="dxa" w:w="2300"/>
            <w:shd w:fill="1F3864" w:color="auto" w:val="clear"/>
            <w:vAlign w:val="center"/>
          </w:tcPr>
          <w:p>
            <w:pPr>
              <w:spacing w:after="30" w:before="30" w:line="230"/>
              <w:jc w:val="left"/>
            </w:pPr>
            <w:r>
              <w:rPr>
                <w:b/>
                <w:bCs/>
                <w:color w:val="FFFFFF"/>
                <w:sz w:val="17"/>
                <w:szCs w:val="17"/>
              </w:rPr>
              <w:t xml:space="preserve">Segment</w:t>
            </w:r>
          </w:p>
        </w:tc>
        <w:tc>
          <w:tcPr>
            <w:tcW w:type="dxa" w:w="1400"/>
            <w:shd w:fill="1F3864" w:color="auto" w:val="clear"/>
            <w:vAlign w:val="center"/>
          </w:tcPr>
          <w:p>
            <w:pPr>
              <w:spacing w:after="30" w:before="30" w:line="230"/>
              <w:jc w:val="center"/>
            </w:pPr>
            <w:r>
              <w:rPr>
                <w:b/>
                <w:bCs/>
                <w:color w:val="FFFFFF"/>
                <w:sz w:val="17"/>
                <w:szCs w:val="17"/>
              </w:rPr>
              <w:t xml:space="preserve">Termin</w:t>
            </w:r>
          </w:p>
        </w:tc>
        <w:tc>
          <w:tcPr>
            <w:tcW w:type="dxa" w:w="1700"/>
            <w:shd w:fill="1F3864" w:color="auto" w:val="clear"/>
            <w:vAlign w:val="center"/>
          </w:tcPr>
          <w:p>
            <w:pPr>
              <w:spacing w:after="30" w:before="30" w:line="230"/>
              <w:jc w:val="center"/>
            </w:pPr>
            <w:r>
              <w:rPr>
                <w:b/>
                <w:bCs/>
                <w:color w:val="FFFFFF"/>
                <w:sz w:val="17"/>
                <w:szCs w:val="17"/>
              </w:rPr>
              <w:t xml:space="preserve">Ø Zuschlagswert</w:t>
            </w:r>
          </w:p>
        </w:tc>
        <w:tc>
          <w:tcPr>
            <w:tcW w:type="dxa" w:w="1400"/>
            <w:shd w:fill="1F3864" w:color="auto" w:val="clear"/>
            <w:vAlign w:val="center"/>
          </w:tcPr>
          <w:p>
            <w:pPr>
              <w:spacing w:after="30" w:before="30" w:line="230"/>
              <w:jc w:val="center"/>
            </w:pPr>
            <w:r>
              <w:rPr>
                <w:b/>
                <w:bCs/>
                <w:color w:val="FFFFFF"/>
                <w:sz w:val="17"/>
                <w:szCs w:val="17"/>
              </w:rPr>
              <w:t xml:space="preserve">Höchstwert</w:t>
            </w:r>
          </w:p>
        </w:tc>
        <w:tc>
          <w:tcPr>
            <w:tcW w:type="dxa" w:w="2838"/>
            <w:shd w:fill="1F3864" w:color="auto" w:val="clear"/>
            <w:vAlign w:val="center"/>
          </w:tcPr>
          <w:p>
            <w:pPr>
              <w:spacing w:after="30" w:before="30" w:line="230"/>
              <w:jc w:val="left"/>
            </w:pPr>
            <w:r>
              <w:rPr>
                <w:b/>
                <w:bCs/>
                <w:color w:val="FFFFFF"/>
                <w:sz w:val="17"/>
                <w:szCs w:val="17"/>
              </w:rPr>
              <w:t xml:space="preserve">Bemerkung</w:t>
            </w:r>
          </w:p>
        </w:tc>
      </w:tr>
      <w:tr>
        <w:tc>
          <w:tcPr>
            <w:tcW w:type="dxa" w:w="2300"/>
            <w:vAlign w:val="center"/>
          </w:tcPr>
          <w:p>
            <w:pPr>
              <w:spacing w:after="30" w:before="30" w:line="230"/>
              <w:jc w:val="left"/>
            </w:pPr>
            <w:r>
              <w:rPr>
                <w:b/>
                <w:bCs/>
                <w:sz w:val="17"/>
                <w:szCs w:val="17"/>
              </w:rPr>
              <w:t xml:space="preserve">1. Segment (Freifläche)</w:t>
            </w:r>
          </w:p>
        </w:tc>
        <w:tc>
          <w:tcPr>
            <w:tcW w:type="dxa" w:w="1400"/>
            <w:vAlign w:val="center"/>
          </w:tcPr>
          <w:p>
            <w:pPr>
              <w:spacing w:after="30" w:before="30" w:line="230"/>
              <w:jc w:val="center"/>
            </w:pPr>
            <w:r>
              <w:rPr>
                <w:b w:val="false"/>
                <w:bCs w:val="false"/>
                <w:sz w:val="17"/>
                <w:szCs w:val="17"/>
              </w:rPr>
              <w:t xml:space="preserve">01.03.2026</w:t>
            </w:r>
          </w:p>
        </w:tc>
        <w:tc>
          <w:tcPr>
            <w:tcW w:type="dxa" w:w="1700"/>
            <w:vAlign w:val="center"/>
          </w:tcPr>
          <w:p>
            <w:pPr>
              <w:spacing w:after="30" w:before="30" w:line="230"/>
              <w:jc w:val="center"/>
            </w:pPr>
            <w:r>
              <w:rPr>
                <w:b/>
                <w:bCs/>
                <w:sz w:val="17"/>
                <w:szCs w:val="17"/>
              </w:rPr>
              <w:t xml:space="preserve">4,94</w:t>
            </w:r>
          </w:p>
        </w:tc>
        <w:tc>
          <w:tcPr>
            <w:tcW w:type="dxa" w:w="1400"/>
            <w:vAlign w:val="center"/>
          </w:tcPr>
          <w:p>
            <w:pPr>
              <w:spacing w:after="30" w:before="30" w:line="230"/>
              <w:jc w:val="center"/>
            </w:pPr>
            <w:r>
              <w:rPr>
                <w:b w:val="false"/>
                <w:bCs w:val="false"/>
                <w:sz w:val="17"/>
                <w:szCs w:val="17"/>
              </w:rPr>
              <w:t xml:space="preserve">5,79</w:t>
            </w:r>
          </w:p>
        </w:tc>
        <w:tc>
          <w:tcPr>
            <w:tcW w:type="dxa" w:w="2838"/>
            <w:vAlign w:val="center"/>
          </w:tcPr>
          <w:p>
            <w:pPr>
              <w:spacing w:after="30" w:before="30" w:line="230"/>
              <w:jc w:val="left"/>
            </w:pPr>
            <w:r>
              <w:rPr>
                <w:b w:val="false"/>
                <w:bCs w:val="false"/>
                <w:sz w:val="17"/>
                <w:szCs w:val="17"/>
              </w:rPr>
              <w:t xml:space="preserve">Spanne 3,99–5,10; 201 % überzeichnet</w:t>
            </w:r>
          </w:p>
        </w:tc>
      </w:tr>
      <w:tr>
        <w:tc>
          <w:tcPr>
            <w:tcW w:type="dxa" w:w="2300"/>
            <w:shd w:fill="F2F5FA" w:color="auto" w:val="clear"/>
            <w:vAlign w:val="center"/>
          </w:tcPr>
          <w:p>
            <w:pPr>
              <w:spacing w:after="30" w:before="30" w:line="230"/>
              <w:jc w:val="left"/>
            </w:pPr>
            <w:r>
              <w:rPr>
                <w:b/>
                <w:bCs/>
                <w:sz w:val="17"/>
                <w:szCs w:val="17"/>
              </w:rPr>
              <w:t xml:space="preserve">1. Segment</w:t>
            </w:r>
          </w:p>
        </w:tc>
        <w:tc>
          <w:tcPr>
            <w:tcW w:type="dxa" w:w="1400"/>
            <w:shd w:fill="F2F5FA" w:color="auto" w:val="clear"/>
            <w:vAlign w:val="center"/>
          </w:tcPr>
          <w:p>
            <w:pPr>
              <w:spacing w:after="30" w:before="30" w:line="230"/>
              <w:jc w:val="center"/>
            </w:pPr>
            <w:r>
              <w:rPr>
                <w:b w:val="false"/>
                <w:bCs w:val="false"/>
                <w:sz w:val="17"/>
                <w:szCs w:val="17"/>
              </w:rPr>
              <w:t xml:space="preserve">01.07.2026</w:t>
            </w:r>
          </w:p>
        </w:tc>
        <w:tc>
          <w:tcPr>
            <w:tcW w:type="dxa" w:w="1700"/>
            <w:shd w:fill="F2F5FA" w:color="auto" w:val="clear"/>
            <w:vAlign w:val="center"/>
          </w:tcPr>
          <w:p>
            <w:pPr>
              <w:spacing w:after="30" w:before="30" w:line="230"/>
              <w:jc w:val="center"/>
            </w:pPr>
            <w:r>
              <w:rPr>
                <w:b/>
                <w:bCs/>
                <w:sz w:val="17"/>
                <w:szCs w:val="17"/>
              </w:rPr>
              <w:t xml:space="preserve">4,79</w:t>
            </w:r>
          </w:p>
        </w:tc>
        <w:tc>
          <w:tcPr>
            <w:tcW w:type="dxa" w:w="1400"/>
            <w:shd w:fill="F2F5FA" w:color="auto" w:val="clear"/>
            <w:vAlign w:val="center"/>
          </w:tcPr>
          <w:p>
            <w:pPr>
              <w:spacing w:after="30" w:before="30" w:line="230"/>
              <w:jc w:val="center"/>
            </w:pPr>
            <w:r>
              <w:rPr>
                <w:b w:val="false"/>
                <w:bCs w:val="false"/>
                <w:sz w:val="17"/>
                <w:szCs w:val="17"/>
              </w:rPr>
              <w:t xml:space="preserve">5,90</w:t>
            </w:r>
          </w:p>
        </w:tc>
        <w:tc>
          <w:tcPr>
            <w:tcW w:type="dxa" w:w="2838"/>
            <w:shd w:fill="F2F5FA" w:color="auto" w:val="clear"/>
            <w:vAlign w:val="center"/>
          </w:tcPr>
          <w:p>
            <w:pPr>
              <w:spacing w:after="30" w:before="30" w:line="230"/>
              <w:jc w:val="left"/>
            </w:pPr>
            <w:r>
              <w:rPr>
                <w:b w:val="false"/>
                <w:bCs w:val="false"/>
                <w:sz w:val="17"/>
                <w:szCs w:val="17"/>
              </w:rPr>
              <w:t xml:space="preserve">Spanne 4,38–4,97</w:t>
            </w:r>
          </w:p>
        </w:tc>
      </w:tr>
      <w:tr>
        <w:tc>
          <w:tcPr>
            <w:tcW w:type="dxa" w:w="2300"/>
            <w:vAlign w:val="center"/>
          </w:tcPr>
          <w:p>
            <w:pPr>
              <w:spacing w:after="30" w:before="30" w:line="230"/>
              <w:jc w:val="left"/>
            </w:pPr>
            <w:r>
              <w:rPr>
                <w:b/>
                <w:bCs/>
                <w:sz w:val="17"/>
                <w:szCs w:val="17"/>
              </w:rPr>
              <w:t xml:space="preserve">1. Segment</w:t>
            </w:r>
          </w:p>
        </w:tc>
        <w:tc>
          <w:tcPr>
            <w:tcW w:type="dxa" w:w="1400"/>
            <w:vAlign w:val="center"/>
          </w:tcPr>
          <w:p>
            <w:pPr>
              <w:spacing w:after="30" w:before="30" w:line="230"/>
              <w:jc w:val="center"/>
            </w:pPr>
            <w:r>
              <w:rPr>
                <w:b w:val="false"/>
                <w:bCs w:val="false"/>
                <w:sz w:val="17"/>
                <w:szCs w:val="17"/>
              </w:rPr>
              <w:t xml:space="preserve">2025 (drei Runden)</w:t>
            </w:r>
          </w:p>
        </w:tc>
        <w:tc>
          <w:tcPr>
            <w:tcW w:type="dxa" w:w="1700"/>
            <w:vAlign w:val="center"/>
          </w:tcPr>
          <w:p>
            <w:pPr>
              <w:spacing w:after="30" w:before="30" w:line="230"/>
              <w:jc w:val="center"/>
            </w:pPr>
            <w:r>
              <w:rPr>
                <w:b w:val="false"/>
                <w:bCs w:val="false"/>
                <w:sz w:val="17"/>
                <w:szCs w:val="17"/>
              </w:rPr>
              <w:t xml:space="preserve">4,66 / 4,84 / 5,00</w:t>
            </w:r>
          </w:p>
        </w:tc>
        <w:tc>
          <w:tcPr>
            <w:tcW w:type="dxa" w:w="1400"/>
            <w:vAlign w:val="center"/>
          </w:tcPr>
          <w:p>
            <w:pPr>
              <w:spacing w:after="30" w:before="30" w:line="230"/>
              <w:jc w:val="center"/>
            </w:pPr>
            <w:r>
              <w:rPr>
                <w:b w:val="false"/>
                <w:bCs w:val="false"/>
                <w:sz w:val="17"/>
                <w:szCs w:val="17"/>
              </w:rPr>
              <w:t xml:space="preserve"/>
            </w:r>
          </w:p>
        </w:tc>
        <w:tc>
          <w:tcPr>
            <w:tcW w:type="dxa" w:w="2838"/>
            <w:vAlign w:val="center"/>
          </w:tcPr>
          <w:p>
            <w:pPr>
              <w:spacing w:after="30" w:before="30" w:line="230"/>
              <w:jc w:val="left"/>
            </w:pPr>
            <w:r>
              <w:rPr>
                <w:b w:val="false"/>
                <w:bCs w:val="false"/>
                <w:sz w:val="17"/>
                <w:szCs w:val="17"/>
              </w:rPr>
              <w:t xml:space="preserve"/>
            </w:r>
          </w:p>
        </w:tc>
      </w:tr>
      <w:tr>
        <w:tc>
          <w:tcPr>
            <w:tcW w:type="dxa" w:w="2300"/>
            <w:shd w:fill="F2F5FA" w:color="auto" w:val="clear"/>
            <w:vAlign w:val="center"/>
          </w:tcPr>
          <w:p>
            <w:pPr>
              <w:spacing w:after="30" w:before="30" w:line="230"/>
              <w:jc w:val="left"/>
            </w:pPr>
            <w:r>
              <w:rPr>
                <w:b/>
                <w:bCs/>
                <w:sz w:val="17"/>
                <w:szCs w:val="17"/>
              </w:rPr>
              <w:t xml:space="preserve">2. Segment (Gebäude)</w:t>
            </w:r>
          </w:p>
        </w:tc>
        <w:tc>
          <w:tcPr>
            <w:tcW w:type="dxa" w:w="1400"/>
            <w:shd w:fill="F2F5FA" w:color="auto" w:val="clear"/>
            <w:vAlign w:val="center"/>
          </w:tcPr>
          <w:p>
            <w:pPr>
              <w:spacing w:after="30" w:before="30" w:line="230"/>
              <w:jc w:val="center"/>
            </w:pPr>
            <w:r>
              <w:rPr>
                <w:b w:val="false"/>
                <w:bCs w:val="false"/>
                <w:sz w:val="17"/>
                <w:szCs w:val="17"/>
              </w:rPr>
              <w:t xml:space="preserve">01.02.2026</w:t>
            </w:r>
          </w:p>
        </w:tc>
        <w:tc>
          <w:tcPr>
            <w:tcW w:type="dxa" w:w="1700"/>
            <w:shd w:fill="F2F5FA" w:color="auto" w:val="clear"/>
            <w:vAlign w:val="center"/>
          </w:tcPr>
          <w:p>
            <w:pPr>
              <w:spacing w:after="30" w:before="30" w:line="230"/>
              <w:jc w:val="center"/>
            </w:pPr>
            <w:r>
              <w:rPr>
                <w:b/>
                <w:bCs/>
                <w:sz w:val="17"/>
                <w:szCs w:val="17"/>
              </w:rPr>
              <w:t xml:space="preserve">9,56</w:t>
            </w:r>
          </w:p>
        </w:tc>
        <w:tc>
          <w:tcPr>
            <w:tcW w:type="dxa" w:w="1400"/>
            <w:shd w:fill="F2F5FA" w:color="auto" w:val="clear"/>
            <w:vAlign w:val="center"/>
          </w:tcPr>
          <w:p>
            <w:pPr>
              <w:spacing w:after="30" w:before="30" w:line="230"/>
              <w:jc w:val="center"/>
            </w:pPr>
            <w:r>
              <w:rPr>
                <w:b w:val="false"/>
                <w:bCs w:val="false"/>
                <w:sz w:val="17"/>
                <w:szCs w:val="17"/>
              </w:rPr>
              <w:t xml:space="preserve">10,00</w:t>
            </w:r>
          </w:p>
        </w:tc>
        <w:tc>
          <w:tcPr>
            <w:tcW w:type="dxa" w:w="2838"/>
            <w:shd w:fill="F2F5FA" w:color="auto" w:val="clear"/>
            <w:vAlign w:val="center"/>
          </w:tcPr>
          <w:p>
            <w:pPr>
              <w:spacing w:after="30" w:before="30" w:line="230"/>
              <w:jc w:val="left"/>
            </w:pPr>
            <w:r>
              <w:rPr>
                <w:b/>
                <w:bCs/>
                <w:sz w:val="17"/>
                <w:szCs w:val="17"/>
              </w:rPr>
              <w:t xml:space="preserve">unterzeichnet</w:t>
            </w:r>
            <w:r>
              <w:rPr>
                <w:b w:val="false"/>
                <w:bCs w:val="false"/>
                <w:sz w:val="17"/>
                <w:szCs w:val="17"/>
              </w:rPr>
              <w:t xml:space="preserve">: 177 von 283 MW</w:t>
            </w:r>
          </w:p>
        </w:tc>
      </w:tr>
      <w:tr>
        <w:tc>
          <w:tcPr>
            <w:tcW w:type="dxa" w:w="2300"/>
            <w:vAlign w:val="center"/>
          </w:tcPr>
          <w:p>
            <w:pPr>
              <w:spacing w:after="30" w:before="30" w:line="230"/>
              <w:jc w:val="left"/>
            </w:pPr>
            <w:r>
              <w:rPr>
                <w:b/>
                <w:bCs/>
                <w:sz w:val="17"/>
                <w:szCs w:val="17"/>
              </w:rPr>
              <w:t xml:space="preserve">2. Segment</w:t>
            </w:r>
          </w:p>
        </w:tc>
        <w:tc>
          <w:tcPr>
            <w:tcW w:type="dxa" w:w="1400"/>
            <w:vAlign w:val="center"/>
          </w:tcPr>
          <w:p>
            <w:pPr>
              <w:spacing w:after="30" w:before="30" w:line="230"/>
              <w:jc w:val="center"/>
            </w:pPr>
            <w:r>
              <w:rPr>
                <w:b w:val="false"/>
                <w:bCs w:val="false"/>
                <w:sz w:val="17"/>
                <w:szCs w:val="17"/>
              </w:rPr>
              <w:t xml:space="preserve">01.06.2026</w:t>
            </w:r>
          </w:p>
        </w:tc>
        <w:tc>
          <w:tcPr>
            <w:tcW w:type="dxa" w:w="1700"/>
            <w:vAlign w:val="center"/>
          </w:tcPr>
          <w:p>
            <w:pPr>
              <w:spacing w:after="30" w:before="30" w:line="230"/>
              <w:jc w:val="center"/>
            </w:pPr>
            <w:r>
              <w:rPr>
                <w:b/>
                <w:bCs/>
                <w:sz w:val="17"/>
                <w:szCs w:val="17"/>
              </w:rPr>
              <w:t xml:space="preserve">9,72</w:t>
            </w:r>
          </w:p>
        </w:tc>
        <w:tc>
          <w:tcPr>
            <w:tcW w:type="dxa" w:w="1400"/>
            <w:vAlign w:val="center"/>
          </w:tcPr>
          <w:p>
            <w:pPr>
              <w:spacing w:after="30" w:before="30" w:line="230"/>
              <w:jc w:val="center"/>
            </w:pPr>
            <w:r>
              <w:rPr>
                <w:b w:val="false"/>
                <w:bCs w:val="false"/>
                <w:sz w:val="17"/>
                <w:szCs w:val="17"/>
              </w:rPr>
              <w:t xml:space="preserve">10,00</w:t>
            </w:r>
          </w:p>
        </w:tc>
        <w:tc>
          <w:tcPr>
            <w:tcW w:type="dxa" w:w="2838"/>
            <w:vAlign w:val="center"/>
          </w:tcPr>
          <w:p>
            <w:pPr>
              <w:spacing w:after="30" w:before="30" w:line="230"/>
              <w:jc w:val="left"/>
            </w:pPr>
            <w:r>
              <w:rPr>
                <w:b/>
                <w:bCs/>
                <w:sz w:val="17"/>
                <w:szCs w:val="17"/>
              </w:rPr>
              <w:t xml:space="preserve">unterzeichnet</w:t>
            </w:r>
          </w:p>
        </w:tc>
      </w:tr>
      <w:tr>
        <w:tc>
          <w:tcPr>
            <w:tcW w:type="dxa" w:w="2300"/>
            <w:shd w:fill="F2F5FA" w:color="auto" w:val="clear"/>
            <w:vAlign w:val="center"/>
          </w:tcPr>
          <w:p>
            <w:pPr>
              <w:spacing w:after="30" w:before="30" w:line="230"/>
              <w:jc w:val="left"/>
            </w:pPr>
            <w:r>
              <w:rPr>
                <w:b/>
                <w:bCs/>
                <w:sz w:val="17"/>
                <w:szCs w:val="17"/>
              </w:rPr>
              <w:t xml:space="preserve">2. Segment</w:t>
            </w:r>
          </w:p>
        </w:tc>
        <w:tc>
          <w:tcPr>
            <w:tcW w:type="dxa" w:w="1400"/>
            <w:shd w:fill="F2F5FA" w:color="auto" w:val="clear"/>
            <w:vAlign w:val="center"/>
          </w:tcPr>
          <w:p>
            <w:pPr>
              <w:spacing w:after="30" w:before="30" w:line="230"/>
              <w:jc w:val="center"/>
            </w:pPr>
            <w:r>
              <w:rPr>
                <w:b w:val="false"/>
                <w:bCs w:val="false"/>
                <w:sz w:val="17"/>
                <w:szCs w:val="17"/>
              </w:rPr>
              <w:t xml:space="preserve">2025 (drei Runden)</w:t>
            </w:r>
          </w:p>
        </w:tc>
        <w:tc>
          <w:tcPr>
            <w:tcW w:type="dxa" w:w="1700"/>
            <w:shd w:fill="F2F5FA" w:color="auto" w:val="clear"/>
            <w:vAlign w:val="center"/>
          </w:tcPr>
          <w:p>
            <w:pPr>
              <w:spacing w:after="30" w:before="30" w:line="230"/>
              <w:jc w:val="center"/>
            </w:pPr>
            <w:r>
              <w:rPr>
                <w:b w:val="false"/>
                <w:bCs w:val="false"/>
                <w:sz w:val="17"/>
                <w:szCs w:val="17"/>
              </w:rPr>
              <w:t xml:space="preserve">9,10 / 9,22 / 9,66</w:t>
            </w:r>
          </w:p>
        </w:tc>
        <w:tc>
          <w:tcPr>
            <w:tcW w:type="dxa" w:w="1400"/>
            <w:shd w:fill="F2F5FA" w:color="auto" w:val="clear"/>
            <w:vAlign w:val="center"/>
          </w:tcPr>
          <w:p>
            <w:pPr>
              <w:spacing w:after="30" w:before="30" w:line="230"/>
              <w:jc w:val="center"/>
            </w:pPr>
            <w:r>
              <w:rPr>
                <w:b w:val="false"/>
                <w:bCs w:val="false"/>
                <w:sz w:val="17"/>
                <w:szCs w:val="17"/>
              </w:rPr>
              <w:t xml:space="preserve">10,40</w:t>
            </w:r>
          </w:p>
        </w:tc>
        <w:tc>
          <w:tcPr>
            <w:tcW w:type="dxa" w:w="2838"/>
            <w:shd w:fill="F2F5FA" w:color="auto" w:val="clear"/>
            <w:vAlign w:val="center"/>
          </w:tcPr>
          <w:p>
            <w:pPr>
              <w:spacing w:after="30" w:before="30" w:line="230"/>
              <w:jc w:val="left"/>
            </w:pPr>
            <w:r>
              <w:rPr>
                <w:b w:val="false"/>
                <w:bCs w:val="false"/>
                <w:sz w:val="17"/>
                <w:szCs w:val="17"/>
              </w:rPr>
              <w:t xml:space="preserve"/>
            </w:r>
          </w:p>
        </w:tc>
      </w:tr>
    </w:tbl>
    <w:p>
      <w:pPr>
        <w:spacing w:after="100"/>
      </w:pPr>
      <w:r>
        <w:rPr>
          <w:sz w:val="8"/>
          <w:szCs w:val="8"/>
        </w:rPr>
        <w:t xml:space="preserve"/>
      </w:r>
    </w:p>
    <w:p>
      <w:r>
        <w:t xml:space="preserve">Termine: 1. Segment jeweils 1.3., 1.7. und 1.12.; 2. Segment jeweils 1.2., 1.6. und 1.10. [5][6]. Bemerkenswert ist die anhaltende Unterzeichnung des 2. Segments – die Gebäudeausschreibung findet nicht genügend wettbewerbsfähige Projekte.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90"/>
          <w:left w:type="dxa" w:w="150"/>
          <w:bottom w:type="dxa" w:w="90"/>
          <w:right w:type="dxa" w:w="150"/>
        </w:tblCellMar>
      </w:tblPr>
      <w:tblGrid>
        <w:gridCol w:w="9638"/>
      </w:tblGrid>
      <w:tr>
        <w:trPr>
          <w:cantSplit/>
        </w:trPr>
        <w:tc>
          <w:tcPr>
            <w:tcW w:type="dxa" w:w="9638"/>
            <w:tcBorders>
              <w:top w:val="single" w:color="C00000" w:sz="2"/>
              <w:left w:val="single" w:color="C00000" w:sz="24"/>
              <w:bottom w:val="single" w:color="C00000" w:sz="2"/>
              <w:right w:val="single" w:color="C00000" w:sz="2"/>
            </w:tcBorders>
            <w:shd w:fill="FDEDEC" w:color="auto" w:val="clear"/>
          </w:tcPr>
          <w:p>
            <w:pPr>
              <w:spacing w:after="80" w:before="40"/>
            </w:pPr>
            <w:r>
              <w:rPr>
                <w:b/>
                <w:bCs/>
                <w:color w:val="C00000"/>
                <w:sz w:val="20"/>
                <w:szCs w:val="20"/>
              </w:rPr>
              <w:t xml:space="preserve">Entwurfsstand · EEG-Novelle 2027 – kein geltendes Recht</w:t>
            </w:r>
          </w:p>
          <w:p>
            <w:pPr>
              <w:spacing w:after="60" w:before="40" w:line="250"/>
            </w:pPr>
            <w:r>
              <w:rPr>
                <w:sz w:val="19"/>
                <w:szCs w:val="19"/>
              </w:rPr>
              <w:t xml:space="preserve">Die folgenden Angaben beruhen auf dem </w:t>
            </w:r>
            <w:r>
              <w:rPr>
                <w:b/>
                <w:bCs/>
                <w:sz w:val="19"/>
                <w:szCs w:val="19"/>
              </w:rPr>
              <w:t xml:space="preserve">Regierungsentwurf (Kabinett 29.07.2026)</w:t>
            </w:r>
            <w:r>
              <w:rPr>
                <w:sz w:val="19"/>
                <w:szCs w:val="19"/>
              </w:rPr>
              <w:t xml:space="preserve">. Die parlamentarische Beratung soll ab 09/2026 laufen, das Inkrafttreten ist für den 01.01.2027 geplant und steht unter dem Vorbehalt der EU-Beihilfegenehmigung. Aussagen über die Zeit ab 2027 sind gegenüber Kunden ausdrücklich als Entwurfsstand zu kennzeichnen. [15][16][17]</w:t>
            </w:r>
          </w:p>
        </w:tc>
      </w:tr>
    </w:tbl>
    <w:p>
      <w:pPr>
        <w:spacing w:after="160"/>
      </w:pPr>
      <w:r>
        <w:rPr>
          <w:sz w:val="8"/>
          <w:szCs w:val="8"/>
        </w:rPr>
        <w:t xml:space="preserve"/>
      </w:r>
    </w:p>
    <w:p>
      <w:r>
        <w:rPr>
          <w:b/>
          <w:bCs/>
        </w:rPr>
        <w:t xml:space="preserve">Ausblick: EEG-Novelle 2027 – Regierungsentwurf (Kabinett 29.07.2026).</w:t>
      </w:r>
      <w:r>
        <w:t xml:space="preserve"> Der Entwurf sieht vor: Wegfall der festen Einspeisevergütung für Neuanlagen, eine Direktvermarktungspflicht, einen einheitlichen anzulegenden Wert von 6,2 ct/kWh, eine Übergangszahlung über 36 Monate mit sinkenden Leistungsschwellen (2027 unter 50 kW, 2028 unter 25 kW, 2029/30 unter 7 kW, ab 2031 keine mehr), einen Direktvermarktungsbonus von bis zu 1,5 ct/kWh für maximal 48 Monate bei Anlagen unter 25 kW, eine dauerhafte Einspeisekappung von 50 % bei Dachanlagen und 70 % beim Netzanschluss von Freiflächenanlagen sowie Differenzverträge (CfD) für große Anlagen. Die parlamentarische Beratung soll ab 09/2026 laufen, das Inkrafttreten ist für den 01.01.2027 geplant und steht unter dem Vorbehalt der EU-Beihilfegenehmigung [15][16][17].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90"/>
          <w:left w:type="dxa" w:w="150"/>
          <w:bottom w:type="dxa" w:w="90"/>
          <w:right w:type="dxa" w:w="150"/>
        </w:tblCellMar>
      </w:tblPr>
      <w:tblGrid>
        <w:gridCol w:w="9638"/>
      </w:tblGrid>
      <w:tr>
        <w:trPr>
          <w:cantSplit/>
        </w:trPr>
        <w:tc>
          <w:tcPr>
            <w:tcW w:type="dxa" w:w="9638"/>
            <w:tcBorders>
              <w:top w:val="single" w:color="2E5395" w:sz="2"/>
              <w:left w:val="single" w:color="2E5395" w:sz="24"/>
              <w:bottom w:val="single" w:color="2E5395" w:sz="2"/>
              <w:right w:val="single" w:color="2E5395" w:sz="2"/>
            </w:tcBorders>
            <w:shd w:fill="EAF1FA" w:color="auto" w:val="clear"/>
          </w:tcPr>
          <w:p>
            <w:pPr>
              <w:spacing w:after="80" w:before="40"/>
            </w:pPr>
            <w:r>
              <w:rPr>
                <w:b/>
                <w:bCs/>
                <w:color w:val="2E5395"/>
                <w:sz w:val="20"/>
                <w:szCs w:val="20"/>
              </w:rPr>
              <w:t xml:space="preserve">Beratungshinweis Bestandsschutz</w:t>
            </w:r>
          </w:p>
          <w:p>
            <w:pPr>
              <w:spacing w:after="60" w:before="40" w:line="250"/>
            </w:pPr>
            <w:r>
              <w:rPr>
                <w:sz w:val="19"/>
                <w:szCs w:val="19"/>
              </w:rPr>
              <w:t xml:space="preserve">Nach § 25 EEG behalten Anlagen mit </w:t>
            </w:r>
            <w:r>
              <w:rPr>
                <w:b/>
                <w:bCs/>
                <w:sz w:val="19"/>
                <w:szCs w:val="19"/>
              </w:rPr>
              <w:t xml:space="preserve">Inbetriebnahme bis 31.12.2026</w:t>
            </w:r>
            <w:r>
              <w:rPr>
                <w:sz w:val="19"/>
                <w:szCs w:val="19"/>
              </w:rPr>
              <w:t xml:space="preserve"> ihre Vergütung über die volle Förderdauer. Solange die Novelle nicht verabschiedet ist, ist dies der stärkste Terminhebel in der Kundenberatung – zugleich ist jede Aussage über die Zeit ab 2027 ausdrücklich als Entwurfsstand zu kennzeichnen.</w:t>
            </w:r>
          </w:p>
        </w:tc>
      </w:tr>
    </w:tbl>
    <w:p>
      <w:pPr>
        <w:spacing w:after="160"/>
      </w:pPr>
      <w:r>
        <w:rPr>
          <w:sz w:val="8"/>
          <w:szCs w:val="8"/>
        </w:rPr>
        <w:t xml:space="preserve"/>
      </w:r>
    </w:p>
    <w:p>
      <w:pPr>
        <w:pStyle w:val="Heading2"/>
      </w:pPr>
      <w:bookmarkStart w:id="900014" w:name="_Toc90000014"/>
      <w:r>
        <w:t xml:space="preserve">B4  Marktdaten und Einordnung</w:t>
      </w:r>
      <w:bookmarkEnd w:id="900014"/>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5300"/>
        <w:gridCol w:w="3100"/>
        <w:gridCol w:w="1238"/>
      </w:tblGrid>
      <w:tr>
        <w:trPr>
          <w:tblHeader/>
        </w:trPr>
        <w:tc>
          <w:tcPr>
            <w:tcW w:type="dxa" w:w="5300"/>
            <w:shd w:fill="1F3864" w:color="auto" w:val="clear"/>
            <w:vAlign w:val="center"/>
          </w:tcPr>
          <w:p>
            <w:pPr>
              <w:spacing w:after="30" w:before="30" w:line="230"/>
              <w:jc w:val="left"/>
            </w:pPr>
            <w:r>
              <w:rPr>
                <w:b/>
                <w:bCs/>
                <w:color w:val="FFFFFF"/>
                <w:sz w:val="17"/>
                <w:szCs w:val="17"/>
              </w:rPr>
              <w:t xml:space="preserve">Kennwert</w:t>
            </w:r>
          </w:p>
        </w:tc>
        <w:tc>
          <w:tcPr>
            <w:tcW w:type="dxa" w:w="3100"/>
            <w:shd w:fill="1F3864" w:color="auto" w:val="clear"/>
            <w:vAlign w:val="center"/>
          </w:tcPr>
          <w:p>
            <w:pPr>
              <w:spacing w:after="30" w:before="30" w:line="230"/>
              <w:jc w:val="center"/>
            </w:pPr>
            <w:r>
              <w:rPr>
                <w:b/>
                <w:bCs/>
                <w:color w:val="FFFFFF"/>
                <w:sz w:val="17"/>
                <w:szCs w:val="17"/>
              </w:rPr>
              <w:t xml:space="preserve">Wert</w:t>
            </w:r>
          </w:p>
        </w:tc>
        <w:tc>
          <w:tcPr>
            <w:tcW w:type="dxa" w:w="1238"/>
            <w:shd w:fill="1F3864" w:color="auto" w:val="clear"/>
            <w:vAlign w:val="center"/>
          </w:tcPr>
          <w:p>
            <w:pPr>
              <w:spacing w:after="30" w:before="30" w:line="230"/>
              <w:jc w:val="center"/>
            </w:pPr>
            <w:r>
              <w:rPr>
                <w:b/>
                <w:bCs/>
                <w:color w:val="FFFFFF"/>
                <w:sz w:val="17"/>
                <w:szCs w:val="17"/>
              </w:rPr>
              <w:t xml:space="preserve">Quelle</w:t>
            </w:r>
          </w:p>
        </w:tc>
      </w:tr>
      <w:tr>
        <w:tc>
          <w:tcPr>
            <w:tcW w:type="dxa" w:w="5300"/>
            <w:vAlign w:val="center"/>
          </w:tcPr>
          <w:p>
            <w:pPr>
              <w:spacing w:after="30" w:before="30" w:line="230"/>
              <w:jc w:val="left"/>
            </w:pPr>
            <w:r>
              <w:rPr>
                <w:sz w:val="17"/>
                <w:szCs w:val="17"/>
              </w:rPr>
              <w:t xml:space="preserve">Jahresmarktwert Solar 2025</w:t>
            </w:r>
          </w:p>
        </w:tc>
        <w:tc>
          <w:tcPr>
            <w:tcW w:type="dxa" w:w="3100"/>
            <w:vAlign w:val="center"/>
          </w:tcPr>
          <w:p>
            <w:pPr>
              <w:spacing w:after="30" w:before="30" w:line="230"/>
              <w:jc w:val="center"/>
            </w:pPr>
            <w:r>
              <w:rPr>
                <w:b/>
                <w:bCs/>
                <w:sz w:val="17"/>
                <w:szCs w:val="17"/>
              </w:rPr>
              <w:t xml:space="preserve">4,508 ct/kWh</w:t>
            </w:r>
          </w:p>
        </w:tc>
        <w:tc>
          <w:tcPr>
            <w:tcW w:type="dxa" w:w="1238"/>
            <w:vAlign w:val="center"/>
          </w:tcPr>
          <w:p>
            <w:pPr>
              <w:spacing w:after="30" w:before="30" w:line="230"/>
              <w:jc w:val="center"/>
            </w:pPr>
            <w:r>
              <w:rPr>
                <w:sz w:val="17"/>
                <w:szCs w:val="17"/>
              </w:rPr>
              <w:t xml:space="preserve">[7][8]</w:t>
            </w:r>
          </w:p>
        </w:tc>
      </w:tr>
      <w:tr>
        <w:tc>
          <w:tcPr>
            <w:tcW w:type="dxa" w:w="5300"/>
            <w:shd w:fill="F2F5FA" w:color="auto" w:val="clear"/>
            <w:vAlign w:val="center"/>
          </w:tcPr>
          <w:p>
            <w:pPr>
              <w:spacing w:after="30" w:before="30" w:line="230"/>
              <w:jc w:val="left"/>
            </w:pPr>
            <w:r>
              <w:rPr>
                <w:sz w:val="17"/>
                <w:szCs w:val="17"/>
              </w:rPr>
              <w:t xml:space="preserve">Jahresmarktwert Solar 2024</w:t>
            </w:r>
          </w:p>
        </w:tc>
        <w:tc>
          <w:tcPr>
            <w:tcW w:type="dxa" w:w="3100"/>
            <w:shd w:fill="F2F5FA" w:color="auto" w:val="clear"/>
            <w:vAlign w:val="center"/>
          </w:tcPr>
          <w:p>
            <w:pPr>
              <w:spacing w:after="30" w:before="30" w:line="230"/>
              <w:jc w:val="center"/>
            </w:pPr>
            <w:r>
              <w:rPr>
                <w:sz w:val="17"/>
                <w:szCs w:val="17"/>
              </w:rPr>
              <w:t xml:space="preserve">4,624 ct/kWh</w:t>
            </w:r>
          </w:p>
        </w:tc>
        <w:tc>
          <w:tcPr>
            <w:tcW w:type="dxa" w:w="1238"/>
            <w:shd w:fill="F2F5FA" w:color="auto" w:val="clear"/>
            <w:vAlign w:val="center"/>
          </w:tcPr>
          <w:p>
            <w:pPr>
              <w:spacing w:after="30" w:before="30" w:line="230"/>
              <w:jc w:val="center"/>
            </w:pPr>
            <w:r>
              <w:rPr>
                <w:sz w:val="17"/>
                <w:szCs w:val="17"/>
              </w:rPr>
              <w:t xml:space="preserve">[7][8]</w:t>
            </w:r>
          </w:p>
        </w:tc>
      </w:tr>
      <w:tr>
        <w:tc>
          <w:tcPr>
            <w:tcW w:type="dxa" w:w="5300"/>
            <w:vAlign w:val="center"/>
          </w:tcPr>
          <w:p>
            <w:pPr>
              <w:spacing w:after="30" w:before="30" w:line="230"/>
              <w:jc w:val="left"/>
            </w:pPr>
            <w:r>
              <w:rPr>
                <w:sz w:val="17"/>
                <w:szCs w:val="17"/>
              </w:rPr>
              <w:t xml:space="preserve">Jahresmarktwert Basis („Basiswert“) 2025</w:t>
            </w:r>
          </w:p>
        </w:tc>
        <w:tc>
          <w:tcPr>
            <w:tcW w:type="dxa" w:w="3100"/>
            <w:vAlign w:val="center"/>
          </w:tcPr>
          <w:p>
            <w:pPr>
              <w:spacing w:after="30" w:before="30" w:line="230"/>
              <w:jc w:val="center"/>
            </w:pPr>
            <w:r>
              <w:rPr>
                <w:sz w:val="17"/>
                <w:szCs w:val="17"/>
              </w:rPr>
              <w:t xml:space="preserve">8,932 ct/kWh</w:t>
            </w:r>
          </w:p>
        </w:tc>
        <w:tc>
          <w:tcPr>
            <w:tcW w:type="dxa" w:w="1238"/>
            <w:vAlign w:val="center"/>
          </w:tcPr>
          <w:p>
            <w:pPr>
              <w:spacing w:after="30" w:before="30" w:line="230"/>
              <w:jc w:val="center"/>
            </w:pPr>
            <w:r>
              <w:rPr>
                <w:sz w:val="17"/>
                <w:szCs w:val="17"/>
              </w:rPr>
              <w:t xml:space="preserve">[7]</w:t>
            </w:r>
          </w:p>
        </w:tc>
      </w:tr>
      <w:tr>
        <w:tc>
          <w:tcPr>
            <w:tcW w:type="dxa" w:w="5300"/>
            <w:shd w:fill="F2F5FA" w:color="auto" w:val="clear"/>
            <w:vAlign w:val="center"/>
          </w:tcPr>
          <w:p>
            <w:pPr>
              <w:spacing w:after="30" w:before="30" w:line="230"/>
              <w:jc w:val="left"/>
            </w:pPr>
            <w:r>
              <w:rPr>
                <w:sz w:val="17"/>
                <w:szCs w:val="17"/>
              </w:rPr>
              <w:t xml:space="preserve">PPA Solar Deutschland 2025 (Abschlüsse)</w:t>
            </w:r>
          </w:p>
        </w:tc>
        <w:tc>
          <w:tcPr>
            <w:tcW w:type="dxa" w:w="3100"/>
            <w:shd w:fill="F2F5FA" w:color="auto" w:val="clear"/>
            <w:vAlign w:val="center"/>
          </w:tcPr>
          <w:p>
            <w:pPr>
              <w:spacing w:after="30" w:before="30" w:line="230"/>
              <w:jc w:val="center"/>
            </w:pPr>
            <w:r>
              <w:rPr>
                <w:sz w:val="17"/>
                <w:szCs w:val="17"/>
              </w:rPr>
              <w:t xml:space="preserve">35–45 €/MWh = </w:t>
            </w:r>
            <w:r>
              <w:rPr>
                <w:b/>
                <w:bCs/>
                <w:sz w:val="17"/>
                <w:szCs w:val="17"/>
              </w:rPr>
              <w:t xml:space="preserve">3,5–4,5 ct/kWh</w:t>
            </w:r>
            <w:r>
              <w:rPr>
                <w:sz w:val="17"/>
                <w:szCs w:val="17"/>
              </w:rPr>
              <w:t xml:space="preserve">, Volumen 0,61 GW</w:t>
            </w:r>
          </w:p>
        </w:tc>
        <w:tc>
          <w:tcPr>
            <w:tcW w:type="dxa" w:w="1238"/>
            <w:shd w:fill="F2F5FA" w:color="auto" w:val="clear"/>
            <w:vAlign w:val="center"/>
          </w:tcPr>
          <w:p>
            <w:pPr>
              <w:spacing w:after="30" w:before="30" w:line="230"/>
              <w:jc w:val="center"/>
            </w:pPr>
            <w:r>
              <w:rPr>
                <w:sz w:val="17"/>
                <w:szCs w:val="17"/>
              </w:rPr>
              <w:t xml:space="preserve">[10]</w:t>
            </w:r>
          </w:p>
        </w:tc>
      </w:tr>
      <w:tr>
        <w:tc>
          <w:tcPr>
            <w:tcW w:type="dxa" w:w="5300"/>
            <w:vAlign w:val="center"/>
          </w:tcPr>
          <w:p>
            <w:pPr>
              <w:spacing w:after="30" w:before="30" w:line="230"/>
              <w:jc w:val="left"/>
            </w:pPr>
            <w:r>
              <w:rPr>
                <w:sz w:val="17"/>
                <w:szCs w:val="17"/>
              </w:rPr>
              <w:t xml:space="preserve">BDEW-Strompreisanalyse 08/2026, Haushalte</w:t>
            </w:r>
          </w:p>
        </w:tc>
        <w:tc>
          <w:tcPr>
            <w:tcW w:type="dxa" w:w="3100"/>
            <w:vAlign w:val="center"/>
          </w:tcPr>
          <w:p>
            <w:pPr>
              <w:spacing w:after="30" w:before="30" w:line="230"/>
              <w:jc w:val="center"/>
            </w:pPr>
            <w:r>
              <w:rPr>
                <w:sz w:val="17"/>
                <w:szCs w:val="17"/>
              </w:rPr>
              <w:t xml:space="preserve">37,0 ct/kWh</w:t>
            </w:r>
          </w:p>
        </w:tc>
        <w:tc>
          <w:tcPr>
            <w:tcW w:type="dxa" w:w="1238"/>
            <w:vAlign w:val="center"/>
          </w:tcPr>
          <w:p>
            <w:pPr>
              <w:spacing w:after="30" w:before="30" w:line="230"/>
              <w:jc w:val="center"/>
            </w:pPr>
            <w:r>
              <w:rPr>
                <w:sz w:val="17"/>
                <w:szCs w:val="17"/>
              </w:rPr>
              <w:t xml:space="preserve">[11]</w:t>
            </w:r>
          </w:p>
        </w:tc>
      </w:tr>
      <w:tr>
        <w:tc>
          <w:tcPr>
            <w:tcW w:type="dxa" w:w="5300"/>
            <w:shd w:fill="F2F5FA" w:color="auto" w:val="clear"/>
            <w:vAlign w:val="center"/>
          </w:tcPr>
          <w:p>
            <w:pPr>
              <w:spacing w:after="30" w:before="30" w:line="230"/>
              <w:jc w:val="left"/>
            </w:pPr>
            <w:r>
              <w:rPr>
                <w:sz w:val="17"/>
                <w:szCs w:val="17"/>
              </w:rPr>
              <w:t xml:space="preserve">BDEW-Strompreisanalyse 08/2026, Industrie/Gewerbe Mittelspannung (160 MWh–20 GWh)</w:t>
            </w:r>
          </w:p>
        </w:tc>
        <w:tc>
          <w:tcPr>
            <w:tcW w:type="dxa" w:w="3100"/>
            <w:shd w:fill="F2F5FA" w:color="auto" w:val="clear"/>
            <w:vAlign w:val="center"/>
          </w:tcPr>
          <w:p>
            <w:pPr>
              <w:spacing w:after="30" w:before="30" w:line="230"/>
              <w:jc w:val="center"/>
            </w:pPr>
            <w:r>
              <w:rPr>
                <w:sz w:val="17"/>
                <w:szCs w:val="17"/>
              </w:rPr>
              <w:t xml:space="preserve">17,2 ct/kWh netto (Beschaffung/Netz/Vertrieb 14,695 + Umlagen/Abgaben/Stromsteuer rund 2,48; ohne Umsatzsteuer)</w:t>
            </w:r>
          </w:p>
        </w:tc>
        <w:tc>
          <w:tcPr>
            <w:tcW w:type="dxa" w:w="1238"/>
            <w:shd w:fill="F2F5FA" w:color="auto" w:val="clear"/>
            <w:vAlign w:val="center"/>
          </w:tcPr>
          <w:p>
            <w:pPr>
              <w:spacing w:after="30" w:before="30" w:line="230"/>
              <w:jc w:val="center"/>
            </w:pPr>
            <w:r>
              <w:rPr>
                <w:sz w:val="17"/>
                <w:szCs w:val="17"/>
              </w:rPr>
              <w:t xml:space="preserve">[11]</w:t>
            </w:r>
          </w:p>
        </w:tc>
      </w:tr>
    </w:tbl>
    <w:p>
      <w:pPr>
        <w:spacing w:after="100"/>
      </w:pPr>
      <w:r>
        <w:rPr>
          <w:sz w:val="8"/>
          <w:szCs w:val="8"/>
        </w:rPr>
        <w:t xml:space="preserve"/>
      </w:r>
    </w:p>
    <w:p>
      <w:pPr>
        <w:spacing w:after="100" w:before="160"/>
      </w:pPr>
      <w:r>
        <w:rPr>
          <w:b/>
          <w:bCs/>
        </w:rPr>
        <w:t xml:space="preserve">Monatsmarktwerte Solar 2026</w:t>
      </w:r>
      <w:r>
        <w:t xml:space="preserve"> in ct/kWh [7][9]:</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377"/>
        <w:gridCol w:w="1377"/>
        <w:gridCol w:w="1377"/>
        <w:gridCol w:w="1377"/>
        <w:gridCol w:w="1377"/>
        <w:gridCol w:w="1377"/>
        <w:gridCol w:w="1376"/>
      </w:tblGrid>
      <w:tr>
        <w:trPr>
          <w:tblHeader/>
        </w:trPr>
        <w:tc>
          <w:tcPr>
            <w:tcW w:type="dxa" w:w="1377"/>
            <w:shd w:fill="1F3864" w:color="auto" w:val="clear"/>
            <w:vAlign w:val="center"/>
          </w:tcPr>
          <w:p>
            <w:pPr>
              <w:spacing w:after="30" w:before="30" w:line="230"/>
              <w:jc w:val="center"/>
            </w:pPr>
            <w:r>
              <w:rPr>
                <w:b/>
                <w:bCs/>
                <w:color w:val="FFFFFF"/>
                <w:sz w:val="19"/>
                <w:szCs w:val="19"/>
              </w:rPr>
              <w:t xml:space="preserve">Jan</w:t>
            </w:r>
          </w:p>
        </w:tc>
        <w:tc>
          <w:tcPr>
            <w:tcW w:type="dxa" w:w="1377"/>
            <w:shd w:fill="1F3864" w:color="auto" w:val="clear"/>
            <w:vAlign w:val="center"/>
          </w:tcPr>
          <w:p>
            <w:pPr>
              <w:spacing w:after="30" w:before="30" w:line="230"/>
              <w:jc w:val="center"/>
            </w:pPr>
            <w:r>
              <w:rPr>
                <w:b/>
                <w:bCs/>
                <w:color w:val="FFFFFF"/>
                <w:sz w:val="19"/>
                <w:szCs w:val="19"/>
              </w:rPr>
              <w:t xml:space="preserve">Feb</w:t>
            </w:r>
          </w:p>
        </w:tc>
        <w:tc>
          <w:tcPr>
            <w:tcW w:type="dxa" w:w="1377"/>
            <w:shd w:fill="1F3864" w:color="auto" w:val="clear"/>
            <w:vAlign w:val="center"/>
          </w:tcPr>
          <w:p>
            <w:pPr>
              <w:spacing w:after="30" w:before="30" w:line="230"/>
              <w:jc w:val="center"/>
            </w:pPr>
            <w:r>
              <w:rPr>
                <w:b/>
                <w:bCs/>
                <w:color w:val="FFFFFF"/>
                <w:sz w:val="19"/>
                <w:szCs w:val="19"/>
              </w:rPr>
              <w:t xml:space="preserve">Mär</w:t>
            </w:r>
          </w:p>
        </w:tc>
        <w:tc>
          <w:tcPr>
            <w:tcW w:type="dxa" w:w="1377"/>
            <w:shd w:fill="1F3864" w:color="auto" w:val="clear"/>
            <w:vAlign w:val="center"/>
          </w:tcPr>
          <w:p>
            <w:pPr>
              <w:spacing w:after="30" w:before="30" w:line="230"/>
              <w:jc w:val="center"/>
            </w:pPr>
            <w:r>
              <w:rPr>
                <w:b/>
                <w:bCs/>
                <w:color w:val="FFFFFF"/>
                <w:sz w:val="19"/>
                <w:szCs w:val="19"/>
              </w:rPr>
              <w:t xml:space="preserve">Apr</w:t>
            </w:r>
          </w:p>
        </w:tc>
        <w:tc>
          <w:tcPr>
            <w:tcW w:type="dxa" w:w="1377"/>
            <w:shd w:fill="1F3864" w:color="auto" w:val="clear"/>
            <w:vAlign w:val="center"/>
          </w:tcPr>
          <w:p>
            <w:pPr>
              <w:spacing w:after="30" w:before="30" w:line="230"/>
              <w:jc w:val="center"/>
            </w:pPr>
            <w:r>
              <w:rPr>
                <w:b/>
                <w:bCs/>
                <w:color w:val="FFFFFF"/>
                <w:sz w:val="19"/>
                <w:szCs w:val="19"/>
              </w:rPr>
              <w:t xml:space="preserve">Mai</w:t>
            </w:r>
          </w:p>
        </w:tc>
        <w:tc>
          <w:tcPr>
            <w:tcW w:type="dxa" w:w="1377"/>
            <w:shd w:fill="1F3864" w:color="auto" w:val="clear"/>
            <w:vAlign w:val="center"/>
          </w:tcPr>
          <w:p>
            <w:pPr>
              <w:spacing w:after="30" w:before="30" w:line="230"/>
              <w:jc w:val="center"/>
            </w:pPr>
            <w:r>
              <w:rPr>
                <w:b/>
                <w:bCs/>
                <w:color w:val="FFFFFF"/>
                <w:sz w:val="19"/>
                <w:szCs w:val="19"/>
              </w:rPr>
              <w:t xml:space="preserve">Jun</w:t>
            </w:r>
          </w:p>
        </w:tc>
        <w:tc>
          <w:tcPr>
            <w:tcW w:type="dxa" w:w="1376"/>
            <w:shd w:fill="1F3864" w:color="auto" w:val="clear"/>
            <w:vAlign w:val="center"/>
          </w:tcPr>
          <w:p>
            <w:pPr>
              <w:spacing w:after="30" w:before="30" w:line="230"/>
              <w:jc w:val="center"/>
            </w:pPr>
            <w:r>
              <w:rPr>
                <w:b/>
                <w:bCs/>
                <w:color w:val="FFFFFF"/>
                <w:sz w:val="19"/>
                <w:szCs w:val="19"/>
              </w:rPr>
              <w:t xml:space="preserve">Jul</w:t>
            </w:r>
          </w:p>
        </w:tc>
      </w:tr>
      <w:tr>
        <w:tc>
          <w:tcPr>
            <w:tcW w:type="dxa" w:w="1377"/>
            <w:vAlign w:val="center"/>
          </w:tcPr>
          <w:p>
            <w:pPr>
              <w:spacing w:after="30" w:before="30" w:line="230"/>
              <w:jc w:val="center"/>
            </w:pPr>
            <w:r>
              <w:rPr>
                <w:sz w:val="19"/>
                <w:szCs w:val="19"/>
              </w:rPr>
              <w:t xml:space="preserve">11,019</w:t>
            </w:r>
          </w:p>
        </w:tc>
        <w:tc>
          <w:tcPr>
            <w:tcW w:type="dxa" w:w="1377"/>
            <w:vAlign w:val="center"/>
          </w:tcPr>
          <w:p>
            <w:pPr>
              <w:spacing w:after="30" w:before="30" w:line="230"/>
              <w:jc w:val="center"/>
            </w:pPr>
            <w:r>
              <w:rPr>
                <w:sz w:val="19"/>
                <w:szCs w:val="19"/>
              </w:rPr>
              <w:t xml:space="preserve">7,717</w:t>
            </w:r>
          </w:p>
        </w:tc>
        <w:tc>
          <w:tcPr>
            <w:tcW w:type="dxa" w:w="1377"/>
            <w:vAlign w:val="center"/>
          </w:tcPr>
          <w:p>
            <w:pPr>
              <w:spacing w:after="30" w:before="30" w:line="230"/>
              <w:jc w:val="center"/>
            </w:pPr>
            <w:r>
              <w:rPr>
                <w:sz w:val="19"/>
                <w:szCs w:val="19"/>
              </w:rPr>
              <w:t xml:space="preserve">5,455</w:t>
            </w:r>
          </w:p>
        </w:tc>
        <w:tc>
          <w:tcPr>
            <w:tcW w:type="dxa" w:w="1377"/>
            <w:vAlign w:val="center"/>
          </w:tcPr>
          <w:p>
            <w:pPr>
              <w:spacing w:after="30" w:before="30" w:line="230"/>
              <w:jc w:val="center"/>
            </w:pPr>
            <w:r>
              <w:rPr>
                <w:b/>
                <w:bCs/>
                <w:sz w:val="19"/>
                <w:szCs w:val="19"/>
              </w:rPr>
              <w:t xml:space="preserve">1,317</w:t>
            </w:r>
          </w:p>
        </w:tc>
        <w:tc>
          <w:tcPr>
            <w:tcW w:type="dxa" w:w="1377"/>
            <w:vAlign w:val="center"/>
          </w:tcPr>
          <w:p>
            <w:pPr>
              <w:spacing w:after="30" w:before="30" w:line="230"/>
              <w:jc w:val="center"/>
            </w:pPr>
            <w:r>
              <w:rPr>
                <w:sz w:val="19"/>
                <w:szCs w:val="19"/>
              </w:rPr>
              <w:t xml:space="preserve">3,163</w:t>
            </w:r>
          </w:p>
        </w:tc>
        <w:tc>
          <w:tcPr>
            <w:tcW w:type="dxa" w:w="1377"/>
            <w:vAlign w:val="center"/>
          </w:tcPr>
          <w:p>
            <w:pPr>
              <w:spacing w:after="30" w:before="30" w:line="230"/>
              <w:jc w:val="center"/>
            </w:pPr>
            <w:r>
              <w:rPr>
                <w:sz w:val="19"/>
                <w:szCs w:val="19"/>
              </w:rPr>
              <w:t xml:space="preserve">6,190</w:t>
            </w:r>
          </w:p>
        </w:tc>
        <w:tc>
          <w:tcPr>
            <w:tcW w:type="dxa" w:w="1376"/>
            <w:vAlign w:val="center"/>
          </w:tcPr>
          <w:p>
            <w:pPr>
              <w:spacing w:after="30" w:before="30" w:line="230"/>
              <w:jc w:val="center"/>
            </w:pPr>
            <w:r>
              <w:rPr>
                <w:sz w:val="19"/>
                <w:szCs w:val="19"/>
              </w:rPr>
              <w:t xml:space="preserve">5,226</w:t>
            </w:r>
          </w:p>
        </w:tc>
      </w:tr>
    </w:tbl>
    <w:p>
      <w:pPr>
        <w:spacing w:after="100"/>
      </w:pPr>
      <w:r>
        <w:rPr>
          <w:sz w:val="8"/>
          <w:szCs w:val="8"/>
        </w:rPr>
        <w:t xml:space="preserve"/>
      </w:r>
    </w:p>
    <w:p>
      <w:r>
        <w:t xml:space="preserve">Der Wert für August 2026 lag zum Datenstand noch nicht vor. Der Monatsmarktwert ist </w:t>
      </w:r>
      <w:r>
        <w:rPr>
          <w:b/>
          <w:bCs/>
        </w:rPr>
        <w:t xml:space="preserve">nicht</w:t>
      </w:r>
      <w:r>
        <w:t xml:space="preserve"> mit dem „Marktwert Solar(a)“ nach § 33 EEG 2012 zu verwechseln (2025: 6,17 ct/kWh) [7].</w:t>
      </w:r>
    </w:p>
    <w:p>
      <w:r>
        <w:rPr>
          <w:b/>
          <w:bCs/>
        </w:rPr>
        <w:t xml:space="preserve">Einordnung für die Beratung.</w:t>
      </w:r>
      <w:r>
        <w:t xml:space="preserve"> Der Jahresmarktwert Solar von 4,508 ct/kWh und das PPA-Preisniveau von 3,5 bis 4,5 ct/kWh liegen </w:t>
      </w:r>
      <w:r>
        <w:rPr>
          <w:b/>
          <w:bCs/>
        </w:rPr>
        <w:t xml:space="preserve">deutlich unter den Stromgestehungskosten kleiner Dachanlagen</w:t>
      </w:r>
      <w:r>
        <w:t xml:space="preserve"> – im Fallbeispiel 13,25 bis 17,85 ct/kWh [29]. Auch die geförderten Sätze für Neuanlagen (7,70 ct/kWh Teileinspeisung, 12,22 ct/kWh Volleinspeisung bis 10 kW) bewegen sich in der Größenordnung der Gestehungskosten oder darunter. Der Aprilwert von 1,317 ct/kWh zeigt zudem, wie stark die solare Kannibalisierung den Erlös in ertragsstarken Monaten drückt – genau dort, wo die Anlage die meisten Kilowattstunden produziert. Daraus folgt die zentrale Beratungsaussage: </w:t>
      </w:r>
      <w:r>
        <w:rPr>
          <w:b/>
          <w:bCs/>
        </w:rPr>
        <w:t xml:space="preserve">Die Wirtschaftlichkeit kleiner und mittlerer Dachanlagen entsteht heute über die Vermeidung von Netzbezug (Haushalte 37,0 ct/kWh, Gewerbe/Industrie 17,2 ct/kWh netto), nicht über die Vermarktung.</w:t>
      </w:r>
      <w:r>
        <w:t xml:space="preserve"> Eigenverbrauchs-, Liefer- und Mietmodelle dominieren deshalb gegenüber der reinen Einspeisung.</w:t>
      </w:r>
    </w:p>
    <w:p>
      <w:pPr>
        <w:pStyle w:val="Heading2"/>
      </w:pPr>
      <w:bookmarkStart w:id="900015" w:name="_Toc90000015"/>
      <w:r>
        <w:t xml:space="preserve">B5  Referenz für Bestandsanlagen (nur relevant, wenn eine Anlage mit diesem Inbetriebnahmedatum bewertet wird)</w:t>
      </w:r>
      <w:bookmarkEnd w:id="900015"/>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90"/>
          <w:left w:type="dxa" w:w="150"/>
          <w:bottom w:type="dxa" w:w="90"/>
          <w:right w:type="dxa" w:w="150"/>
        </w:tblCellMar>
      </w:tblPr>
      <w:tblGrid>
        <w:gridCol w:w="9638"/>
      </w:tblGrid>
      <w:tr>
        <w:trPr>
          <w:cantSplit/>
        </w:trPr>
        <w:tc>
          <w:tcPr>
            <w:tcW w:type="dxa" w:w="9638"/>
            <w:tcBorders>
              <w:top w:val="single" w:color="C00000" w:sz="2"/>
              <w:left w:val="single" w:color="C00000" w:sz="24"/>
              <w:bottom w:val="single" w:color="C00000" w:sz="2"/>
              <w:right w:val="single" w:color="C00000" w:sz="2"/>
            </w:tcBorders>
            <w:shd w:fill="FDEDEC" w:color="auto" w:val="clear"/>
          </w:tcPr>
          <w:p>
            <w:pPr>
              <w:spacing w:after="80" w:before="40"/>
            </w:pPr>
            <w:r>
              <w:rPr>
                <w:b/>
                <w:bCs/>
                <w:color w:val="C00000"/>
                <w:sz w:val="20"/>
                <w:szCs w:val="20"/>
              </w:rPr>
              <w:t xml:space="preserve">Dies sind keine aktuellen Sätze</w:t>
            </w:r>
          </w:p>
          <w:p>
            <w:pPr>
              <w:spacing w:after="60" w:before="40" w:line="250"/>
            </w:pPr>
            <w:r>
              <w:rPr>
                <w:sz w:val="19"/>
                <w:szCs w:val="19"/>
              </w:rPr>
              <w:t xml:space="preserve">Die beiden folgenden Tabellen gelten </w:t>
            </w:r>
            <w:r>
              <w:rPr>
                <w:b/>
                <w:bCs/>
                <w:sz w:val="19"/>
                <w:szCs w:val="19"/>
              </w:rPr>
              <w:t xml:space="preserve">ausschließlich</w:t>
            </w:r>
            <w:r>
              <w:rPr>
                <w:sz w:val="19"/>
                <w:szCs w:val="19"/>
              </w:rPr>
              <w:t xml:space="preserve"> für Anlagen mit Inbetriebnahme 2023 bzw. 02–05/2024. Sie stehen hier, weil das Fallbeispiel in Teil C eine Anlage mit Inbetriebnahme 3/2023 ist und dessen Vergütungssätze nur mit diesen Werten nachvollziehbar sind. Für jedes heutige Projekt gelten allein die Sätze in </w:t>
            </w:r>
            <w:r>
              <w:rPr>
                <w:b/>
                <w:bCs/>
                <w:sz w:val="19"/>
                <w:szCs w:val="19"/>
              </w:rPr>
              <w:t xml:space="preserve">B2</w:t>
            </w:r>
            <w:r>
              <w:rPr>
                <w:sz w:val="19"/>
                <w:szCs w:val="19"/>
              </w:rPr>
              <w:t xml:space="preserve">.</w:t>
            </w:r>
          </w:p>
        </w:tc>
      </w:tr>
    </w:tbl>
    <w:p>
      <w:pPr>
        <w:spacing w:after="160"/>
      </w:pPr>
      <w:r>
        <w:rPr>
          <w:sz w:val="8"/>
          <w:szCs w:val="8"/>
        </w:rPr>
        <w:t xml:space="preserve"/>
      </w:r>
    </w:p>
    <w:p>
      <w:r>
        <w:t xml:space="preserve">pv@now hinterlegt sämtliche deutschen Vergütungsmodelle seit dem Jahr 2000 und stellt sie im Dialog „EEG-Vergütungen als Tabellen“ bereit [22][29]. Rechenlogik im Tool: </w:t>
      </w:r>
      <w:r>
        <w:rPr>
          <w:b/>
          <w:bCs/>
        </w:rPr>
        <w:t xml:space="preserve">A</w:t>
      </w:r>
      <w:r>
        <w:t xml:space="preserve"> = anzulegender Wert (§ 48 Abs. 2), </w:t>
      </w:r>
      <w:r>
        <w:rPr>
          <w:b/>
          <w:bCs/>
        </w:rPr>
        <w:t xml:space="preserve">B</w:t>
      </w:r>
      <w:r>
        <w:t xml:space="preserve"> = Vermarktungspauschale (§ 53 Abs. 1 Nr. 2), </w:t>
      </w:r>
      <w:r>
        <w:rPr>
          <w:b/>
          <w:bCs/>
        </w:rPr>
        <w:t xml:space="preserve">C</w:t>
      </w:r>
      <w:r>
        <w:t xml:space="preserve"> = Zuschlag Volleinspeisung (§ 48 Abs. 2a). Feste Einspeisevergütung (≤ 100 kWp): Teileinspeisung = A − B, Volleinspeisung = A − B + C. Geförderte Direktvermarktung: Teileinspeisung = A, Volleinspeisung = A + C [29].</w:t>
      </w:r>
    </w:p>
    <w:p>
      <w:pPr>
        <w:spacing w:after="100" w:before="180"/>
      </w:pPr>
      <w:r>
        <w:rPr>
          <w:b/>
          <w:bCs/>
        </w:rPr>
        <w:t xml:space="preserve">EEG 2023, Inbetriebnahme 01.01.2023–31.01.2024</w:t>
      </w:r>
      <w:r>
        <w:t xml:space="preserve"> (ct/kWh netto):</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300"/>
        <w:gridCol w:w="1000"/>
        <w:gridCol w:w="800"/>
        <w:gridCol w:w="800"/>
        <w:gridCol w:w="800"/>
        <w:gridCol w:w="1250"/>
        <w:gridCol w:w="1250"/>
        <w:gridCol w:w="2438"/>
      </w:tblGrid>
      <w:tr>
        <w:trPr>
          <w:tblHeader/>
        </w:trPr>
        <w:tc>
          <w:tcPr>
            <w:tcW w:type="dxa" w:w="1300"/>
            <w:shd w:fill="1F3864" w:color="auto" w:val="clear"/>
            <w:vAlign w:val="center"/>
          </w:tcPr>
          <w:p>
            <w:pPr>
              <w:spacing w:after="30" w:before="30" w:line="230"/>
              <w:jc w:val="left"/>
            </w:pPr>
            <w:r>
              <w:rPr>
                <w:b/>
                <w:bCs/>
                <w:color w:val="FFFFFF"/>
                <w:sz w:val="17"/>
                <w:szCs w:val="17"/>
              </w:rPr>
              <w:t xml:space="preserve">Anlagentyp</w:t>
            </w:r>
          </w:p>
        </w:tc>
        <w:tc>
          <w:tcPr>
            <w:tcW w:type="dxa" w:w="1000"/>
            <w:shd w:fill="1F3864" w:color="auto" w:val="clear"/>
            <w:vAlign w:val="center"/>
          </w:tcPr>
          <w:p>
            <w:pPr>
              <w:spacing w:after="30" w:before="30" w:line="230"/>
              <w:jc w:val="center"/>
            </w:pPr>
            <w:r>
              <w:rPr>
                <w:b/>
                <w:bCs/>
                <w:color w:val="FFFFFF"/>
                <w:sz w:val="17"/>
                <w:szCs w:val="17"/>
              </w:rPr>
              <w:t xml:space="preserve">bis kWp</w:t>
            </w:r>
          </w:p>
        </w:tc>
        <w:tc>
          <w:tcPr>
            <w:tcW w:type="dxa" w:w="800"/>
            <w:shd w:fill="1F3864" w:color="auto" w:val="clear"/>
            <w:vAlign w:val="center"/>
          </w:tcPr>
          <w:p>
            <w:pPr>
              <w:spacing w:after="30" w:before="30" w:line="230"/>
              <w:jc w:val="center"/>
            </w:pPr>
            <w:r>
              <w:rPr>
                <w:b/>
                <w:bCs/>
                <w:color w:val="FFFFFF"/>
                <w:sz w:val="17"/>
                <w:szCs w:val="17"/>
              </w:rPr>
              <w:t xml:space="preserve">A</w:t>
            </w:r>
          </w:p>
        </w:tc>
        <w:tc>
          <w:tcPr>
            <w:tcW w:type="dxa" w:w="800"/>
            <w:shd w:fill="1F3864" w:color="auto" w:val="clear"/>
            <w:vAlign w:val="center"/>
          </w:tcPr>
          <w:p>
            <w:pPr>
              <w:spacing w:after="30" w:before="30" w:line="230"/>
              <w:jc w:val="center"/>
            </w:pPr>
            <w:r>
              <w:rPr>
                <w:b/>
                <w:bCs/>
                <w:color w:val="FFFFFF"/>
                <w:sz w:val="17"/>
                <w:szCs w:val="17"/>
              </w:rPr>
              <w:t xml:space="preserve">B</w:t>
            </w:r>
          </w:p>
        </w:tc>
        <w:tc>
          <w:tcPr>
            <w:tcW w:type="dxa" w:w="800"/>
            <w:shd w:fill="1F3864" w:color="auto" w:val="clear"/>
            <w:vAlign w:val="center"/>
          </w:tcPr>
          <w:p>
            <w:pPr>
              <w:spacing w:after="30" w:before="30" w:line="230"/>
              <w:jc w:val="center"/>
            </w:pPr>
            <w:r>
              <w:rPr>
                <w:b/>
                <w:bCs/>
                <w:color w:val="FFFFFF"/>
                <w:sz w:val="17"/>
                <w:szCs w:val="17"/>
              </w:rPr>
              <w:t xml:space="preserve">C</w:t>
            </w:r>
          </w:p>
        </w:tc>
        <w:tc>
          <w:tcPr>
            <w:tcW w:type="dxa" w:w="1250"/>
            <w:shd w:fill="1F3864" w:color="auto" w:val="clear"/>
            <w:vAlign w:val="center"/>
          </w:tcPr>
          <w:p>
            <w:pPr>
              <w:spacing w:after="30" w:before="30" w:line="230"/>
              <w:jc w:val="center"/>
            </w:pPr>
            <w:r>
              <w:rPr>
                <w:b/>
                <w:bCs/>
                <w:color w:val="FFFFFF"/>
                <w:sz w:val="17"/>
                <w:szCs w:val="17"/>
              </w:rPr>
              <w:t xml:space="preserve">feste EV Teil</w:t>
            </w:r>
          </w:p>
        </w:tc>
        <w:tc>
          <w:tcPr>
            <w:tcW w:type="dxa" w:w="1250"/>
            <w:shd w:fill="1F3864" w:color="auto" w:val="clear"/>
            <w:vAlign w:val="center"/>
          </w:tcPr>
          <w:p>
            <w:pPr>
              <w:spacing w:after="30" w:before="30" w:line="230"/>
              <w:jc w:val="center"/>
            </w:pPr>
            <w:r>
              <w:rPr>
                <w:b/>
                <w:bCs/>
                <w:color w:val="FFFFFF"/>
                <w:sz w:val="17"/>
                <w:szCs w:val="17"/>
              </w:rPr>
              <w:t xml:space="preserve">feste EV Voll</w:t>
            </w:r>
          </w:p>
        </w:tc>
        <w:tc>
          <w:tcPr>
            <w:tcW w:type="dxa" w:w="2438"/>
            <w:shd w:fill="1F3864" w:color="auto" w:val="clear"/>
            <w:vAlign w:val="center"/>
          </w:tcPr>
          <w:p>
            <w:pPr>
              <w:spacing w:after="30" w:before="30" w:line="230"/>
              <w:jc w:val="center"/>
            </w:pPr>
            <w:r>
              <w:rPr>
                <w:b/>
                <w:bCs/>
                <w:color w:val="FFFFFF"/>
                <w:sz w:val="17"/>
                <w:szCs w:val="17"/>
              </w:rPr>
              <w:t xml:space="preserve">Direktverm. Teil / Voll</w:t>
            </w:r>
          </w:p>
        </w:tc>
      </w:tr>
      <w:tr>
        <w:tc>
          <w:tcPr>
            <w:tcW w:type="dxa" w:w="1300"/>
            <w:vAlign w:val="center"/>
          </w:tcPr>
          <w:p>
            <w:pPr>
              <w:spacing w:after="30" w:before="30" w:line="230"/>
              <w:jc w:val="left"/>
            </w:pPr>
            <w:r>
              <w:rPr>
                <w:sz w:val="17"/>
                <w:szCs w:val="17"/>
              </w:rPr>
              <w:t xml:space="preserve">Gebäude</w:t>
            </w:r>
          </w:p>
        </w:tc>
        <w:tc>
          <w:tcPr>
            <w:tcW w:type="dxa" w:w="1000"/>
            <w:vAlign w:val="center"/>
          </w:tcPr>
          <w:p>
            <w:pPr>
              <w:spacing w:after="30" w:before="30" w:line="230"/>
              <w:jc w:val="center"/>
            </w:pPr>
            <w:r>
              <w:rPr>
                <w:sz w:val="17"/>
                <w:szCs w:val="17"/>
              </w:rPr>
              <w:t xml:space="preserve">10</w:t>
            </w:r>
          </w:p>
        </w:tc>
        <w:tc>
          <w:tcPr>
            <w:tcW w:type="dxa" w:w="800"/>
            <w:vAlign w:val="center"/>
          </w:tcPr>
          <w:p>
            <w:pPr>
              <w:spacing w:after="30" w:before="30" w:line="230"/>
              <w:jc w:val="center"/>
            </w:pPr>
            <w:r>
              <w:rPr>
                <w:sz w:val="17"/>
                <w:szCs w:val="17"/>
              </w:rPr>
              <w:t xml:space="preserve">8,60</w:t>
            </w:r>
          </w:p>
        </w:tc>
        <w:tc>
          <w:tcPr>
            <w:tcW w:type="dxa" w:w="800"/>
            <w:vAlign w:val="center"/>
          </w:tcPr>
          <w:p>
            <w:pPr>
              <w:spacing w:after="30" w:before="30" w:line="230"/>
              <w:jc w:val="center"/>
            </w:pPr>
            <w:r>
              <w:rPr>
                <w:sz w:val="17"/>
                <w:szCs w:val="17"/>
              </w:rPr>
              <w:t xml:space="preserve">0,40</w:t>
            </w:r>
          </w:p>
        </w:tc>
        <w:tc>
          <w:tcPr>
            <w:tcW w:type="dxa" w:w="800"/>
            <w:vAlign w:val="center"/>
          </w:tcPr>
          <w:p>
            <w:pPr>
              <w:spacing w:after="30" w:before="30" w:line="230"/>
              <w:jc w:val="center"/>
            </w:pPr>
            <w:r>
              <w:rPr>
                <w:sz w:val="17"/>
                <w:szCs w:val="17"/>
              </w:rPr>
              <w:t xml:space="preserve">4,80</w:t>
            </w:r>
          </w:p>
        </w:tc>
        <w:tc>
          <w:tcPr>
            <w:tcW w:type="dxa" w:w="1250"/>
            <w:vAlign w:val="center"/>
          </w:tcPr>
          <w:p>
            <w:pPr>
              <w:spacing w:after="30" w:before="30" w:line="230"/>
              <w:jc w:val="center"/>
            </w:pPr>
            <w:r>
              <w:rPr>
                <w:sz w:val="17"/>
                <w:szCs w:val="17"/>
              </w:rPr>
              <w:t xml:space="preserve">8,20</w:t>
            </w:r>
          </w:p>
        </w:tc>
        <w:tc>
          <w:tcPr>
            <w:tcW w:type="dxa" w:w="1250"/>
            <w:vAlign w:val="center"/>
          </w:tcPr>
          <w:p>
            <w:pPr>
              <w:spacing w:after="30" w:before="30" w:line="230"/>
              <w:jc w:val="center"/>
            </w:pPr>
            <w:r>
              <w:rPr>
                <w:sz w:val="17"/>
                <w:szCs w:val="17"/>
              </w:rPr>
              <w:t xml:space="preserve">13,00</w:t>
            </w:r>
          </w:p>
        </w:tc>
        <w:tc>
          <w:tcPr>
            <w:tcW w:type="dxa" w:w="2438"/>
            <w:vAlign w:val="center"/>
          </w:tcPr>
          <w:p>
            <w:pPr>
              <w:spacing w:after="30" w:before="30" w:line="230"/>
              <w:jc w:val="center"/>
            </w:pPr>
            <w:r>
              <w:rPr>
                <w:sz w:val="17"/>
                <w:szCs w:val="17"/>
              </w:rPr>
              <w:t xml:space="preserve">8,60 / 13,40</w:t>
            </w:r>
          </w:p>
        </w:tc>
      </w:tr>
      <w:tr>
        <w:tc>
          <w:tcPr>
            <w:tcW w:type="dxa" w:w="1300"/>
            <w:shd w:fill="F2F5FA" w:color="auto" w:val="clear"/>
            <w:vAlign w:val="center"/>
          </w:tcPr>
          <w:p>
            <w:pPr>
              <w:spacing w:after="30" w:before="30" w:line="230"/>
              <w:jc w:val="left"/>
            </w:pPr>
            <w:r>
              <w:rPr>
                <w:sz w:val="17"/>
                <w:szCs w:val="17"/>
              </w:rPr>
              <w:t xml:space="preserve">Gebäude</w:t>
            </w:r>
          </w:p>
        </w:tc>
        <w:tc>
          <w:tcPr>
            <w:tcW w:type="dxa" w:w="1000"/>
            <w:shd w:fill="F2F5FA" w:color="auto" w:val="clear"/>
            <w:vAlign w:val="center"/>
          </w:tcPr>
          <w:p>
            <w:pPr>
              <w:spacing w:after="30" w:before="30" w:line="230"/>
              <w:jc w:val="center"/>
            </w:pPr>
            <w:r>
              <w:rPr>
                <w:sz w:val="17"/>
                <w:szCs w:val="17"/>
              </w:rPr>
              <w:t xml:space="preserve">40</w:t>
            </w:r>
          </w:p>
        </w:tc>
        <w:tc>
          <w:tcPr>
            <w:tcW w:type="dxa" w:w="800"/>
            <w:shd w:fill="F2F5FA" w:color="auto" w:val="clear"/>
            <w:vAlign w:val="center"/>
          </w:tcPr>
          <w:p>
            <w:pPr>
              <w:spacing w:after="30" w:before="30" w:line="230"/>
              <w:jc w:val="center"/>
            </w:pPr>
            <w:r>
              <w:rPr>
                <w:sz w:val="17"/>
                <w:szCs w:val="17"/>
              </w:rPr>
              <w:t xml:space="preserve">7,50</w:t>
            </w:r>
          </w:p>
        </w:tc>
        <w:tc>
          <w:tcPr>
            <w:tcW w:type="dxa" w:w="800"/>
            <w:shd w:fill="F2F5FA" w:color="auto" w:val="clear"/>
            <w:vAlign w:val="center"/>
          </w:tcPr>
          <w:p>
            <w:pPr>
              <w:spacing w:after="30" w:before="30" w:line="230"/>
              <w:jc w:val="center"/>
            </w:pPr>
            <w:r>
              <w:rPr>
                <w:sz w:val="17"/>
                <w:szCs w:val="17"/>
              </w:rPr>
              <w:t xml:space="preserve">0,40</w:t>
            </w:r>
          </w:p>
        </w:tc>
        <w:tc>
          <w:tcPr>
            <w:tcW w:type="dxa" w:w="800"/>
            <w:shd w:fill="F2F5FA" w:color="auto" w:val="clear"/>
            <w:vAlign w:val="center"/>
          </w:tcPr>
          <w:p>
            <w:pPr>
              <w:spacing w:after="30" w:before="30" w:line="230"/>
              <w:jc w:val="center"/>
            </w:pPr>
            <w:r>
              <w:rPr>
                <w:sz w:val="17"/>
                <w:szCs w:val="17"/>
              </w:rPr>
              <w:t xml:space="preserve">3,80</w:t>
            </w:r>
          </w:p>
        </w:tc>
        <w:tc>
          <w:tcPr>
            <w:tcW w:type="dxa" w:w="1250"/>
            <w:shd w:fill="F2F5FA" w:color="auto" w:val="clear"/>
            <w:vAlign w:val="center"/>
          </w:tcPr>
          <w:p>
            <w:pPr>
              <w:spacing w:after="30" w:before="30" w:line="230"/>
              <w:jc w:val="center"/>
            </w:pPr>
            <w:r>
              <w:rPr>
                <w:sz w:val="17"/>
                <w:szCs w:val="17"/>
              </w:rPr>
              <w:t xml:space="preserve">7,10</w:t>
            </w:r>
          </w:p>
        </w:tc>
        <w:tc>
          <w:tcPr>
            <w:tcW w:type="dxa" w:w="1250"/>
            <w:shd w:fill="F2F5FA" w:color="auto" w:val="clear"/>
            <w:vAlign w:val="center"/>
          </w:tcPr>
          <w:p>
            <w:pPr>
              <w:spacing w:after="30" w:before="30" w:line="230"/>
              <w:jc w:val="center"/>
            </w:pPr>
            <w:r>
              <w:rPr>
                <w:sz w:val="17"/>
                <w:szCs w:val="17"/>
              </w:rPr>
              <w:t xml:space="preserve">10,90</w:t>
            </w:r>
          </w:p>
        </w:tc>
        <w:tc>
          <w:tcPr>
            <w:tcW w:type="dxa" w:w="2438"/>
            <w:shd w:fill="F2F5FA" w:color="auto" w:val="clear"/>
            <w:vAlign w:val="center"/>
          </w:tcPr>
          <w:p>
            <w:pPr>
              <w:spacing w:after="30" w:before="30" w:line="230"/>
              <w:jc w:val="center"/>
            </w:pPr>
            <w:r>
              <w:rPr>
                <w:sz w:val="17"/>
                <w:szCs w:val="17"/>
              </w:rPr>
              <w:t xml:space="preserve">7,50 / 11,30</w:t>
            </w:r>
          </w:p>
        </w:tc>
      </w:tr>
      <w:tr>
        <w:tc>
          <w:tcPr>
            <w:tcW w:type="dxa" w:w="1300"/>
            <w:vAlign w:val="center"/>
          </w:tcPr>
          <w:p>
            <w:pPr>
              <w:spacing w:after="30" w:before="30" w:line="230"/>
              <w:jc w:val="left"/>
            </w:pPr>
            <w:r>
              <w:rPr>
                <w:sz w:val="17"/>
                <w:szCs w:val="17"/>
              </w:rPr>
              <w:t xml:space="preserve">Gebäude</w:t>
            </w:r>
          </w:p>
        </w:tc>
        <w:tc>
          <w:tcPr>
            <w:tcW w:type="dxa" w:w="1000"/>
            <w:vAlign w:val="center"/>
          </w:tcPr>
          <w:p>
            <w:pPr>
              <w:spacing w:after="30" w:before="30" w:line="230"/>
              <w:jc w:val="center"/>
            </w:pPr>
            <w:r>
              <w:rPr>
                <w:sz w:val="17"/>
                <w:szCs w:val="17"/>
              </w:rPr>
              <w:t xml:space="preserve">100</w:t>
            </w:r>
          </w:p>
        </w:tc>
        <w:tc>
          <w:tcPr>
            <w:tcW w:type="dxa" w:w="800"/>
            <w:vAlign w:val="center"/>
          </w:tcPr>
          <w:p>
            <w:pPr>
              <w:spacing w:after="30" w:before="30" w:line="230"/>
              <w:jc w:val="center"/>
            </w:pPr>
            <w:r>
              <w:rPr>
                <w:sz w:val="17"/>
                <w:szCs w:val="17"/>
              </w:rPr>
              <w:t xml:space="preserve">6,20</w:t>
            </w:r>
          </w:p>
        </w:tc>
        <w:tc>
          <w:tcPr>
            <w:tcW w:type="dxa" w:w="800"/>
            <w:vAlign w:val="center"/>
          </w:tcPr>
          <w:p>
            <w:pPr>
              <w:spacing w:after="30" w:before="30" w:line="230"/>
              <w:jc w:val="center"/>
            </w:pPr>
            <w:r>
              <w:rPr>
                <w:sz w:val="17"/>
                <w:szCs w:val="17"/>
              </w:rPr>
              <w:t xml:space="preserve">0,40</w:t>
            </w:r>
          </w:p>
        </w:tc>
        <w:tc>
          <w:tcPr>
            <w:tcW w:type="dxa" w:w="800"/>
            <w:vAlign w:val="center"/>
          </w:tcPr>
          <w:p>
            <w:pPr>
              <w:spacing w:after="30" w:before="30" w:line="230"/>
              <w:jc w:val="center"/>
            </w:pPr>
            <w:r>
              <w:rPr>
                <w:sz w:val="17"/>
                <w:szCs w:val="17"/>
              </w:rPr>
              <w:t xml:space="preserve">5,10</w:t>
            </w:r>
          </w:p>
        </w:tc>
        <w:tc>
          <w:tcPr>
            <w:tcW w:type="dxa" w:w="1250"/>
            <w:vAlign w:val="center"/>
          </w:tcPr>
          <w:p>
            <w:pPr>
              <w:spacing w:after="30" w:before="30" w:line="230"/>
              <w:jc w:val="center"/>
            </w:pPr>
            <w:r>
              <w:rPr>
                <w:sz w:val="17"/>
                <w:szCs w:val="17"/>
              </w:rPr>
              <w:t xml:space="preserve">5,80</w:t>
            </w:r>
          </w:p>
        </w:tc>
        <w:tc>
          <w:tcPr>
            <w:tcW w:type="dxa" w:w="1250"/>
            <w:vAlign w:val="center"/>
          </w:tcPr>
          <w:p>
            <w:pPr>
              <w:spacing w:after="30" w:before="30" w:line="230"/>
              <w:jc w:val="center"/>
            </w:pPr>
            <w:r>
              <w:rPr>
                <w:sz w:val="17"/>
                <w:szCs w:val="17"/>
              </w:rPr>
              <w:t xml:space="preserve">10,90</w:t>
            </w:r>
          </w:p>
        </w:tc>
        <w:tc>
          <w:tcPr>
            <w:tcW w:type="dxa" w:w="2438"/>
            <w:vAlign w:val="center"/>
          </w:tcPr>
          <w:p>
            <w:pPr>
              <w:spacing w:after="30" w:before="30" w:line="230"/>
              <w:jc w:val="center"/>
            </w:pPr>
            <w:r>
              <w:rPr>
                <w:sz w:val="17"/>
                <w:szCs w:val="17"/>
              </w:rPr>
              <w:t xml:space="preserve">6,20 / 11,30</w:t>
            </w:r>
          </w:p>
        </w:tc>
      </w:tr>
      <w:tr>
        <w:tc>
          <w:tcPr>
            <w:tcW w:type="dxa" w:w="1300"/>
            <w:shd w:fill="F2F5FA" w:color="auto" w:val="clear"/>
            <w:vAlign w:val="center"/>
          </w:tcPr>
          <w:p>
            <w:pPr>
              <w:spacing w:after="30" w:before="30" w:line="230"/>
              <w:jc w:val="left"/>
            </w:pPr>
            <w:r>
              <w:rPr>
                <w:sz w:val="17"/>
                <w:szCs w:val="17"/>
              </w:rPr>
              <w:t xml:space="preserve">Gebäude</w:t>
            </w:r>
          </w:p>
        </w:tc>
        <w:tc>
          <w:tcPr>
            <w:tcW w:type="dxa" w:w="1000"/>
            <w:shd w:fill="F2F5FA" w:color="auto" w:val="clear"/>
            <w:vAlign w:val="center"/>
          </w:tcPr>
          <w:p>
            <w:pPr>
              <w:spacing w:after="30" w:before="30" w:line="230"/>
              <w:jc w:val="center"/>
            </w:pPr>
            <w:r>
              <w:rPr>
                <w:sz w:val="17"/>
                <w:szCs w:val="17"/>
              </w:rPr>
              <w:t xml:space="preserve">400</w:t>
            </w:r>
          </w:p>
        </w:tc>
        <w:tc>
          <w:tcPr>
            <w:tcW w:type="dxa" w:w="800"/>
            <w:shd w:fill="F2F5FA" w:color="auto" w:val="clear"/>
            <w:vAlign w:val="center"/>
          </w:tcPr>
          <w:p>
            <w:pPr>
              <w:spacing w:after="30" w:before="30" w:line="230"/>
              <w:jc w:val="center"/>
            </w:pPr>
            <w:r>
              <w:rPr>
                <w:sz w:val="17"/>
                <w:szCs w:val="17"/>
              </w:rPr>
              <w:t xml:space="preserve">6,20</w:t>
            </w:r>
          </w:p>
        </w:tc>
        <w:tc>
          <w:tcPr>
            <w:tcW w:type="dxa" w:w="800"/>
            <w:shd w:fill="F2F5FA" w:color="auto" w:val="clear"/>
            <w:vAlign w:val="center"/>
          </w:tcPr>
          <w:p>
            <w:pPr>
              <w:spacing w:after="30" w:before="30" w:line="230"/>
              <w:jc w:val="center"/>
            </w:pPr>
            <w:r>
              <w:rPr>
                <w:sz w:val="17"/>
                <w:szCs w:val="17"/>
              </w:rPr>
              <w:t xml:space="preserve">0,40</w:t>
            </w:r>
          </w:p>
        </w:tc>
        <w:tc>
          <w:tcPr>
            <w:tcW w:type="dxa" w:w="800"/>
            <w:shd w:fill="F2F5FA" w:color="auto" w:val="clear"/>
            <w:vAlign w:val="center"/>
          </w:tcPr>
          <w:p>
            <w:pPr>
              <w:spacing w:after="30" w:before="30" w:line="230"/>
              <w:jc w:val="center"/>
            </w:pPr>
            <w:r>
              <w:rPr>
                <w:sz w:val="17"/>
                <w:szCs w:val="17"/>
              </w:rPr>
              <w:t xml:space="preserve">3,20</w:t>
            </w:r>
          </w:p>
        </w:tc>
        <w:tc>
          <w:tcPr>
            <w:tcW w:type="dxa" w:w="1250"/>
            <w:shd w:fill="F2F5FA" w:color="auto" w:val="clear"/>
            <w:vAlign w:val="center"/>
          </w:tcPr>
          <w:p>
            <w:pPr>
              <w:spacing w:after="30" w:before="30" w:line="230"/>
              <w:jc w:val="center"/>
            </w:pPr>
            <w:r>
              <w:rPr>
                <w:sz w:val="17"/>
                <w:szCs w:val="17"/>
              </w:rPr>
              <w:t xml:space="preserve">–</w:t>
            </w:r>
          </w:p>
        </w:tc>
        <w:tc>
          <w:tcPr>
            <w:tcW w:type="dxa" w:w="1250"/>
            <w:shd w:fill="F2F5FA" w:color="auto" w:val="clear"/>
            <w:vAlign w:val="center"/>
          </w:tcPr>
          <w:p>
            <w:pPr>
              <w:spacing w:after="30" w:before="30" w:line="230"/>
              <w:jc w:val="center"/>
            </w:pPr>
            <w:r>
              <w:rPr>
                <w:sz w:val="17"/>
                <w:szCs w:val="17"/>
              </w:rPr>
              <w:t xml:space="preserve">–</w:t>
            </w:r>
          </w:p>
        </w:tc>
        <w:tc>
          <w:tcPr>
            <w:tcW w:type="dxa" w:w="2438"/>
            <w:shd w:fill="F2F5FA" w:color="auto" w:val="clear"/>
            <w:vAlign w:val="center"/>
          </w:tcPr>
          <w:p>
            <w:pPr>
              <w:spacing w:after="30" w:before="30" w:line="230"/>
              <w:jc w:val="center"/>
            </w:pPr>
            <w:r>
              <w:rPr>
                <w:sz w:val="17"/>
                <w:szCs w:val="17"/>
              </w:rPr>
              <w:t xml:space="preserve">6,20 / 9,40</w:t>
            </w:r>
          </w:p>
        </w:tc>
      </w:tr>
      <w:tr>
        <w:tc>
          <w:tcPr>
            <w:tcW w:type="dxa" w:w="1300"/>
            <w:vAlign w:val="center"/>
          </w:tcPr>
          <w:p>
            <w:pPr>
              <w:spacing w:after="30" w:before="30" w:line="230"/>
              <w:jc w:val="left"/>
            </w:pPr>
            <w:r>
              <w:rPr>
                <w:sz w:val="17"/>
                <w:szCs w:val="17"/>
              </w:rPr>
              <w:t xml:space="preserve">Gebäude</w:t>
            </w:r>
          </w:p>
        </w:tc>
        <w:tc>
          <w:tcPr>
            <w:tcW w:type="dxa" w:w="1000"/>
            <w:vAlign w:val="center"/>
          </w:tcPr>
          <w:p>
            <w:pPr>
              <w:spacing w:after="30" w:before="30" w:line="230"/>
              <w:jc w:val="center"/>
            </w:pPr>
            <w:r>
              <w:rPr>
                <w:sz w:val="17"/>
                <w:szCs w:val="17"/>
              </w:rPr>
              <w:t xml:space="preserve">1.000</w:t>
            </w:r>
          </w:p>
        </w:tc>
        <w:tc>
          <w:tcPr>
            <w:tcW w:type="dxa" w:w="800"/>
            <w:vAlign w:val="center"/>
          </w:tcPr>
          <w:p>
            <w:pPr>
              <w:spacing w:after="30" w:before="30" w:line="230"/>
              <w:jc w:val="center"/>
            </w:pPr>
            <w:r>
              <w:rPr>
                <w:sz w:val="17"/>
                <w:szCs w:val="17"/>
              </w:rPr>
              <w:t xml:space="preserve">6,20</w:t>
            </w:r>
          </w:p>
        </w:tc>
        <w:tc>
          <w:tcPr>
            <w:tcW w:type="dxa" w:w="800"/>
            <w:vAlign w:val="center"/>
          </w:tcPr>
          <w:p>
            <w:pPr>
              <w:spacing w:after="30" w:before="30" w:line="230"/>
              <w:jc w:val="center"/>
            </w:pPr>
            <w:r>
              <w:rPr>
                <w:sz w:val="17"/>
                <w:szCs w:val="17"/>
              </w:rPr>
              <w:t xml:space="preserve">0,40</w:t>
            </w:r>
          </w:p>
        </w:tc>
        <w:tc>
          <w:tcPr>
            <w:tcW w:type="dxa" w:w="800"/>
            <w:vAlign w:val="center"/>
          </w:tcPr>
          <w:p>
            <w:pPr>
              <w:spacing w:after="30" w:before="30" w:line="230"/>
              <w:jc w:val="center"/>
            </w:pPr>
            <w:r>
              <w:rPr>
                <w:sz w:val="17"/>
                <w:szCs w:val="17"/>
              </w:rPr>
              <w:t xml:space="preserve">1,90</w:t>
            </w:r>
          </w:p>
        </w:tc>
        <w:tc>
          <w:tcPr>
            <w:tcW w:type="dxa" w:w="1250"/>
            <w:vAlign w:val="center"/>
          </w:tcPr>
          <w:p>
            <w:pPr>
              <w:spacing w:after="30" w:before="30" w:line="230"/>
              <w:jc w:val="center"/>
            </w:pPr>
            <w:r>
              <w:rPr>
                <w:sz w:val="17"/>
                <w:szCs w:val="17"/>
              </w:rPr>
              <w:t xml:space="preserve">–</w:t>
            </w:r>
          </w:p>
        </w:tc>
        <w:tc>
          <w:tcPr>
            <w:tcW w:type="dxa" w:w="1250"/>
            <w:vAlign w:val="center"/>
          </w:tcPr>
          <w:p>
            <w:pPr>
              <w:spacing w:after="30" w:before="30" w:line="230"/>
              <w:jc w:val="center"/>
            </w:pPr>
            <w:r>
              <w:rPr>
                <w:sz w:val="17"/>
                <w:szCs w:val="17"/>
              </w:rPr>
              <w:t xml:space="preserve">–</w:t>
            </w:r>
          </w:p>
        </w:tc>
        <w:tc>
          <w:tcPr>
            <w:tcW w:type="dxa" w:w="2438"/>
            <w:vAlign w:val="center"/>
          </w:tcPr>
          <w:p>
            <w:pPr>
              <w:spacing w:after="30" w:before="30" w:line="230"/>
              <w:jc w:val="center"/>
            </w:pPr>
            <w:r>
              <w:rPr>
                <w:sz w:val="17"/>
                <w:szCs w:val="17"/>
              </w:rPr>
              <w:t xml:space="preserve">6,20 / 8,10</w:t>
            </w:r>
          </w:p>
        </w:tc>
      </w:tr>
      <w:tr>
        <w:tc>
          <w:tcPr>
            <w:tcW w:type="dxa" w:w="1300"/>
            <w:shd w:fill="F2F5FA" w:color="auto" w:val="clear"/>
            <w:vAlign w:val="center"/>
          </w:tcPr>
          <w:p>
            <w:pPr>
              <w:spacing w:after="30" w:before="30" w:line="230"/>
              <w:jc w:val="left"/>
            </w:pPr>
            <w:r>
              <w:rPr>
                <w:sz w:val="17"/>
                <w:szCs w:val="17"/>
              </w:rPr>
              <w:t xml:space="preserve">Sonstige</w:t>
            </w:r>
          </w:p>
        </w:tc>
        <w:tc>
          <w:tcPr>
            <w:tcW w:type="dxa" w:w="1000"/>
            <w:shd w:fill="F2F5FA" w:color="auto" w:val="clear"/>
            <w:vAlign w:val="center"/>
          </w:tcPr>
          <w:p>
            <w:pPr>
              <w:spacing w:after="30" w:before="30" w:line="230"/>
              <w:jc w:val="center"/>
            </w:pPr>
            <w:r>
              <w:rPr>
                <w:sz w:val="17"/>
                <w:szCs w:val="17"/>
              </w:rPr>
              <w:t xml:space="preserve">1.000</w:t>
            </w:r>
          </w:p>
        </w:tc>
        <w:tc>
          <w:tcPr>
            <w:tcW w:type="dxa" w:w="800"/>
            <w:shd w:fill="F2F5FA" w:color="auto" w:val="clear"/>
            <w:vAlign w:val="center"/>
          </w:tcPr>
          <w:p>
            <w:pPr>
              <w:spacing w:after="30" w:before="30" w:line="230"/>
              <w:jc w:val="center"/>
            </w:pPr>
            <w:r>
              <w:rPr>
                <w:sz w:val="17"/>
                <w:szCs w:val="17"/>
              </w:rPr>
              <w:t xml:space="preserve">7,00</w:t>
            </w:r>
          </w:p>
        </w:tc>
        <w:tc>
          <w:tcPr>
            <w:tcW w:type="dxa" w:w="800"/>
            <w:shd w:fill="F2F5FA" w:color="auto" w:val="clear"/>
            <w:vAlign w:val="center"/>
          </w:tcPr>
          <w:p>
            <w:pPr>
              <w:spacing w:after="30" w:before="30" w:line="230"/>
              <w:jc w:val="center"/>
            </w:pPr>
            <w:r>
              <w:rPr>
                <w:sz w:val="17"/>
                <w:szCs w:val="17"/>
              </w:rPr>
              <w:t xml:space="preserve">0,40</w:t>
            </w:r>
          </w:p>
        </w:tc>
        <w:tc>
          <w:tcPr>
            <w:tcW w:type="dxa" w:w="800"/>
            <w:shd w:fill="F2F5FA" w:color="auto" w:val="clear"/>
            <w:vAlign w:val="center"/>
          </w:tcPr>
          <w:p>
            <w:pPr>
              <w:spacing w:after="30" w:before="30" w:line="230"/>
              <w:jc w:val="center"/>
            </w:pPr>
            <w:r>
              <w:rPr>
                <w:sz w:val="17"/>
                <w:szCs w:val="17"/>
              </w:rPr>
              <w:t xml:space="preserve">0,00</w:t>
            </w:r>
          </w:p>
        </w:tc>
        <w:tc>
          <w:tcPr>
            <w:tcW w:type="dxa" w:w="1250"/>
            <w:shd w:fill="F2F5FA" w:color="auto" w:val="clear"/>
            <w:vAlign w:val="center"/>
          </w:tcPr>
          <w:p>
            <w:pPr>
              <w:spacing w:after="30" w:before="30" w:line="230"/>
              <w:jc w:val="center"/>
            </w:pPr>
            <w:r>
              <w:rPr>
                <w:sz w:val="17"/>
                <w:szCs w:val="17"/>
              </w:rPr>
              <w:t xml:space="preserve">6,60</w:t>
            </w:r>
          </w:p>
        </w:tc>
        <w:tc>
          <w:tcPr>
            <w:tcW w:type="dxa" w:w="1250"/>
            <w:shd w:fill="F2F5FA" w:color="auto" w:val="clear"/>
            <w:vAlign w:val="center"/>
          </w:tcPr>
          <w:p>
            <w:pPr>
              <w:spacing w:after="30" w:before="30" w:line="230"/>
              <w:jc w:val="center"/>
            </w:pPr>
            <w:r>
              <w:rPr>
                <w:sz w:val="17"/>
                <w:szCs w:val="17"/>
              </w:rPr>
              <w:t xml:space="preserve">6,60</w:t>
            </w:r>
          </w:p>
        </w:tc>
        <w:tc>
          <w:tcPr>
            <w:tcW w:type="dxa" w:w="2438"/>
            <w:shd w:fill="F2F5FA" w:color="auto" w:val="clear"/>
            <w:vAlign w:val="center"/>
          </w:tcPr>
          <w:p>
            <w:pPr>
              <w:spacing w:after="30" w:before="30" w:line="230"/>
              <w:jc w:val="center"/>
            </w:pPr>
            <w:r>
              <w:rPr>
                <w:sz w:val="17"/>
                <w:szCs w:val="17"/>
              </w:rPr>
              <w:t xml:space="preserve">7,00 / 7,00</w:t>
            </w:r>
          </w:p>
        </w:tc>
      </w:tr>
    </w:tbl>
    <w:p>
      <w:pPr>
        <w:spacing w:after="100"/>
      </w:pPr>
      <w:r>
        <w:rPr>
          <w:sz w:val="8"/>
          <w:szCs w:val="8"/>
        </w:rPr>
        <w:t xml:space="preserve"/>
      </w:r>
    </w:p>
    <w:p>
      <w:pPr>
        <w:spacing w:after="100" w:before="180"/>
      </w:pPr>
      <w:r>
        <w:rPr>
          <w:b/>
          <w:bCs/>
        </w:rPr>
        <w:t xml:space="preserve">EEG 2023, Inbetriebnahme 01.02.2024–15.05.2024</w:t>
      </w:r>
      <w:r>
        <w:t xml:space="preserve"> (nach erster Degression um 1 %, ct/kWh netto):</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300"/>
        <w:gridCol w:w="1000"/>
        <w:gridCol w:w="800"/>
        <w:gridCol w:w="800"/>
        <w:gridCol w:w="800"/>
        <w:gridCol w:w="1250"/>
        <w:gridCol w:w="1250"/>
        <w:gridCol w:w="2438"/>
      </w:tblGrid>
      <w:tr>
        <w:trPr>
          <w:tblHeader/>
        </w:trPr>
        <w:tc>
          <w:tcPr>
            <w:tcW w:type="dxa" w:w="1300"/>
            <w:shd w:fill="1F3864" w:color="auto" w:val="clear"/>
            <w:vAlign w:val="center"/>
          </w:tcPr>
          <w:p>
            <w:pPr>
              <w:spacing w:after="30" w:before="30" w:line="230"/>
              <w:jc w:val="left"/>
            </w:pPr>
            <w:r>
              <w:rPr>
                <w:b/>
                <w:bCs/>
                <w:color w:val="FFFFFF"/>
                <w:sz w:val="17"/>
                <w:szCs w:val="17"/>
              </w:rPr>
              <w:t xml:space="preserve">Anlagentyp</w:t>
            </w:r>
          </w:p>
        </w:tc>
        <w:tc>
          <w:tcPr>
            <w:tcW w:type="dxa" w:w="1000"/>
            <w:shd w:fill="1F3864" w:color="auto" w:val="clear"/>
            <w:vAlign w:val="center"/>
          </w:tcPr>
          <w:p>
            <w:pPr>
              <w:spacing w:after="30" w:before="30" w:line="230"/>
              <w:jc w:val="center"/>
            </w:pPr>
            <w:r>
              <w:rPr>
                <w:b/>
                <w:bCs/>
                <w:color w:val="FFFFFF"/>
                <w:sz w:val="17"/>
                <w:szCs w:val="17"/>
              </w:rPr>
              <w:t xml:space="preserve">bis kWp</w:t>
            </w:r>
          </w:p>
        </w:tc>
        <w:tc>
          <w:tcPr>
            <w:tcW w:type="dxa" w:w="800"/>
            <w:shd w:fill="1F3864" w:color="auto" w:val="clear"/>
            <w:vAlign w:val="center"/>
          </w:tcPr>
          <w:p>
            <w:pPr>
              <w:spacing w:after="30" w:before="30" w:line="230"/>
              <w:jc w:val="center"/>
            </w:pPr>
            <w:r>
              <w:rPr>
                <w:b/>
                <w:bCs/>
                <w:color w:val="FFFFFF"/>
                <w:sz w:val="17"/>
                <w:szCs w:val="17"/>
              </w:rPr>
              <w:t xml:space="preserve">A</w:t>
            </w:r>
          </w:p>
        </w:tc>
        <w:tc>
          <w:tcPr>
            <w:tcW w:type="dxa" w:w="800"/>
            <w:shd w:fill="1F3864" w:color="auto" w:val="clear"/>
            <w:vAlign w:val="center"/>
          </w:tcPr>
          <w:p>
            <w:pPr>
              <w:spacing w:after="30" w:before="30" w:line="230"/>
              <w:jc w:val="center"/>
            </w:pPr>
            <w:r>
              <w:rPr>
                <w:b/>
                <w:bCs/>
                <w:color w:val="FFFFFF"/>
                <w:sz w:val="17"/>
                <w:szCs w:val="17"/>
              </w:rPr>
              <w:t xml:space="preserve">B</w:t>
            </w:r>
          </w:p>
        </w:tc>
        <w:tc>
          <w:tcPr>
            <w:tcW w:type="dxa" w:w="800"/>
            <w:shd w:fill="1F3864" w:color="auto" w:val="clear"/>
            <w:vAlign w:val="center"/>
          </w:tcPr>
          <w:p>
            <w:pPr>
              <w:spacing w:after="30" w:before="30" w:line="230"/>
              <w:jc w:val="center"/>
            </w:pPr>
            <w:r>
              <w:rPr>
                <w:b/>
                <w:bCs/>
                <w:color w:val="FFFFFF"/>
                <w:sz w:val="17"/>
                <w:szCs w:val="17"/>
              </w:rPr>
              <w:t xml:space="preserve">C</w:t>
            </w:r>
          </w:p>
        </w:tc>
        <w:tc>
          <w:tcPr>
            <w:tcW w:type="dxa" w:w="1250"/>
            <w:shd w:fill="1F3864" w:color="auto" w:val="clear"/>
            <w:vAlign w:val="center"/>
          </w:tcPr>
          <w:p>
            <w:pPr>
              <w:spacing w:after="30" w:before="30" w:line="230"/>
              <w:jc w:val="center"/>
            </w:pPr>
            <w:r>
              <w:rPr>
                <w:b/>
                <w:bCs/>
                <w:color w:val="FFFFFF"/>
                <w:sz w:val="17"/>
                <w:szCs w:val="17"/>
              </w:rPr>
              <w:t xml:space="preserve">feste EV Teil</w:t>
            </w:r>
          </w:p>
        </w:tc>
        <w:tc>
          <w:tcPr>
            <w:tcW w:type="dxa" w:w="1250"/>
            <w:shd w:fill="1F3864" w:color="auto" w:val="clear"/>
            <w:vAlign w:val="center"/>
          </w:tcPr>
          <w:p>
            <w:pPr>
              <w:spacing w:after="30" w:before="30" w:line="230"/>
              <w:jc w:val="center"/>
            </w:pPr>
            <w:r>
              <w:rPr>
                <w:b/>
                <w:bCs/>
                <w:color w:val="FFFFFF"/>
                <w:sz w:val="17"/>
                <w:szCs w:val="17"/>
              </w:rPr>
              <w:t xml:space="preserve">feste EV Voll</w:t>
            </w:r>
          </w:p>
        </w:tc>
        <w:tc>
          <w:tcPr>
            <w:tcW w:type="dxa" w:w="2438"/>
            <w:shd w:fill="1F3864" w:color="auto" w:val="clear"/>
            <w:vAlign w:val="center"/>
          </w:tcPr>
          <w:p>
            <w:pPr>
              <w:spacing w:after="30" w:before="30" w:line="230"/>
              <w:jc w:val="center"/>
            </w:pPr>
            <w:r>
              <w:rPr>
                <w:b/>
                <w:bCs/>
                <w:color w:val="FFFFFF"/>
                <w:sz w:val="17"/>
                <w:szCs w:val="17"/>
              </w:rPr>
              <w:t xml:space="preserve">Direktverm. Teil / Voll</w:t>
            </w:r>
          </w:p>
        </w:tc>
      </w:tr>
      <w:tr>
        <w:tc>
          <w:tcPr>
            <w:tcW w:type="dxa" w:w="1300"/>
            <w:vAlign w:val="center"/>
          </w:tcPr>
          <w:p>
            <w:pPr>
              <w:spacing w:after="30" w:before="30" w:line="230"/>
              <w:jc w:val="left"/>
            </w:pPr>
            <w:r>
              <w:rPr>
                <w:sz w:val="17"/>
                <w:szCs w:val="17"/>
              </w:rPr>
              <w:t xml:space="preserve">Gebäude</w:t>
            </w:r>
          </w:p>
        </w:tc>
        <w:tc>
          <w:tcPr>
            <w:tcW w:type="dxa" w:w="1000"/>
            <w:vAlign w:val="center"/>
          </w:tcPr>
          <w:p>
            <w:pPr>
              <w:spacing w:after="30" w:before="30" w:line="230"/>
              <w:jc w:val="center"/>
            </w:pPr>
            <w:r>
              <w:rPr>
                <w:sz w:val="17"/>
                <w:szCs w:val="17"/>
              </w:rPr>
              <w:t xml:space="preserve">10</w:t>
            </w:r>
          </w:p>
        </w:tc>
        <w:tc>
          <w:tcPr>
            <w:tcW w:type="dxa" w:w="800"/>
            <w:vAlign w:val="center"/>
          </w:tcPr>
          <w:p>
            <w:pPr>
              <w:spacing w:after="30" w:before="30" w:line="230"/>
              <w:jc w:val="center"/>
            </w:pPr>
            <w:r>
              <w:rPr>
                <w:sz w:val="17"/>
                <w:szCs w:val="17"/>
              </w:rPr>
              <w:t xml:space="preserve">8,51</w:t>
            </w:r>
          </w:p>
        </w:tc>
        <w:tc>
          <w:tcPr>
            <w:tcW w:type="dxa" w:w="800"/>
            <w:vAlign w:val="center"/>
          </w:tcPr>
          <w:p>
            <w:pPr>
              <w:spacing w:after="30" w:before="30" w:line="230"/>
              <w:jc w:val="center"/>
            </w:pPr>
            <w:r>
              <w:rPr>
                <w:sz w:val="17"/>
                <w:szCs w:val="17"/>
              </w:rPr>
              <w:t xml:space="preserve">0,40</w:t>
            </w:r>
          </w:p>
        </w:tc>
        <w:tc>
          <w:tcPr>
            <w:tcW w:type="dxa" w:w="800"/>
            <w:vAlign w:val="center"/>
          </w:tcPr>
          <w:p>
            <w:pPr>
              <w:spacing w:after="30" w:before="30" w:line="230"/>
              <w:jc w:val="center"/>
            </w:pPr>
            <w:r>
              <w:rPr>
                <w:sz w:val="17"/>
                <w:szCs w:val="17"/>
              </w:rPr>
              <w:t xml:space="preserve">4,75</w:t>
            </w:r>
          </w:p>
        </w:tc>
        <w:tc>
          <w:tcPr>
            <w:tcW w:type="dxa" w:w="1250"/>
            <w:vAlign w:val="center"/>
          </w:tcPr>
          <w:p>
            <w:pPr>
              <w:spacing w:after="30" w:before="30" w:line="230"/>
              <w:jc w:val="center"/>
            </w:pPr>
            <w:r>
              <w:rPr>
                <w:sz w:val="17"/>
                <w:szCs w:val="17"/>
              </w:rPr>
              <w:t xml:space="preserve">8,11</w:t>
            </w:r>
          </w:p>
        </w:tc>
        <w:tc>
          <w:tcPr>
            <w:tcW w:type="dxa" w:w="1250"/>
            <w:vAlign w:val="center"/>
          </w:tcPr>
          <w:p>
            <w:pPr>
              <w:spacing w:after="30" w:before="30" w:line="230"/>
              <w:jc w:val="center"/>
            </w:pPr>
            <w:r>
              <w:rPr>
                <w:sz w:val="17"/>
                <w:szCs w:val="17"/>
              </w:rPr>
              <w:t xml:space="preserve">12,87</w:t>
            </w:r>
          </w:p>
        </w:tc>
        <w:tc>
          <w:tcPr>
            <w:tcW w:type="dxa" w:w="2438"/>
            <w:vAlign w:val="center"/>
          </w:tcPr>
          <w:p>
            <w:pPr>
              <w:spacing w:after="30" w:before="30" w:line="230"/>
              <w:jc w:val="center"/>
            </w:pPr>
            <w:r>
              <w:rPr>
                <w:sz w:val="17"/>
                <w:szCs w:val="17"/>
              </w:rPr>
              <w:t xml:space="preserve">8,51 / 13,27</w:t>
            </w:r>
          </w:p>
        </w:tc>
      </w:tr>
      <w:tr>
        <w:tc>
          <w:tcPr>
            <w:tcW w:type="dxa" w:w="1300"/>
            <w:shd w:fill="F2F5FA" w:color="auto" w:val="clear"/>
            <w:vAlign w:val="center"/>
          </w:tcPr>
          <w:p>
            <w:pPr>
              <w:spacing w:after="30" w:before="30" w:line="230"/>
              <w:jc w:val="left"/>
            </w:pPr>
            <w:r>
              <w:rPr>
                <w:sz w:val="17"/>
                <w:szCs w:val="17"/>
              </w:rPr>
              <w:t xml:space="preserve">Gebäude</w:t>
            </w:r>
          </w:p>
        </w:tc>
        <w:tc>
          <w:tcPr>
            <w:tcW w:type="dxa" w:w="1000"/>
            <w:shd w:fill="F2F5FA" w:color="auto" w:val="clear"/>
            <w:vAlign w:val="center"/>
          </w:tcPr>
          <w:p>
            <w:pPr>
              <w:spacing w:after="30" w:before="30" w:line="230"/>
              <w:jc w:val="center"/>
            </w:pPr>
            <w:r>
              <w:rPr>
                <w:sz w:val="17"/>
                <w:szCs w:val="17"/>
              </w:rPr>
              <w:t xml:space="preserve">40</w:t>
            </w:r>
          </w:p>
        </w:tc>
        <w:tc>
          <w:tcPr>
            <w:tcW w:type="dxa" w:w="800"/>
            <w:shd w:fill="F2F5FA" w:color="auto" w:val="clear"/>
            <w:vAlign w:val="center"/>
          </w:tcPr>
          <w:p>
            <w:pPr>
              <w:spacing w:after="30" w:before="30" w:line="230"/>
              <w:jc w:val="center"/>
            </w:pPr>
            <w:r>
              <w:rPr>
                <w:sz w:val="17"/>
                <w:szCs w:val="17"/>
              </w:rPr>
              <w:t xml:space="preserve">7,43</w:t>
            </w:r>
          </w:p>
        </w:tc>
        <w:tc>
          <w:tcPr>
            <w:tcW w:type="dxa" w:w="800"/>
            <w:shd w:fill="F2F5FA" w:color="auto" w:val="clear"/>
            <w:vAlign w:val="center"/>
          </w:tcPr>
          <w:p>
            <w:pPr>
              <w:spacing w:after="30" w:before="30" w:line="230"/>
              <w:jc w:val="center"/>
            </w:pPr>
            <w:r>
              <w:rPr>
                <w:sz w:val="17"/>
                <w:szCs w:val="17"/>
              </w:rPr>
              <w:t xml:space="preserve">0,40</w:t>
            </w:r>
          </w:p>
        </w:tc>
        <w:tc>
          <w:tcPr>
            <w:tcW w:type="dxa" w:w="800"/>
            <w:shd w:fill="F2F5FA" w:color="auto" w:val="clear"/>
            <w:vAlign w:val="center"/>
          </w:tcPr>
          <w:p>
            <w:pPr>
              <w:spacing w:after="30" w:before="30" w:line="230"/>
              <w:jc w:val="center"/>
            </w:pPr>
            <w:r>
              <w:rPr>
                <w:sz w:val="17"/>
                <w:szCs w:val="17"/>
              </w:rPr>
              <w:t xml:space="preserve">3,76</w:t>
            </w:r>
          </w:p>
        </w:tc>
        <w:tc>
          <w:tcPr>
            <w:tcW w:type="dxa" w:w="1250"/>
            <w:shd w:fill="F2F5FA" w:color="auto" w:val="clear"/>
            <w:vAlign w:val="center"/>
          </w:tcPr>
          <w:p>
            <w:pPr>
              <w:spacing w:after="30" w:before="30" w:line="230"/>
              <w:jc w:val="center"/>
            </w:pPr>
            <w:r>
              <w:rPr>
                <w:sz w:val="17"/>
                <w:szCs w:val="17"/>
              </w:rPr>
              <w:t xml:space="preserve">7,03</w:t>
            </w:r>
          </w:p>
        </w:tc>
        <w:tc>
          <w:tcPr>
            <w:tcW w:type="dxa" w:w="1250"/>
            <w:shd w:fill="F2F5FA" w:color="auto" w:val="clear"/>
            <w:vAlign w:val="center"/>
          </w:tcPr>
          <w:p>
            <w:pPr>
              <w:spacing w:after="30" w:before="30" w:line="230"/>
              <w:jc w:val="center"/>
            </w:pPr>
            <w:r>
              <w:rPr>
                <w:sz w:val="17"/>
                <w:szCs w:val="17"/>
              </w:rPr>
              <w:t xml:space="preserve">10,79</w:t>
            </w:r>
          </w:p>
        </w:tc>
        <w:tc>
          <w:tcPr>
            <w:tcW w:type="dxa" w:w="2438"/>
            <w:shd w:fill="F2F5FA" w:color="auto" w:val="clear"/>
            <w:vAlign w:val="center"/>
          </w:tcPr>
          <w:p>
            <w:pPr>
              <w:spacing w:after="30" w:before="30" w:line="230"/>
              <w:jc w:val="center"/>
            </w:pPr>
            <w:r>
              <w:rPr>
                <w:sz w:val="17"/>
                <w:szCs w:val="17"/>
              </w:rPr>
              <w:t xml:space="preserve">7,43 / 11,19</w:t>
            </w:r>
          </w:p>
        </w:tc>
      </w:tr>
      <w:tr>
        <w:tc>
          <w:tcPr>
            <w:tcW w:type="dxa" w:w="1300"/>
            <w:vAlign w:val="center"/>
          </w:tcPr>
          <w:p>
            <w:pPr>
              <w:spacing w:after="30" w:before="30" w:line="230"/>
              <w:jc w:val="left"/>
            </w:pPr>
            <w:r>
              <w:rPr>
                <w:sz w:val="17"/>
                <w:szCs w:val="17"/>
              </w:rPr>
              <w:t xml:space="preserve">Gebäude</w:t>
            </w:r>
          </w:p>
        </w:tc>
        <w:tc>
          <w:tcPr>
            <w:tcW w:type="dxa" w:w="1000"/>
            <w:vAlign w:val="center"/>
          </w:tcPr>
          <w:p>
            <w:pPr>
              <w:spacing w:after="30" w:before="30" w:line="230"/>
              <w:jc w:val="center"/>
            </w:pPr>
            <w:r>
              <w:rPr>
                <w:sz w:val="17"/>
                <w:szCs w:val="17"/>
              </w:rPr>
              <w:t xml:space="preserve">100</w:t>
            </w:r>
          </w:p>
        </w:tc>
        <w:tc>
          <w:tcPr>
            <w:tcW w:type="dxa" w:w="800"/>
            <w:vAlign w:val="center"/>
          </w:tcPr>
          <w:p>
            <w:pPr>
              <w:spacing w:after="30" w:before="30" w:line="230"/>
              <w:jc w:val="center"/>
            </w:pPr>
            <w:r>
              <w:rPr>
                <w:sz w:val="17"/>
                <w:szCs w:val="17"/>
              </w:rPr>
              <w:t xml:space="preserve">6,14</w:t>
            </w:r>
          </w:p>
        </w:tc>
        <w:tc>
          <w:tcPr>
            <w:tcW w:type="dxa" w:w="800"/>
            <w:vAlign w:val="center"/>
          </w:tcPr>
          <w:p>
            <w:pPr>
              <w:spacing w:after="30" w:before="30" w:line="230"/>
              <w:jc w:val="center"/>
            </w:pPr>
            <w:r>
              <w:rPr>
                <w:sz w:val="17"/>
                <w:szCs w:val="17"/>
              </w:rPr>
              <w:t xml:space="preserve">0,40</w:t>
            </w:r>
          </w:p>
        </w:tc>
        <w:tc>
          <w:tcPr>
            <w:tcW w:type="dxa" w:w="800"/>
            <w:vAlign w:val="center"/>
          </w:tcPr>
          <w:p>
            <w:pPr>
              <w:spacing w:after="30" w:before="30" w:line="230"/>
              <w:jc w:val="center"/>
            </w:pPr>
            <w:r>
              <w:rPr>
                <w:sz w:val="17"/>
                <w:szCs w:val="17"/>
              </w:rPr>
              <w:t xml:space="preserve">5,05</w:t>
            </w:r>
          </w:p>
        </w:tc>
        <w:tc>
          <w:tcPr>
            <w:tcW w:type="dxa" w:w="1250"/>
            <w:vAlign w:val="center"/>
          </w:tcPr>
          <w:p>
            <w:pPr>
              <w:spacing w:after="30" w:before="30" w:line="230"/>
              <w:jc w:val="center"/>
            </w:pPr>
            <w:r>
              <w:rPr>
                <w:sz w:val="17"/>
                <w:szCs w:val="17"/>
              </w:rPr>
              <w:t xml:space="preserve">5,74</w:t>
            </w:r>
          </w:p>
        </w:tc>
        <w:tc>
          <w:tcPr>
            <w:tcW w:type="dxa" w:w="1250"/>
            <w:vAlign w:val="center"/>
          </w:tcPr>
          <w:p>
            <w:pPr>
              <w:spacing w:after="30" w:before="30" w:line="230"/>
              <w:jc w:val="center"/>
            </w:pPr>
            <w:r>
              <w:rPr>
                <w:sz w:val="17"/>
                <w:szCs w:val="17"/>
              </w:rPr>
              <w:t xml:space="preserve">10,79</w:t>
            </w:r>
          </w:p>
        </w:tc>
        <w:tc>
          <w:tcPr>
            <w:tcW w:type="dxa" w:w="2438"/>
            <w:vAlign w:val="center"/>
          </w:tcPr>
          <w:p>
            <w:pPr>
              <w:spacing w:after="30" w:before="30" w:line="230"/>
              <w:jc w:val="center"/>
            </w:pPr>
            <w:r>
              <w:rPr>
                <w:sz w:val="17"/>
                <w:szCs w:val="17"/>
              </w:rPr>
              <w:t xml:space="preserve">6,14 / 11,19</w:t>
            </w:r>
          </w:p>
        </w:tc>
      </w:tr>
      <w:tr>
        <w:tc>
          <w:tcPr>
            <w:tcW w:type="dxa" w:w="1300"/>
            <w:shd w:fill="F2F5FA" w:color="auto" w:val="clear"/>
            <w:vAlign w:val="center"/>
          </w:tcPr>
          <w:p>
            <w:pPr>
              <w:spacing w:after="30" w:before="30" w:line="230"/>
              <w:jc w:val="left"/>
            </w:pPr>
            <w:r>
              <w:rPr>
                <w:sz w:val="17"/>
                <w:szCs w:val="17"/>
              </w:rPr>
              <w:t xml:space="preserve">Gebäude</w:t>
            </w:r>
          </w:p>
        </w:tc>
        <w:tc>
          <w:tcPr>
            <w:tcW w:type="dxa" w:w="1000"/>
            <w:shd w:fill="F2F5FA" w:color="auto" w:val="clear"/>
            <w:vAlign w:val="center"/>
          </w:tcPr>
          <w:p>
            <w:pPr>
              <w:spacing w:after="30" w:before="30" w:line="230"/>
              <w:jc w:val="center"/>
            </w:pPr>
            <w:r>
              <w:rPr>
                <w:sz w:val="17"/>
                <w:szCs w:val="17"/>
              </w:rPr>
              <w:t xml:space="preserve">400</w:t>
            </w:r>
          </w:p>
        </w:tc>
        <w:tc>
          <w:tcPr>
            <w:tcW w:type="dxa" w:w="800"/>
            <w:shd w:fill="F2F5FA" w:color="auto" w:val="clear"/>
            <w:vAlign w:val="center"/>
          </w:tcPr>
          <w:p>
            <w:pPr>
              <w:spacing w:after="30" w:before="30" w:line="230"/>
              <w:jc w:val="center"/>
            </w:pPr>
            <w:r>
              <w:rPr>
                <w:sz w:val="17"/>
                <w:szCs w:val="17"/>
              </w:rPr>
              <w:t xml:space="preserve">6,14</w:t>
            </w:r>
          </w:p>
        </w:tc>
        <w:tc>
          <w:tcPr>
            <w:tcW w:type="dxa" w:w="800"/>
            <w:shd w:fill="F2F5FA" w:color="auto" w:val="clear"/>
            <w:vAlign w:val="center"/>
          </w:tcPr>
          <w:p>
            <w:pPr>
              <w:spacing w:after="30" w:before="30" w:line="230"/>
              <w:jc w:val="center"/>
            </w:pPr>
            <w:r>
              <w:rPr>
                <w:sz w:val="17"/>
                <w:szCs w:val="17"/>
              </w:rPr>
              <w:t xml:space="preserve">0,40</w:t>
            </w:r>
          </w:p>
        </w:tc>
        <w:tc>
          <w:tcPr>
            <w:tcW w:type="dxa" w:w="800"/>
            <w:shd w:fill="F2F5FA" w:color="auto" w:val="clear"/>
            <w:vAlign w:val="center"/>
          </w:tcPr>
          <w:p>
            <w:pPr>
              <w:spacing w:after="30" w:before="30" w:line="230"/>
              <w:jc w:val="center"/>
            </w:pPr>
            <w:r>
              <w:rPr>
                <w:sz w:val="17"/>
                <w:szCs w:val="17"/>
              </w:rPr>
              <w:t xml:space="preserve">3,17</w:t>
            </w:r>
          </w:p>
        </w:tc>
        <w:tc>
          <w:tcPr>
            <w:tcW w:type="dxa" w:w="1250"/>
            <w:shd w:fill="F2F5FA" w:color="auto" w:val="clear"/>
            <w:vAlign w:val="center"/>
          </w:tcPr>
          <w:p>
            <w:pPr>
              <w:spacing w:after="30" w:before="30" w:line="230"/>
              <w:jc w:val="center"/>
            </w:pPr>
            <w:r>
              <w:rPr>
                <w:sz w:val="17"/>
                <w:szCs w:val="17"/>
              </w:rPr>
              <w:t xml:space="preserve">–</w:t>
            </w:r>
          </w:p>
        </w:tc>
        <w:tc>
          <w:tcPr>
            <w:tcW w:type="dxa" w:w="1250"/>
            <w:shd w:fill="F2F5FA" w:color="auto" w:val="clear"/>
            <w:vAlign w:val="center"/>
          </w:tcPr>
          <w:p>
            <w:pPr>
              <w:spacing w:after="30" w:before="30" w:line="230"/>
              <w:jc w:val="center"/>
            </w:pPr>
            <w:r>
              <w:rPr>
                <w:sz w:val="17"/>
                <w:szCs w:val="17"/>
              </w:rPr>
              <w:t xml:space="preserve">–</w:t>
            </w:r>
          </w:p>
        </w:tc>
        <w:tc>
          <w:tcPr>
            <w:tcW w:type="dxa" w:w="2438"/>
            <w:shd w:fill="F2F5FA" w:color="auto" w:val="clear"/>
            <w:vAlign w:val="center"/>
          </w:tcPr>
          <w:p>
            <w:pPr>
              <w:spacing w:after="30" w:before="30" w:line="230"/>
              <w:jc w:val="center"/>
            </w:pPr>
            <w:r>
              <w:rPr>
                <w:sz w:val="17"/>
                <w:szCs w:val="17"/>
              </w:rPr>
              <w:t xml:space="preserve">6,14 / 9,31</w:t>
            </w:r>
          </w:p>
        </w:tc>
      </w:tr>
      <w:tr>
        <w:tc>
          <w:tcPr>
            <w:tcW w:type="dxa" w:w="1300"/>
            <w:vAlign w:val="center"/>
          </w:tcPr>
          <w:p>
            <w:pPr>
              <w:spacing w:after="30" w:before="30" w:line="230"/>
              <w:jc w:val="left"/>
            </w:pPr>
            <w:r>
              <w:rPr>
                <w:sz w:val="17"/>
                <w:szCs w:val="17"/>
              </w:rPr>
              <w:t xml:space="preserve">Gebäude</w:t>
            </w:r>
          </w:p>
        </w:tc>
        <w:tc>
          <w:tcPr>
            <w:tcW w:type="dxa" w:w="1000"/>
            <w:vAlign w:val="center"/>
          </w:tcPr>
          <w:p>
            <w:pPr>
              <w:spacing w:after="30" w:before="30" w:line="230"/>
              <w:jc w:val="center"/>
            </w:pPr>
            <w:r>
              <w:rPr>
                <w:sz w:val="17"/>
                <w:szCs w:val="17"/>
              </w:rPr>
              <w:t xml:space="preserve">1.000</w:t>
            </w:r>
          </w:p>
        </w:tc>
        <w:tc>
          <w:tcPr>
            <w:tcW w:type="dxa" w:w="800"/>
            <w:vAlign w:val="center"/>
          </w:tcPr>
          <w:p>
            <w:pPr>
              <w:spacing w:after="30" w:before="30" w:line="230"/>
              <w:jc w:val="center"/>
            </w:pPr>
            <w:r>
              <w:rPr>
                <w:sz w:val="17"/>
                <w:szCs w:val="17"/>
              </w:rPr>
              <w:t xml:space="preserve">6,14</w:t>
            </w:r>
          </w:p>
        </w:tc>
        <w:tc>
          <w:tcPr>
            <w:tcW w:type="dxa" w:w="800"/>
            <w:vAlign w:val="center"/>
          </w:tcPr>
          <w:p>
            <w:pPr>
              <w:spacing w:after="30" w:before="30" w:line="230"/>
              <w:jc w:val="center"/>
            </w:pPr>
            <w:r>
              <w:rPr>
                <w:sz w:val="17"/>
                <w:szCs w:val="17"/>
              </w:rPr>
              <w:t xml:space="preserve">0,40</w:t>
            </w:r>
          </w:p>
        </w:tc>
        <w:tc>
          <w:tcPr>
            <w:tcW w:type="dxa" w:w="800"/>
            <w:vAlign w:val="center"/>
          </w:tcPr>
          <w:p>
            <w:pPr>
              <w:spacing w:after="30" w:before="30" w:line="230"/>
              <w:jc w:val="center"/>
            </w:pPr>
            <w:r>
              <w:rPr>
                <w:sz w:val="17"/>
                <w:szCs w:val="17"/>
              </w:rPr>
              <w:t xml:space="preserve">1,88</w:t>
            </w:r>
          </w:p>
        </w:tc>
        <w:tc>
          <w:tcPr>
            <w:tcW w:type="dxa" w:w="1250"/>
            <w:vAlign w:val="center"/>
          </w:tcPr>
          <w:p>
            <w:pPr>
              <w:spacing w:after="30" w:before="30" w:line="230"/>
              <w:jc w:val="center"/>
            </w:pPr>
            <w:r>
              <w:rPr>
                <w:sz w:val="17"/>
                <w:szCs w:val="17"/>
              </w:rPr>
              <w:t xml:space="preserve">–</w:t>
            </w:r>
          </w:p>
        </w:tc>
        <w:tc>
          <w:tcPr>
            <w:tcW w:type="dxa" w:w="1250"/>
            <w:vAlign w:val="center"/>
          </w:tcPr>
          <w:p>
            <w:pPr>
              <w:spacing w:after="30" w:before="30" w:line="230"/>
              <w:jc w:val="center"/>
            </w:pPr>
            <w:r>
              <w:rPr>
                <w:sz w:val="17"/>
                <w:szCs w:val="17"/>
              </w:rPr>
              <w:t xml:space="preserve">–</w:t>
            </w:r>
          </w:p>
        </w:tc>
        <w:tc>
          <w:tcPr>
            <w:tcW w:type="dxa" w:w="2438"/>
            <w:vAlign w:val="center"/>
          </w:tcPr>
          <w:p>
            <w:pPr>
              <w:spacing w:after="30" w:before="30" w:line="230"/>
              <w:jc w:val="center"/>
            </w:pPr>
            <w:r>
              <w:rPr>
                <w:sz w:val="17"/>
                <w:szCs w:val="17"/>
              </w:rPr>
              <w:t xml:space="preserve">6,14 / 8,02</w:t>
            </w:r>
          </w:p>
        </w:tc>
      </w:tr>
      <w:tr>
        <w:tc>
          <w:tcPr>
            <w:tcW w:type="dxa" w:w="1300"/>
            <w:shd w:fill="F2F5FA" w:color="auto" w:val="clear"/>
            <w:vAlign w:val="center"/>
          </w:tcPr>
          <w:p>
            <w:pPr>
              <w:spacing w:after="30" w:before="30" w:line="230"/>
              <w:jc w:val="left"/>
            </w:pPr>
            <w:r>
              <w:rPr>
                <w:sz w:val="17"/>
                <w:szCs w:val="17"/>
              </w:rPr>
              <w:t xml:space="preserve">Sonstige</w:t>
            </w:r>
          </w:p>
        </w:tc>
        <w:tc>
          <w:tcPr>
            <w:tcW w:type="dxa" w:w="1000"/>
            <w:shd w:fill="F2F5FA" w:color="auto" w:val="clear"/>
            <w:vAlign w:val="center"/>
          </w:tcPr>
          <w:p>
            <w:pPr>
              <w:spacing w:after="30" w:before="30" w:line="230"/>
              <w:jc w:val="center"/>
            </w:pPr>
            <w:r>
              <w:rPr>
                <w:sz w:val="17"/>
                <w:szCs w:val="17"/>
              </w:rPr>
              <w:t xml:space="preserve">1.000</w:t>
            </w:r>
          </w:p>
        </w:tc>
        <w:tc>
          <w:tcPr>
            <w:tcW w:type="dxa" w:w="800"/>
            <w:shd w:fill="F2F5FA" w:color="auto" w:val="clear"/>
            <w:vAlign w:val="center"/>
          </w:tcPr>
          <w:p>
            <w:pPr>
              <w:spacing w:after="30" w:before="30" w:line="230"/>
              <w:jc w:val="center"/>
            </w:pPr>
            <w:r>
              <w:rPr>
                <w:sz w:val="17"/>
                <w:szCs w:val="17"/>
              </w:rPr>
              <w:t xml:space="preserve">6,93</w:t>
            </w:r>
          </w:p>
        </w:tc>
        <w:tc>
          <w:tcPr>
            <w:tcW w:type="dxa" w:w="800"/>
            <w:shd w:fill="F2F5FA" w:color="auto" w:val="clear"/>
            <w:vAlign w:val="center"/>
          </w:tcPr>
          <w:p>
            <w:pPr>
              <w:spacing w:after="30" w:before="30" w:line="230"/>
              <w:jc w:val="center"/>
            </w:pPr>
            <w:r>
              <w:rPr>
                <w:sz w:val="17"/>
                <w:szCs w:val="17"/>
              </w:rPr>
              <w:t xml:space="preserve">0,40</w:t>
            </w:r>
          </w:p>
        </w:tc>
        <w:tc>
          <w:tcPr>
            <w:tcW w:type="dxa" w:w="800"/>
            <w:shd w:fill="F2F5FA" w:color="auto" w:val="clear"/>
            <w:vAlign w:val="center"/>
          </w:tcPr>
          <w:p>
            <w:pPr>
              <w:spacing w:after="30" w:before="30" w:line="230"/>
              <w:jc w:val="center"/>
            </w:pPr>
            <w:r>
              <w:rPr>
                <w:sz w:val="17"/>
                <w:szCs w:val="17"/>
              </w:rPr>
              <w:t xml:space="preserve">0,00</w:t>
            </w:r>
          </w:p>
        </w:tc>
        <w:tc>
          <w:tcPr>
            <w:tcW w:type="dxa" w:w="1250"/>
            <w:shd w:fill="F2F5FA" w:color="auto" w:val="clear"/>
            <w:vAlign w:val="center"/>
          </w:tcPr>
          <w:p>
            <w:pPr>
              <w:spacing w:after="30" w:before="30" w:line="230"/>
              <w:jc w:val="center"/>
            </w:pPr>
            <w:r>
              <w:rPr>
                <w:sz w:val="17"/>
                <w:szCs w:val="17"/>
              </w:rPr>
              <w:t xml:space="preserve">6,53</w:t>
            </w:r>
          </w:p>
        </w:tc>
        <w:tc>
          <w:tcPr>
            <w:tcW w:type="dxa" w:w="1250"/>
            <w:shd w:fill="F2F5FA" w:color="auto" w:val="clear"/>
            <w:vAlign w:val="center"/>
          </w:tcPr>
          <w:p>
            <w:pPr>
              <w:spacing w:after="30" w:before="30" w:line="230"/>
              <w:jc w:val="center"/>
            </w:pPr>
            <w:r>
              <w:rPr>
                <w:sz w:val="17"/>
                <w:szCs w:val="17"/>
              </w:rPr>
              <w:t xml:space="preserve">6,53</w:t>
            </w:r>
          </w:p>
        </w:tc>
        <w:tc>
          <w:tcPr>
            <w:tcW w:type="dxa" w:w="2438"/>
            <w:shd w:fill="F2F5FA" w:color="auto" w:val="clear"/>
            <w:vAlign w:val="center"/>
          </w:tcPr>
          <w:p>
            <w:pPr>
              <w:spacing w:after="30" w:before="30" w:line="230"/>
              <w:jc w:val="center"/>
            </w:pPr>
            <w:r>
              <w:rPr>
                <w:sz w:val="17"/>
                <w:szCs w:val="17"/>
              </w:rPr>
              <w:t xml:space="preserve">6,93 / 6,93</w:t>
            </w:r>
          </w:p>
        </w:tc>
      </w:tr>
    </w:tbl>
    <w:p>
      <w:pPr>
        <w:spacing w:after="100"/>
      </w:pPr>
      <w:r>
        <w:rPr>
          <w:sz w:val="8"/>
          <w:szCs w:val="8"/>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90"/>
          <w:left w:type="dxa" w:w="150"/>
          <w:bottom w:type="dxa" w:w="90"/>
          <w:right w:type="dxa" w:w="150"/>
        </w:tblCellMar>
      </w:tblPr>
      <w:tblGrid>
        <w:gridCol w:w="9638"/>
      </w:tblGrid>
      <w:tr>
        <w:trPr>
          <w:cantSplit/>
        </w:trPr>
        <w:tc>
          <w:tcPr>
            <w:tcW w:type="dxa" w:w="9638"/>
            <w:tcBorders>
              <w:top w:val="single" w:color="2E5395" w:sz="2"/>
              <w:left w:val="single" w:color="2E5395" w:sz="24"/>
              <w:bottom w:val="single" w:color="2E5395" w:sz="2"/>
              <w:right w:val="single" w:color="2E5395" w:sz="2"/>
            </w:tcBorders>
            <w:shd w:fill="EAF1FA" w:color="auto" w:val="clear"/>
          </w:tcPr>
          <w:p>
            <w:pPr>
              <w:spacing w:after="80" w:before="40"/>
            </w:pPr>
            <w:r>
              <w:rPr>
                <w:b/>
                <w:bCs/>
                <w:color w:val="2E5395"/>
                <w:sz w:val="20"/>
                <w:szCs w:val="20"/>
              </w:rPr>
              <w:t xml:space="preserve">Rundungshinweis zur Tabelle 02–07/2024 (Klasse ≤ 10 kW)</w:t>
            </w:r>
          </w:p>
          <w:p>
            <w:pPr>
              <w:spacing w:after="60" w:before="40" w:line="250"/>
            </w:pPr>
            <w:r>
              <w:rPr>
                <w:sz w:val="19"/>
                <w:szCs w:val="19"/>
              </w:rPr>
              <w:t xml:space="preserve">Die Volleinspeisungswerte 12,87 ct/kWh (feste Einspeisevergütung) und 13,27 ct/kWh (anzulegender Wert) lassen sich nur aus den </w:t>
            </w:r>
            <w:r>
              <w:rPr>
                <w:b/>
                <w:bCs/>
                <w:sz w:val="19"/>
                <w:szCs w:val="19"/>
              </w:rPr>
              <w:t xml:space="preserve">unrundeten</w:t>
            </w:r>
            <w:r>
              <w:rPr>
                <w:sz w:val="19"/>
                <w:szCs w:val="19"/>
              </w:rPr>
              <w:t xml:space="preserve"> Ausgangswerten herleiten. Rechnet man mit den bereits gerundeten Werten nach dem Schema A − B + C, ergäben sich 12,86 bzw. 13,26 ct/kWh. Maßgeblich sind die von der Bundesnetzagentur veröffentlichten Werte; die Degression nach § 49 EEG ist stets auf der unrundeten Basis zu rechnen und erst am Ende auf zwei Nachkommastellen zu runden [1][2][3].</w:t>
            </w:r>
          </w:p>
        </w:tc>
      </w:tr>
    </w:tbl>
    <w:p>
      <w:pPr>
        <w:spacing w:after="160"/>
      </w:pPr>
      <w:r>
        <w:rPr>
          <w:sz w:val="8"/>
          <w:szCs w:val="8"/>
        </w:rPr>
        <w:t xml:space="preserve"/>
      </w:r>
    </w:p>
    <w:p>
      <w:r>
        <w:rPr>
          <w:b/>
          <w:bCs/>
        </w:rPr>
        <w:t xml:space="preserve">Alle Werte gegen die Vergütungssatzdateien der Bundesnetzagentur verifiziert ✓</w:t>
      </w:r>
      <w:r>
        <w:t xml:space="preserve"> [1][2][3]. Die Gegenprobe umfasste die festen Einspeisevergütungen Teil (8,20 / 7,10 / 5,80) und Voll (13,00 / 10,90, auch für die Klasse ≤ 40 kW), die anzulegenden Werte Teil (8,60 / 7,50 / 6,20) und Voll (13,40 / 11,30 / 11,30 / 9,40 / 8,10), die Werte für sonstige Anlagen (6,60 bzw. 7,00), die Sätze für 02–07/2024 (Teil 8,11 / 7,03 / 5,74 mit den unrundeten Werten 8,114 / 7,025 / 5,738; Voll 12,87 / 10,79) sowie den Mieterstromzuschlag für Inbetriebnahme 2023 (2,67 / 2,48 / 1,67; unrundet 2,66925 / 2,47909 / 1,66916).</w:t>
      </w:r>
    </w:p>
    <w:p>
      <w:r>
        <w:t xml:space="preserve">Aus dieser Verifikation ergaben sich </w:t>
      </w:r>
      <w:r>
        <w:rPr>
          <w:b/>
          <w:bCs/>
        </w:rPr>
        <w:t xml:space="preserve">drei Korrekturen gegenüber verbreiteten Darstellungen</w:t>
      </w:r>
      <w:r>
        <w:t xml:space="preserve">, die in dieser Übersicht durchgängig berücksichtigt sind: Die Ausfallvergütung beruht auf § 21 Abs. 1 S. 1 </w:t>
      </w:r>
      <w:r>
        <w:rPr>
          <w:b/>
          <w:bCs/>
        </w:rPr>
        <w:t xml:space="preserve">Nr. 3</w:t>
      </w:r>
      <w:r>
        <w:t xml:space="preserve"> (nicht Nr. 2); die Marktprämie ist für Inbetriebnahmen ab 2023 mit dem </w:t>
      </w:r>
      <w:r>
        <w:rPr>
          <w:b/>
          <w:bCs/>
        </w:rPr>
        <w:t xml:space="preserve">Jahres</w:t>
      </w:r>
      <w:r>
        <w:t xml:space="preserve">marktwert zu bilden; und der +1,5-ct-Aufschlag des Solarpakets I ist gesetzlich vorgesehen, aber nach § 101 EEG mangels EU-Genehmigung nicht anwendbar (Stand 25.08.2026).</w:t>
      </w:r>
    </w:p>
    <w:p>
      <w:pPr>
        <w:pStyle w:val="Heading1"/>
      </w:pPr>
      <w:bookmarkStart w:id="900016" w:name="_Toc90000016"/>
      <w:r>
        <w:t xml:space="preserve">M  Methodik: Einspeisung und Kostenberechnung je Betreibermodell</w:t>
      </w:r>
      <w:bookmarkEnd w:id="900016"/>
    </w:p>
    <w:p>
      <w:r>
        <w:t xml:space="preserve">Dieser Teil ist das Kernstück der Übersicht. Er verbindet die Betreibermodelle aus Teil A mit den Vergütungen und Rahmenbedingungen aus Teil B zu einer durchgängigen Rechenmethodik: </w:t>
      </w:r>
      <w:r>
        <w:rPr>
          <w:b/>
          <w:bCs/>
        </w:rPr>
        <w:t xml:space="preserve">Wie entsteht aus einer Kilowattstunde Solarstrom in jedem der 25 Modelle ein Erlös, bei wem entstehen welche Kosten, und welche gesetzlichen Regelungen greifen dabei ein?</w:t>
      </w:r>
      <w:r>
        <w:t xml:space="preserve"> </w:t>
      </w:r>
      <w:r>
        <w:rPr>
          <w:b/>
          <w:bCs/>
        </w:rPr>
        <w:t xml:space="preserve">Teil K</w:t>
      </w:r>
      <w:r>
        <w:t xml:space="preserve"> übersetzt diese Methodik anschließend in die Kennzahlenrechnung und weist sie am Fallbeispiel Zeile für Zeile nach; </w:t>
      </w:r>
      <w:r>
        <w:rPr>
          <w:b/>
          <w:bCs/>
        </w:rPr>
        <w:t xml:space="preserve">Teil C</w:t>
      </w:r>
      <w:r>
        <w:t xml:space="preserve"> beschreibt das Fallbeispiel selbst mit seinen Eingaben und Ergebnissen.</w:t>
      </w:r>
    </w:p>
    <w:p>
      <w:pPr>
        <w:pStyle w:val="Heading2"/>
      </w:pPr>
      <w:bookmarkStart w:id="900017" w:name="_Toc90000017"/>
      <w:r>
        <w:t xml:space="preserve">M1  Die Rechenlogik in sechs Schritten</w:t>
      </w:r>
      <w:bookmarkEnd w:id="900017"/>
    </w:p>
    <w:p>
      <w:r>
        <w:t xml:space="preserve">Die Wirtschaftlichkeitsrechnung läuft in pv@now – und methodisch auch unabhängig davon – in sechs aufeinander aufbauenden Schritten ab. Entscheidend ist, dass </w:t>
      </w:r>
      <w:r>
        <w:rPr>
          <w:b/>
          <w:bCs/>
        </w:rPr>
        <w:t xml:space="preserve">die Schritte 1 bis 4 modellunabhängig gleich sind und erst die Schritte 2, 5 und 6 das Betreibermodell abbilden</w:t>
      </w:r>
      <w:r>
        <w:t xml:space="preserve">: Das Modell bestimmt, wohin der Strom fließt und zwischen wem das Geld fließt – nicht, wie viel Strom erzeugt wird.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50"/>
          <w:bottom w:type="dxa" w:w="80"/>
          <w:right w:type="dxa" w:w="150"/>
        </w:tblCellMar>
      </w:tblPr>
      <w:tblGrid>
        <w:gridCol w:w="9638"/>
      </w:tblGrid>
      <w:tr>
        <w:trPr>
          <w:cantSplit/>
        </w:trPr>
        <w:tc>
          <w:tcPr>
            <w:tcW w:type="dxa" w:w="9638"/>
            <w:tcBorders>
              <w:top w:val="none" w:color="FFFFFF" w:sz="0"/>
              <w:left w:val="single" w:color="A6A6A6" w:sz="18"/>
              <w:bottom w:val="none" w:color="FFFFFF" w:sz="0"/>
              <w:right w:val="none" w:color="FFFFFF" w:sz="0"/>
            </w:tcBorders>
            <w:shd w:fill="F2F2F2" w:color="auto" w:val="clear"/>
          </w:tcPr>
          <w:p>
            <w:pPr>
              <w:spacing w:after="30" w:before="30" w:line="250"/>
            </w:pPr>
            <w:r>
              <w:rPr>
                <w:b/>
                <w:bCs/>
                <w:sz w:val="19"/>
                <w:szCs w:val="19"/>
              </w:rPr>
              <w:t xml:space="preserve">Schema:</w:t>
            </w:r>
            <w:r>
              <w:rPr>
                <w:sz w:val="19"/>
                <w:szCs w:val="19"/>
              </w:rPr>
              <w:t xml:space="preserve"> kWp × spezifischer Jahresertrag → Strommenge je Jahr (mit Leistungsminderung) → Aufteilung auf die Verwertungswege → je Weg ein Satz oder Preis → Erlöse; parallel Investition + Betriebskosten + Finanzierung + Steuern → Kosten; beides monatsgenau je Akteur zusammengeführt → Kennzahlen je Akteur.</w:t>
            </w:r>
          </w:p>
        </w:tc>
      </w:tr>
    </w:tbl>
    <w:p>
      <w:pPr>
        <w:spacing w:after="160"/>
      </w:pPr>
      <w:r>
        <w:rPr>
          <w:sz w:val="8"/>
          <w:szCs w:val="8"/>
        </w:rPr>
        <w:t xml:space="preserve"/>
      </w:r>
    </w:p>
    <w:p>
      <w:pPr>
        <w:spacing w:after="160" w:line="272"/>
      </w:pPr>
      <w:r>
        <w:rPr>
          <w:b/>
          <w:bCs/>
        </w:rPr>
        <w:t xml:space="preserve">Schritt 1 – Ertragsermittlung.</w:t>
      </w:r>
      <w:r>
        <w:t xml:space="preserve"> Nennleistung in kWp multipliziert mit dem spezifischen Jahresertrag in kWh/kWp ergibt die Jahresstrommenge; der spezifische Ertrag stammt aus dem PVGIS-Hilfsrechner (Standort, Modultechnik, Performance Ratio, Ausrichtung, Neigung) oder aus einer eigenen Eingabe. Darauf wird die Leistungsminderung über die Betrachtungsdauer angewendet. Die Betrachtungsdauer entspricht standardmäßig dem EEG-Vergütungszeitraum, also 20 Jahre zuzüglich der Inbetriebnahmemonate des ersten Jahres, kann aber frei gesetzt werden [22][29]. Im Fallbeispiel: 30,00 kWp × 1.078 kWh/kWp = 32.340 kWh/a, Leistungsminderung 5,00 %, Betrachtungsdauer 3/2023–12/2043.</w:t>
      </w:r>
    </w:p>
    <w:p>
      <w:pPr>
        <w:spacing w:after="160" w:line="272"/>
      </w:pPr>
      <w:r>
        <w:rPr>
          <w:b/>
          <w:bCs/>
        </w:rPr>
        <w:t xml:space="preserve">Schritt 2 – PV-Stromaufteilung (der modellabhängige Kern).</w:t>
      </w:r>
      <w:r>
        <w:t xml:space="preserve"> Die Jahresstrommenge wird je Zeitabschnitt auf die Verwertungskategorien aufgeteilt: Eigenverbrauch des Betreibers (bei Speicher zuzüglich Speicherverluste), EEG-vergütete Netzeinspeisung, geförderte Direktvermarktung im Marktprämienmodell, Ausschreibungsmodell, EEG-vergütete Ausnahmefälle, sonstige Direktvermarktung und freier Vergütungssatz. Die Aufteilung erfolgt entweder über eine Lastprofilsimulation (Standardlastprofile oder eigene, hochgeladene Profile; seit Version 10.0.0 je Stromaufteilungsintervall wählbar) oder manuell in Prozent [22][29]. </w:t>
      </w:r>
      <w:r>
        <w:rPr>
          <w:b/>
          <w:bCs/>
        </w:rPr>
        <w:t xml:space="preserve">Genau hier wirkt das Betreibermodell:</w:t>
      </w:r>
      <w:r>
        <w:t xml:space="preserve"> Ein Volleinspeisungsmodell kennt nur die Kategorie Netzeinspeisung, ein Überschussmodell teilt zwischen Eigenverbrauch und Einspeisung, ein Liefermodell führt zusätzlich die gelieferte Menge, ein Teilmietmodell verteilt den Eigenverbrauchsanteil auf mehrere Mitbetreiber.</w:t>
      </w:r>
    </w:p>
    <w:p>
      <w:pPr>
        <w:spacing w:after="160" w:line="272"/>
      </w:pPr>
      <w:r>
        <w:rPr>
          <w:b/>
          <w:bCs/>
        </w:rPr>
        <w:t xml:space="preserve">Schritt 3 – Erlösrechnung je Kategorie.</w:t>
      </w:r>
      <w:r>
        <w:t xml:space="preserve"> Für jede Kategorie wird ein Satz angesetzt: die EEG-Sätze aus der hinterlegten Vergütungstabelle, abhängig von Inbetriebnahmedatum, Anlagenart und – über das Stufenmodell des § 23c EEG – von der Größenklassenmischung (siehe B2); die editierbaren Sätze für sonstige Direktvermarktung, freien Vergütungssatz, Marktwert Solar und Mieterstromzuschlag; bei Stromlieferung der Lieferpreis aus dem Hilfsrechner multipliziert mit der gelieferten Menge. </w:t>
      </w:r>
      <w:r>
        <w:rPr>
          <w:b/>
          <w:bCs/>
        </w:rPr>
        <w:t xml:space="preserve">Beim Verbraucher tritt an die Stelle eines Erlöses der vermiedene Netzbezug</w:t>
      </w:r>
      <w:r>
        <w:t xml:space="preserve">: Netzstrompreis einschließlich Steigerungsrate multipliziert mit der Eigenverbrauchsmenge. Dieser Posten ist in Eigenverbrauchs- und Mietmodellen regelmäßig der größte Ergebnisbeitrag (siehe C4).</w:t>
      </w:r>
    </w:p>
    <w:p>
      <w:pPr>
        <w:spacing w:after="160" w:line="272"/>
      </w:pPr>
      <w:r>
        <w:rPr>
          <w:b/>
          <w:bCs/>
        </w:rPr>
        <w:t xml:space="preserve">Schritt 4 – Kostenrechnung.</w:t>
      </w:r>
      <w:r>
        <w:t xml:space="preserve"> Die Investition wird netto oder brutto angesetzt, abhängig vom Umsatzsteuerstatus des Akteurs – der Nullsteuersatz nach § 12 Abs. 3 UStG beim Kauf einer Anlage bis 30 kWp führt zu einer anderen Bemessungsgrundlage als die Regelbesteuerung mit 19 % und Vorsteuerabzug. Die Betriebskosten werden nach Posten erfasst (Wartung, Überwachung, Mess- und Abrechnungskosten, Versicherung, Verwaltung, Sonstiges), wahlweise als €/a oder als Prozentsatz der Investition und mit eigenen Steigerungsraten; entscheidend für die Modellrechnung ist die </w:t>
      </w:r>
      <w:r>
        <w:rPr>
          <w:b/>
          <w:bCs/>
        </w:rPr>
        <w:t xml:space="preserve">Kostenträgerwahl: Investor oder Betreiber</w:t>
      </w:r>
      <w:r>
        <w:t xml:space="preserve"> [29]. Hinzu kommen Finanzierung (Eigenkapital, bis zu zwei Kredite, Kalkulationszinssatz), Rückbaukosten und Restwert sowie die Steuern je Akteur (optionaler Ertragsteuereinbezug, lineare oder degressive AfA, Investitionsabzugsbetrag, Sonderabschreibung, Umsatzsteuerveranlagung, Kleinunternehmerregelung) [22][29].</w:t>
      </w:r>
    </w:p>
    <w:p>
      <w:pPr>
        <w:spacing w:after="160" w:line="272"/>
      </w:pPr>
      <w:r>
        <w:rPr>
          <w:b/>
          <w:bCs/>
        </w:rPr>
        <w:t xml:space="preserve">Schritt 5 – Zahlungsstromrechnung, monatsgenau und je Akteur.</w:t>
      </w:r>
      <w:r>
        <w:t xml:space="preserve"> Alle Zahlungen werden monatsgenau über die Betrachtungsdauer den bis zu vier Akteuren zugeordnet. </w:t>
      </w:r>
      <w:r>
        <w:rPr>
          <w:b/>
          <w:bCs/>
        </w:rPr>
        <w:t xml:space="preserve">Modellabhängig fließen zwischen den Akteuren:</w:t>
      </w:r>
      <w:r>
        <w:t xml:space="preserve"> Anlagenmiete und Teilmiete vom Betreiber zum Investor, Dachmiete oder Flächenpacht vom Betreiber zum Grund-/Gebäudeeigentümer (standardmäßig nicht umsatzsteuerbar, seit Version 9.2.0), Stromlieferungsentgelte vom Verbraucher zum Betreiber sowie der Reststrombezug vom Verbraucher zum Energieversorger. Diese vier Zahlungsarten sind das eigentliche Unterscheidungsmerkmal der 25 Modelle.</w:t>
      </w:r>
    </w:p>
    <w:p>
      <w:pPr>
        <w:spacing w:after="160" w:line="272"/>
      </w:pPr>
      <w:r>
        <w:rPr>
          <w:b/>
          <w:bCs/>
        </w:rPr>
        <w:t xml:space="preserve">Schritt 6 – Kennzahlen je Akteur.</w:t>
      </w:r>
      <w:r>
        <w:t xml:space="preserve"> Ermittelt werden interner Zinsfuß, interner Zinsfuß nach Baldwin, Kapitalwert (mit Kalkulationszinssatz), Liquiditätsüberschuss, Discounted Cash Flow, statische und dynamische Amortisation, PV-Stromgestehungskosten mit und ohne Kalkulationszins, Eigenverbrauchs- und Autarkiequote sowie – als zentrale Beraterkennzahl – der </w:t>
      </w:r>
      <w:r>
        <w:rPr>
          <w:b/>
          <w:bCs/>
        </w:rPr>
        <w:t xml:space="preserve">„Vorteil/Nachteil durch PV“</w:t>
      </w:r>
      <w:r>
        <w:t xml:space="preserve">: die Differenz der gesamten Zahlungs- und Stromkostensituation mit PV gegenüber dem Basisszenario ohne PV, das über die Konditionen der Verbrauchssituation hinterlegt wird. Weil diese Kennzahl je Akteur berechnet wird, lässt sich in Modellen mit mehreren Parteien zeigen, ob eine Konstruktion für </w:t>
      </w:r>
      <w:r>
        <w:rPr>
          <w:b/>
          <w:bCs/>
        </w:rPr>
        <w:t xml:space="preserve">alle</w:t>
      </w:r>
      <w:r>
        <w:t xml:space="preserve"> Beteiligten vorteilhaft ist – der eigentliche Zweck der rollengetrennten Auswertung.</w:t>
      </w:r>
    </w:p>
    <w:p>
      <w:pPr>
        <w:keepNext/>
        <w:spacing w:after="110" w:before="220"/>
      </w:pPr>
      <w:r>
        <w:rPr>
          <w:b/>
          <w:bCs/>
        </w:rPr>
        <w:t xml:space="preserve">Rechengrößen im Überblick.</w:t>
      </w:r>
      <w:r>
        <w:t xml:space="preserve"> Die folgende Tabelle klärt die Begriffe, die in den sechs Schritten und in den Auswertungen des Werkzeugs auftauchen, jeweils in einem Satz. Die geprüften Langfassungen mit Rechtsstand und den Abweichungen der Tool-Texte stehen in </w:t>
      </w:r>
      <w:r>
        <w:rPr>
          <w:b/>
          <w:bCs/>
        </w:rPr>
        <w:t xml:space="preserve">D5</w:t>
      </w:r>
      <w:r>
        <w:t xml:space="preserve">.</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400"/>
        <w:gridCol w:w="4500"/>
        <w:gridCol w:w="2738"/>
      </w:tblGrid>
      <w:tr>
        <w:trPr>
          <w:tblHeader/>
        </w:trPr>
        <w:tc>
          <w:tcPr>
            <w:tcW w:type="dxa" w:w="2400"/>
            <w:shd w:fill="1F3864" w:color="auto" w:val="clear"/>
            <w:vAlign w:val="center"/>
          </w:tcPr>
          <w:p>
            <w:pPr>
              <w:spacing w:after="30" w:before="30" w:line="230"/>
              <w:jc w:val="left"/>
            </w:pPr>
            <w:r>
              <w:rPr>
                <w:b/>
                <w:bCs/>
                <w:color w:val="FFFFFF"/>
                <w:sz w:val="17"/>
                <w:szCs w:val="17"/>
              </w:rPr>
              <w:t xml:space="preserve">Begriff</w:t>
            </w:r>
          </w:p>
        </w:tc>
        <w:tc>
          <w:tcPr>
            <w:tcW w:type="dxa" w:w="4500"/>
            <w:shd w:fill="1F3864" w:color="auto" w:val="clear"/>
            <w:vAlign w:val="center"/>
          </w:tcPr>
          <w:p>
            <w:pPr>
              <w:spacing w:after="30" w:before="30" w:line="230"/>
              <w:jc w:val="left"/>
            </w:pPr>
            <w:r>
              <w:rPr>
                <w:b/>
                <w:bCs/>
                <w:color w:val="FFFFFF"/>
                <w:sz w:val="17"/>
                <w:szCs w:val="17"/>
              </w:rPr>
              <w:t xml:space="preserve">Bedeutung in einem Satz</w:t>
            </w:r>
          </w:p>
        </w:tc>
        <w:tc>
          <w:tcPr>
            <w:tcW w:type="dxa" w:w="2738"/>
            <w:shd w:fill="1F3864" w:color="auto" w:val="clear"/>
            <w:vAlign w:val="center"/>
          </w:tcPr>
          <w:p>
            <w:pPr>
              <w:spacing w:after="30" w:before="30" w:line="230"/>
              <w:jc w:val="left"/>
            </w:pPr>
            <w:r>
              <w:rPr>
                <w:b/>
                <w:bCs/>
                <w:color w:val="FFFFFF"/>
                <w:sz w:val="17"/>
                <w:szCs w:val="17"/>
              </w:rPr>
              <w:t xml:space="preserve">Wo im Tool</w:t>
            </w:r>
          </w:p>
        </w:tc>
      </w:tr>
      <w:tr>
        <w:tc>
          <w:tcPr>
            <w:tcW w:type="dxa" w:w="2400"/>
            <w:vAlign w:val="center"/>
          </w:tcPr>
          <w:p>
            <w:pPr>
              <w:spacing w:after="30" w:before="30" w:line="230"/>
              <w:jc w:val="left"/>
            </w:pPr>
            <w:r>
              <w:rPr>
                <w:b/>
                <w:bCs/>
                <w:sz w:val="17"/>
                <w:szCs w:val="17"/>
              </w:rPr>
              <w:t xml:space="preserve">Stromgestehungskosten</w:t>
            </w:r>
          </w:p>
        </w:tc>
        <w:tc>
          <w:tcPr>
            <w:tcW w:type="dxa" w:w="4500"/>
            <w:vAlign w:val="center"/>
          </w:tcPr>
          <w:p>
            <w:pPr>
              <w:spacing w:after="30" w:before="30" w:line="230"/>
              <w:jc w:val="left"/>
            </w:pPr>
            <w:r>
              <w:rPr>
                <w:b w:val="false"/>
                <w:bCs w:val="false"/>
                <w:sz w:val="17"/>
                <w:szCs w:val="17"/>
              </w:rPr>
              <w:t xml:space="preserve">Barwert aller Ausgaben geteilt durch den Barwert der erzeugten Kilowattstunden über die Nutzungsdauer (LCOE) – eine reine Kostenkennzahl ohne Erlösbezug</w:t>
            </w:r>
          </w:p>
        </w:tc>
        <w:tc>
          <w:tcPr>
            <w:tcW w:type="dxa" w:w="2738"/>
            <w:vAlign w:val="center"/>
          </w:tcPr>
          <w:p>
            <w:pPr>
              <w:spacing w:after="30" w:before="30" w:line="230"/>
              <w:jc w:val="left"/>
            </w:pPr>
            <w:r>
              <w:rPr>
                <w:b w:val="false"/>
                <w:bCs w:val="false"/>
                <w:sz w:val="17"/>
                <w:szCs w:val="17"/>
              </w:rPr>
              <w:t xml:space="preserve">Kennzahlen; Tabelle „PV-Stromgestehungskosten Ausgaben“ unter „Diagramme &amp; Tabellen“ → D5</w:t>
            </w:r>
          </w:p>
        </w:tc>
      </w:tr>
      <w:tr>
        <w:tc>
          <w:tcPr>
            <w:tcW w:type="dxa" w:w="2400"/>
            <w:shd w:fill="F2F5FA" w:color="auto" w:val="clear"/>
            <w:vAlign w:val="center"/>
          </w:tcPr>
          <w:p>
            <w:pPr>
              <w:spacing w:after="30" w:before="30" w:line="230"/>
              <w:jc w:val="left"/>
            </w:pPr>
            <w:r>
              <w:rPr>
                <w:b/>
                <w:bCs/>
                <w:sz w:val="17"/>
                <w:szCs w:val="17"/>
              </w:rPr>
              <w:t xml:space="preserve">Solare Deckung (Autarkie)</w:t>
            </w:r>
          </w:p>
        </w:tc>
        <w:tc>
          <w:tcPr>
            <w:tcW w:type="dxa" w:w="4500"/>
            <w:shd w:fill="F2F5FA" w:color="auto" w:val="clear"/>
            <w:vAlign w:val="center"/>
          </w:tcPr>
          <w:p>
            <w:pPr>
              <w:spacing w:after="30" w:before="30" w:line="230"/>
              <w:jc w:val="left"/>
            </w:pPr>
            <w:r>
              <w:rPr>
                <w:b w:val="false"/>
                <w:bCs w:val="false"/>
                <w:sz w:val="17"/>
                <w:szCs w:val="17"/>
              </w:rPr>
              <w:t xml:space="preserve">Anteil des Gebäudestrombedarfs, der zeitgleich aus PV-Anlage oder Speicher gedeckt wird (Eigenverbrauch geteilt durch Verbrauch)</w:t>
            </w:r>
          </w:p>
        </w:tc>
        <w:tc>
          <w:tcPr>
            <w:tcW w:type="dxa" w:w="2738"/>
            <w:shd w:fill="F2F5FA" w:color="auto" w:val="clear"/>
            <w:vAlign w:val="center"/>
          </w:tcPr>
          <w:p>
            <w:pPr>
              <w:spacing w:after="30" w:before="30" w:line="230"/>
              <w:jc w:val="left"/>
            </w:pPr>
            <w:r>
              <w:rPr>
                <w:b w:val="false"/>
                <w:bCs w:val="false"/>
                <w:sz w:val="17"/>
                <w:szCs w:val="17"/>
              </w:rPr>
              <w:t xml:space="preserve">Kennzahlen (Autarkiegrad) → D5</w:t>
            </w:r>
          </w:p>
        </w:tc>
      </w:tr>
      <w:tr>
        <w:tc>
          <w:tcPr>
            <w:tcW w:type="dxa" w:w="2400"/>
            <w:vAlign w:val="center"/>
          </w:tcPr>
          <w:p>
            <w:pPr>
              <w:spacing w:after="30" w:before="30" w:line="230"/>
              <w:jc w:val="left"/>
            </w:pPr>
            <w:r>
              <w:rPr>
                <w:b/>
                <w:bCs/>
                <w:sz w:val="17"/>
                <w:szCs w:val="17"/>
              </w:rPr>
              <w:t xml:space="preserve">Vorteil/Nachteil durch PV</w:t>
            </w:r>
          </w:p>
        </w:tc>
        <w:tc>
          <w:tcPr>
            <w:tcW w:type="dxa" w:w="4500"/>
            <w:vAlign w:val="center"/>
          </w:tcPr>
          <w:p>
            <w:pPr>
              <w:spacing w:after="30" w:before="30" w:line="230"/>
              <w:jc w:val="left"/>
            </w:pPr>
            <w:r>
              <w:rPr>
                <w:b w:val="false"/>
                <w:bCs w:val="false"/>
                <w:sz w:val="17"/>
                <w:szCs w:val="17"/>
              </w:rPr>
              <w:t xml:space="preserve">Kumulierte Differenz aller Einnahmen und Ausgaben mit PV gegenüber der Situation ohne PV, getrennt je Akteur</w:t>
            </w:r>
          </w:p>
        </w:tc>
        <w:tc>
          <w:tcPr>
            <w:tcW w:type="dxa" w:w="2738"/>
            <w:vAlign w:val="center"/>
          </w:tcPr>
          <w:p>
            <w:pPr>
              <w:spacing w:after="30" w:before="30" w:line="230"/>
              <w:jc w:val="left"/>
            </w:pPr>
            <w:r>
              <w:rPr>
                <w:b w:val="false"/>
                <w:bCs w:val="false"/>
                <w:sz w:val="17"/>
                <w:szCs w:val="17"/>
              </w:rPr>
              <w:t xml:space="preserve">Kennzahlen; Berichte je Rolle; Projektvergleich → D5</w:t>
            </w:r>
          </w:p>
        </w:tc>
      </w:tr>
      <w:tr>
        <w:tc>
          <w:tcPr>
            <w:tcW w:type="dxa" w:w="2400"/>
            <w:shd w:fill="F2F5FA" w:color="auto" w:val="clear"/>
            <w:vAlign w:val="center"/>
          </w:tcPr>
          <w:p>
            <w:pPr>
              <w:spacing w:after="30" w:before="30" w:line="230"/>
              <w:jc w:val="left"/>
            </w:pPr>
            <w:r>
              <w:rPr>
                <w:b/>
                <w:bCs/>
                <w:sz w:val="17"/>
                <w:szCs w:val="17"/>
              </w:rPr>
              <w:t xml:space="preserve">Kalkulationszinssatz (KZS)</w:t>
            </w:r>
          </w:p>
        </w:tc>
        <w:tc>
          <w:tcPr>
            <w:tcW w:type="dxa" w:w="4500"/>
            <w:shd w:fill="F2F5FA" w:color="auto" w:val="clear"/>
            <w:vAlign w:val="center"/>
          </w:tcPr>
          <w:p>
            <w:pPr>
              <w:spacing w:after="30" w:before="30" w:line="230"/>
              <w:jc w:val="left"/>
            </w:pPr>
            <w:r>
              <w:rPr>
                <w:b w:val="false"/>
                <w:bCs w:val="false"/>
                <w:sz w:val="17"/>
                <w:szCs w:val="17"/>
              </w:rPr>
              <w:t xml:space="preserve">Opportunitätszins des Eigenkapitals, mit dem Kapitalwert und Stromgestehungskosten diskontiert werden</w:t>
            </w:r>
          </w:p>
        </w:tc>
        <w:tc>
          <w:tcPr>
            <w:tcW w:type="dxa" w:w="2738"/>
            <w:shd w:fill="F2F5FA" w:color="auto" w:val="clear"/>
            <w:vAlign w:val="center"/>
          </w:tcPr>
          <w:p>
            <w:pPr>
              <w:spacing w:after="30" w:before="30" w:line="230"/>
              <w:jc w:val="left"/>
            </w:pPr>
            <w:r>
              <w:rPr>
                <w:b w:val="false"/>
                <w:bCs w:val="false"/>
                <w:sz w:val="17"/>
                <w:szCs w:val="17"/>
              </w:rPr>
              <w:t xml:space="preserve">Eingaben Finanzierung; Schritt 4 → D5</w:t>
            </w:r>
          </w:p>
        </w:tc>
      </w:tr>
      <w:tr>
        <w:tc>
          <w:tcPr>
            <w:tcW w:type="dxa" w:w="2400"/>
            <w:vAlign w:val="center"/>
          </w:tcPr>
          <w:p>
            <w:pPr>
              <w:spacing w:after="30" w:before="30" w:line="230"/>
              <w:jc w:val="left"/>
            </w:pPr>
            <w:r>
              <w:rPr>
                <w:b/>
                <w:bCs/>
                <w:sz w:val="17"/>
                <w:szCs w:val="17"/>
              </w:rPr>
              <w:t xml:space="preserve">Interner Zinsfuß / modifiziert nach Baldwin</w:t>
            </w:r>
          </w:p>
        </w:tc>
        <w:tc>
          <w:tcPr>
            <w:tcW w:type="dxa" w:w="4500"/>
            <w:vAlign w:val="center"/>
          </w:tcPr>
          <w:p>
            <w:pPr>
              <w:spacing w:after="30" w:before="30" w:line="230"/>
              <w:jc w:val="left"/>
            </w:pPr>
            <w:r>
              <w:rPr>
                <w:b w:val="false"/>
                <w:bCs w:val="false"/>
                <w:sz w:val="17"/>
                <w:szCs w:val="17"/>
              </w:rPr>
              <w:t xml:space="preserve">Rendite des eingesetzten Kapitals; die Baldwin-Variante legt die Einzahlungsüberschüsse nur zum Kalkulationszinssatz wieder an und liegt deshalb niedriger</w:t>
            </w:r>
          </w:p>
        </w:tc>
        <w:tc>
          <w:tcPr>
            <w:tcW w:type="dxa" w:w="2738"/>
            <w:vAlign w:val="center"/>
          </w:tcPr>
          <w:p>
            <w:pPr>
              <w:spacing w:after="30" w:before="30" w:line="230"/>
              <w:jc w:val="left"/>
            </w:pPr>
            <w:r>
              <w:rPr>
                <w:b w:val="false"/>
                <w:bCs w:val="false"/>
                <w:sz w:val="17"/>
                <w:szCs w:val="17"/>
              </w:rPr>
              <w:t xml:space="preserve">Kennzahlen; Schritt 6 → D5</w:t>
            </w:r>
          </w:p>
        </w:tc>
      </w:tr>
      <w:tr>
        <w:tc>
          <w:tcPr>
            <w:tcW w:type="dxa" w:w="2400"/>
            <w:shd w:fill="F2F5FA" w:color="auto" w:val="clear"/>
            <w:vAlign w:val="center"/>
          </w:tcPr>
          <w:p>
            <w:pPr>
              <w:spacing w:after="30" w:before="30" w:line="230"/>
              <w:jc w:val="left"/>
            </w:pPr>
            <w:r>
              <w:rPr>
                <w:b/>
                <w:bCs/>
                <w:sz w:val="17"/>
                <w:szCs w:val="17"/>
              </w:rPr>
              <w:t xml:space="preserve">Eigenverbrauch (Eigenverbrauchsquote)</w:t>
            </w:r>
          </w:p>
        </w:tc>
        <w:tc>
          <w:tcPr>
            <w:tcW w:type="dxa" w:w="4500"/>
            <w:shd w:fill="F2F5FA" w:color="auto" w:val="clear"/>
            <w:vAlign w:val="center"/>
          </w:tcPr>
          <w:p>
            <w:pPr>
              <w:spacing w:after="30" w:before="30" w:line="230"/>
              <w:jc w:val="left"/>
            </w:pPr>
            <w:r>
              <w:rPr>
                <w:b w:val="false"/>
                <w:bCs w:val="false"/>
                <w:sz w:val="17"/>
                <w:szCs w:val="17"/>
              </w:rPr>
              <w:t xml:space="preserve">Anteil des Jahresertrags, den der Anlagenbetreiber selbst verbraucht – Personenidentität von Betreiber und Verbraucher vorausgesetzt</w:t>
            </w:r>
          </w:p>
        </w:tc>
        <w:tc>
          <w:tcPr>
            <w:tcW w:type="dxa" w:w="2738"/>
            <w:shd w:fill="F2F5FA" w:color="auto" w:val="clear"/>
            <w:vAlign w:val="center"/>
          </w:tcPr>
          <w:p>
            <w:pPr>
              <w:spacing w:after="30" w:before="30" w:line="230"/>
              <w:jc w:val="left"/>
            </w:pPr>
            <w:r>
              <w:rPr>
                <w:b w:val="false"/>
                <w:bCs w:val="false"/>
                <w:sz w:val="17"/>
                <w:szCs w:val="17"/>
              </w:rPr>
              <w:t xml:space="preserve">Schritt PV-Stromaufteilung; Kennzahlen → D5</w:t>
            </w:r>
          </w:p>
        </w:tc>
      </w:tr>
      <w:tr>
        <w:tc>
          <w:tcPr>
            <w:tcW w:type="dxa" w:w="2400"/>
            <w:vAlign w:val="center"/>
          </w:tcPr>
          <w:p>
            <w:pPr>
              <w:spacing w:after="30" w:before="30" w:line="230"/>
              <w:jc w:val="left"/>
            </w:pPr>
            <w:r>
              <w:rPr>
                <w:b/>
                <w:bCs/>
                <w:sz w:val="17"/>
                <w:szCs w:val="17"/>
              </w:rPr>
              <w:t xml:space="preserve">Direktvermarktungspreis</w:t>
            </w:r>
          </w:p>
        </w:tc>
        <w:tc>
          <w:tcPr>
            <w:tcW w:type="dxa" w:w="4500"/>
            <w:vAlign w:val="center"/>
          </w:tcPr>
          <w:p>
            <w:pPr>
              <w:spacing w:after="30" w:before="30" w:line="230"/>
              <w:jc w:val="left"/>
            </w:pPr>
            <w:r>
              <w:rPr>
                <w:b w:val="false"/>
                <w:bCs w:val="false"/>
                <w:sz w:val="17"/>
                <w:szCs w:val="17"/>
              </w:rPr>
              <w:t xml:space="preserve">Tatsächlich erzielter Erlös je Kilowattstunde in der Direktvermarktung, in der geförderten Variante nach oben durch den anzulegenden Wert begrenzt</w:t>
            </w:r>
          </w:p>
        </w:tc>
        <w:tc>
          <w:tcPr>
            <w:tcW w:type="dxa" w:w="2738"/>
            <w:vAlign w:val="center"/>
          </w:tcPr>
          <w:p>
            <w:pPr>
              <w:spacing w:after="30" w:before="30" w:line="230"/>
              <w:jc w:val="left"/>
            </w:pPr>
            <w:r>
              <w:rPr>
                <w:b w:val="false"/>
                <w:bCs w:val="false"/>
                <w:sz w:val="17"/>
                <w:szCs w:val="17"/>
              </w:rPr>
              <w:t xml:space="preserve">Erlösmodelle → D5</w:t>
            </w:r>
          </w:p>
        </w:tc>
      </w:tr>
      <w:tr>
        <w:tc>
          <w:tcPr>
            <w:tcW w:type="dxa" w:w="2400"/>
            <w:shd w:fill="F2F5FA" w:color="auto" w:val="clear"/>
            <w:vAlign w:val="center"/>
          </w:tcPr>
          <w:p>
            <w:pPr>
              <w:spacing w:after="30" w:before="30" w:line="230"/>
              <w:jc w:val="left"/>
            </w:pPr>
            <w:r>
              <w:rPr>
                <w:b/>
                <w:bCs/>
                <w:sz w:val="17"/>
                <w:szCs w:val="17"/>
              </w:rPr>
              <w:t xml:space="preserve">PV-Stromlieferung in kWh</w:t>
            </w:r>
          </w:p>
        </w:tc>
        <w:tc>
          <w:tcPr>
            <w:tcW w:type="dxa" w:w="4500"/>
            <w:shd w:fill="F2F5FA" w:color="auto" w:val="clear"/>
            <w:vAlign w:val="center"/>
          </w:tcPr>
          <w:p>
            <w:pPr>
              <w:spacing w:after="30" w:before="30" w:line="230"/>
              <w:jc w:val="left"/>
            </w:pPr>
            <w:r>
              <w:rPr>
                <w:b w:val="false"/>
                <w:bCs w:val="false"/>
                <w:sz w:val="17"/>
                <w:szCs w:val="17"/>
              </w:rPr>
              <w:t xml:space="preserve">An einen Verbraucher vor Ort gelieferte Strommenge und damit die Abrechnungsbasis des PV-Stromlieferpreises</w:t>
            </w:r>
          </w:p>
        </w:tc>
        <w:tc>
          <w:tcPr>
            <w:tcW w:type="dxa" w:w="2738"/>
            <w:shd w:fill="F2F5FA" w:color="auto" w:val="clear"/>
            <w:vAlign w:val="center"/>
          </w:tcPr>
          <w:p>
            <w:pPr>
              <w:spacing w:after="30" w:before="30" w:line="230"/>
              <w:jc w:val="left"/>
            </w:pPr>
            <w:r>
              <w:rPr>
                <w:b w:val="false"/>
                <w:bCs w:val="false"/>
                <w:sz w:val="17"/>
                <w:szCs w:val="17"/>
              </w:rPr>
              <w:t xml:space="preserve">Hilfsrechner Lieferpreis; PV-Stromaufteilung → D5</w:t>
            </w:r>
          </w:p>
        </w:tc>
      </w:tr>
      <w:tr>
        <w:tc>
          <w:tcPr>
            <w:tcW w:type="dxa" w:w="2400"/>
            <w:vAlign w:val="center"/>
          </w:tcPr>
          <w:p>
            <w:pPr>
              <w:spacing w:after="30" w:before="30" w:line="230"/>
              <w:jc w:val="left"/>
            </w:pPr>
            <w:r>
              <w:rPr>
                <w:b/>
                <w:bCs/>
                <w:sz w:val="17"/>
                <w:szCs w:val="17"/>
              </w:rPr>
              <w:t xml:space="preserve">PV-Miete</w:t>
            </w:r>
          </w:p>
        </w:tc>
        <w:tc>
          <w:tcPr>
            <w:tcW w:type="dxa" w:w="4500"/>
            <w:vAlign w:val="center"/>
          </w:tcPr>
          <w:p>
            <w:pPr>
              <w:spacing w:after="30" w:before="30" w:line="230"/>
              <w:jc w:val="left"/>
            </w:pPr>
            <w:r>
              <w:rPr>
                <w:b w:val="false"/>
                <w:bCs w:val="false"/>
                <w:sz w:val="17"/>
                <w:szCs w:val="17"/>
              </w:rPr>
              <w:t xml:space="preserve">Miete für die </w:t>
            </w:r>
            <w:r>
              <w:rPr>
                <w:b/>
                <w:bCs/>
                <w:sz w:val="17"/>
                <w:szCs w:val="17"/>
              </w:rPr>
              <w:t xml:space="preserve">gesamte</w:t>
            </w:r>
            <w:r>
              <w:rPr>
                <w:b w:val="false"/>
                <w:bCs w:val="false"/>
                <w:sz w:val="17"/>
                <w:szCs w:val="17"/>
              </w:rPr>
              <w:t xml:space="preserve"> Anlage; der Mieter wird dadurch Betreiber und verbraucht den Strom als Eigenverbrauch</w:t>
            </w:r>
          </w:p>
        </w:tc>
        <w:tc>
          <w:tcPr>
            <w:tcW w:type="dxa" w:w="2738"/>
            <w:vAlign w:val="center"/>
          </w:tcPr>
          <w:p>
            <w:pPr>
              <w:spacing w:after="30" w:before="30" w:line="230"/>
              <w:jc w:val="left"/>
            </w:pPr>
            <w:r>
              <w:rPr>
                <w:b w:val="false"/>
                <w:bCs w:val="false"/>
                <w:sz w:val="17"/>
                <w:szCs w:val="17"/>
              </w:rPr>
              <w:t xml:space="preserve">Hilfsrechner PV-Miete; Familie PV-Mieten → D5</w:t>
            </w:r>
          </w:p>
        </w:tc>
      </w:tr>
      <w:tr>
        <w:tc>
          <w:tcPr>
            <w:tcW w:type="dxa" w:w="2400"/>
            <w:shd w:fill="F2F5FA" w:color="auto" w:val="clear"/>
            <w:vAlign w:val="center"/>
          </w:tcPr>
          <w:p>
            <w:pPr>
              <w:spacing w:after="30" w:before="30" w:line="230"/>
              <w:jc w:val="left"/>
            </w:pPr>
            <w:r>
              <w:rPr>
                <w:b/>
                <w:bCs/>
                <w:sz w:val="17"/>
                <w:szCs w:val="17"/>
              </w:rPr>
              <w:t xml:space="preserve">PV Teilmiete</w:t>
            </w:r>
          </w:p>
        </w:tc>
        <w:tc>
          <w:tcPr>
            <w:tcW w:type="dxa" w:w="4500"/>
            <w:shd w:fill="F2F5FA" w:color="auto" w:val="clear"/>
            <w:vAlign w:val="center"/>
          </w:tcPr>
          <w:p>
            <w:pPr>
              <w:spacing w:after="30" w:before="30" w:line="230"/>
              <w:jc w:val="left"/>
            </w:pPr>
            <w:r>
              <w:rPr>
                <w:b w:val="false"/>
                <w:bCs w:val="false"/>
                <w:sz w:val="17"/>
                <w:szCs w:val="17"/>
              </w:rPr>
              <w:t xml:space="preserve">Miete eines </w:t>
            </w:r>
            <w:r>
              <w:rPr>
                <w:b/>
                <w:bCs/>
                <w:sz w:val="17"/>
                <w:szCs w:val="17"/>
              </w:rPr>
              <w:t xml:space="preserve">Anteils</w:t>
            </w:r>
            <w:r>
              <w:rPr>
                <w:b w:val="false"/>
                <w:bCs w:val="false"/>
                <w:sz w:val="17"/>
                <w:szCs w:val="17"/>
              </w:rPr>
              <w:t xml:space="preserve"> der Anlage; der Teilmieter wird stiller Mitbetreiber und verbraucht seinen Anteil selbst</w:t>
            </w:r>
          </w:p>
        </w:tc>
        <w:tc>
          <w:tcPr>
            <w:tcW w:type="dxa" w:w="2738"/>
            <w:shd w:fill="F2F5FA" w:color="auto" w:val="clear"/>
            <w:vAlign w:val="center"/>
          </w:tcPr>
          <w:p>
            <w:pPr>
              <w:spacing w:after="30" w:before="30" w:line="230"/>
              <w:jc w:val="left"/>
            </w:pPr>
            <w:r>
              <w:rPr>
                <w:b w:val="false"/>
                <w:bCs w:val="false"/>
                <w:sz w:val="17"/>
                <w:szCs w:val="17"/>
              </w:rPr>
              <w:t xml:space="preserve">Familie PV-Teil-Mieten → D5</w:t>
            </w:r>
          </w:p>
        </w:tc>
      </w:tr>
    </w:tbl>
    <w:p>
      <w:pPr>
        <w:spacing w:after="100"/>
      </w:pPr>
      <w:r>
        <w:rPr>
          <w:sz w:val="8"/>
          <w:szCs w:val="8"/>
        </w:rPr>
        <w:t xml:space="preserve"/>
      </w:r>
    </w:p>
    <w:p>
      <w:pPr>
        <w:pStyle w:val="Heading2"/>
      </w:pPr>
      <w:bookmarkStart w:id="900018" w:name="_Toc90000018"/>
      <w:r>
        <w:t xml:space="preserve">M2  Methodik-Matrix aller 25 Betreibermodelle</w:t>
      </w:r>
      <w:bookmarkEnd w:id="900018"/>
    </w:p>
    <w:p>
      <w:r>
        <w:t xml:space="preserve">Die Matrix führt für jedes Modell zusammen, wohin der Strom fließt, welcher Vergütungsweg heute greift, wer welche Erlöse erhält, wer welche Kosten trägt und welche rechtlichen Regelungen zu prüfen sind. Die Spalten „Stromverwertung“, „Erlöse je Akteur“ und „Kosten je Akteur“ sind </w:t>
      </w:r>
      <w:r>
        <w:rPr>
          <w:b/>
          <w:bCs/>
        </w:rPr>
        <w:t xml:space="preserve">streng aus den wörtlichen Modellbeschreibungen</w:t>
      </w:r>
      <w:r>
        <w:t xml:space="preserve"> in A2 abgeleitet; wo eine Beschreibung einen Aspekt offenlässt, steht „modellabhängig konfigurierbar“. Die Vergütungs- und Rechtsangaben stammen aus Teil B [1][2][4].</w:t>
      </w:r>
    </w:p>
    <w:p>
      <w:pPr>
        <w:keepNext/>
        <w:spacing w:after="100" w:before="180"/>
      </w:pPr>
      <w:r>
        <w:rPr>
          <w:b/>
          <w:bCs/>
        </w:rPr>
        <w:t xml:space="preserve">Legende der beiden Vergütungspfade</w:t>
      </w:r>
      <w:r>
        <w:t xml:space="preserve"> (Gebäudeanlagen, Inbetriebnahme ab 01.08.2026, ct/kWh netto, Größenklassen als Mischsatz nach § 23c EEG) [1][2]:</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900"/>
        <w:gridCol w:w="2500"/>
        <w:gridCol w:w="2500"/>
        <w:gridCol w:w="2738"/>
      </w:tblGrid>
      <w:tr>
        <w:trPr>
          <w:tblHeader/>
        </w:trPr>
        <w:tc>
          <w:tcPr>
            <w:tcW w:type="dxa" w:w="1900"/>
            <w:shd w:fill="1F3864" w:color="auto" w:val="clear"/>
            <w:vAlign w:val="center"/>
          </w:tcPr>
          <w:p>
            <w:pPr>
              <w:spacing w:after="30" w:before="30" w:line="230"/>
              <w:jc w:val="left"/>
            </w:pPr>
            <w:r>
              <w:rPr>
                <w:b/>
                <w:bCs/>
                <w:color w:val="FFFFFF"/>
                <w:sz w:val="17"/>
                <w:szCs w:val="17"/>
              </w:rPr>
              <w:t xml:space="preserve">Pfad</w:t>
            </w:r>
          </w:p>
        </w:tc>
        <w:tc>
          <w:tcPr>
            <w:tcW w:type="dxa" w:w="2500"/>
            <w:shd w:fill="1F3864" w:color="auto" w:val="clear"/>
            <w:vAlign w:val="center"/>
          </w:tcPr>
          <w:p>
            <w:pPr>
              <w:spacing w:after="30" w:before="30" w:line="230"/>
              <w:jc w:val="left"/>
            </w:pPr>
            <w:r>
              <w:rPr>
                <w:b/>
                <w:bCs/>
                <w:color w:val="FFFFFF"/>
                <w:sz w:val="17"/>
                <w:szCs w:val="17"/>
              </w:rPr>
              <w:t xml:space="preserve">Feste Einspeisevergütung (nur ≤ 100 kW)</w:t>
            </w:r>
          </w:p>
        </w:tc>
        <w:tc>
          <w:tcPr>
            <w:tcW w:type="dxa" w:w="2500"/>
            <w:shd w:fill="1F3864" w:color="auto" w:val="clear"/>
            <w:vAlign w:val="center"/>
          </w:tcPr>
          <w:p>
            <w:pPr>
              <w:spacing w:after="30" w:before="30" w:line="230"/>
              <w:jc w:val="left"/>
            </w:pPr>
            <w:r>
              <w:rPr>
                <w:b/>
                <w:bCs/>
                <w:color w:val="FFFFFF"/>
                <w:sz w:val="17"/>
                <w:szCs w:val="17"/>
              </w:rPr>
              <w:t xml:space="preserve">Geförderte Direktvermarktung (anzulegender Wert)</w:t>
            </w:r>
          </w:p>
        </w:tc>
        <w:tc>
          <w:tcPr>
            <w:tcW w:type="dxa" w:w="2738"/>
            <w:shd w:fill="1F3864" w:color="auto" w:val="clear"/>
            <w:vAlign w:val="center"/>
          </w:tcPr>
          <w:p>
            <w:pPr>
              <w:spacing w:after="30" w:before="30" w:line="230"/>
              <w:jc w:val="left"/>
            </w:pPr>
            <w:r>
              <w:rPr>
                <w:b/>
                <w:bCs/>
                <w:color w:val="FFFFFF"/>
                <w:sz w:val="17"/>
                <w:szCs w:val="17"/>
              </w:rPr>
              <w:t xml:space="preserve">Ergänzungen</w:t>
            </w:r>
          </w:p>
        </w:tc>
      </w:tr>
      <w:tr>
        <w:tc>
          <w:tcPr>
            <w:tcW w:type="dxa" w:w="1900"/>
            <w:vAlign w:val="center"/>
          </w:tcPr>
          <w:p>
            <w:pPr>
              <w:spacing w:after="30" w:before="30" w:line="230"/>
              <w:jc w:val="left"/>
            </w:pPr>
            <w:r>
              <w:rPr>
                <w:b/>
                <w:bCs/>
                <w:sz w:val="17"/>
                <w:szCs w:val="17"/>
              </w:rPr>
              <w:t xml:space="preserve">Pfad V</w:t>
            </w:r>
            <w:r>
              <w:rPr>
                <w:sz w:val="17"/>
                <w:szCs w:val="17"/>
              </w:rPr>
              <w:t xml:space="preserve"> – Volleinspeisung</w:t>
            </w:r>
          </w:p>
        </w:tc>
        <w:tc>
          <w:tcPr>
            <w:tcW w:type="dxa" w:w="2500"/>
            <w:vAlign w:val="center"/>
          </w:tcPr>
          <w:p>
            <w:pPr>
              <w:spacing w:after="30" w:before="30" w:line="230"/>
              <w:jc w:val="left"/>
            </w:pPr>
            <w:r>
              <w:rPr>
                <w:sz w:val="17"/>
                <w:szCs w:val="17"/>
              </w:rPr>
              <w:t xml:space="preserve">12,22 (≤ 10 kW) · 10,24 (≤ 40 kW) · 10,24 (≤ 100 kW)</w:t>
            </w:r>
          </w:p>
        </w:tc>
        <w:tc>
          <w:tcPr>
            <w:tcW w:type="dxa" w:w="2500"/>
            <w:vAlign w:val="center"/>
          </w:tcPr>
          <w:p>
            <w:pPr>
              <w:spacing w:after="30" w:before="30" w:line="230"/>
              <w:jc w:val="left"/>
            </w:pPr>
            <w:r>
              <w:rPr>
                <w:sz w:val="17"/>
                <w:szCs w:val="17"/>
              </w:rPr>
              <w:t xml:space="preserve">12,62 · 10,64 · 10,64 · 8,85 (≤ 400 kW) · 7,63 (≤ 1.000 kW)</w:t>
            </w:r>
          </w:p>
        </w:tc>
        <w:tc>
          <w:tcPr>
            <w:tcW w:type="dxa" w:w="2738"/>
            <w:vAlign w:val="center"/>
          </w:tcPr>
          <w:p>
            <w:pPr>
              <w:spacing w:after="30" w:before="30" w:line="230"/>
              <w:jc w:val="left"/>
            </w:pPr>
            <w:r>
              <w:rPr>
                <w:sz w:val="17"/>
                <w:szCs w:val="17"/>
              </w:rPr>
              <w:t xml:space="preserve">Zuschlag § 48 Abs. 2a nur für Gebäudeanlagen und nur bei Meldung in Textform vor Inbetriebnahme; &gt; 100 kWp Direktvermarktungspflicht; Gebäude &gt; 1.000 kWp Ausschreibung</w:t>
            </w:r>
          </w:p>
        </w:tc>
      </w:tr>
      <w:tr>
        <w:tc>
          <w:tcPr>
            <w:tcW w:type="dxa" w:w="1900"/>
            <w:shd w:fill="F2F5FA" w:color="auto" w:val="clear"/>
            <w:vAlign w:val="center"/>
          </w:tcPr>
          <w:p>
            <w:pPr>
              <w:spacing w:after="30" w:before="30" w:line="230"/>
              <w:jc w:val="left"/>
            </w:pPr>
            <w:r>
              <w:rPr>
                <w:b/>
                <w:bCs/>
                <w:sz w:val="17"/>
                <w:szCs w:val="17"/>
              </w:rPr>
              <w:t xml:space="preserve">Pfad Ü</w:t>
            </w:r>
            <w:r>
              <w:rPr>
                <w:sz w:val="17"/>
                <w:szCs w:val="17"/>
              </w:rPr>
              <w:t xml:space="preserve"> – Überschusseinspeisung</w:t>
            </w:r>
          </w:p>
        </w:tc>
        <w:tc>
          <w:tcPr>
            <w:tcW w:type="dxa" w:w="2500"/>
            <w:shd w:fill="F2F5FA" w:color="auto" w:val="clear"/>
            <w:vAlign w:val="center"/>
          </w:tcPr>
          <w:p>
            <w:pPr>
              <w:spacing w:after="30" w:before="30" w:line="230"/>
              <w:jc w:val="left"/>
            </w:pPr>
            <w:r>
              <w:rPr>
                <w:sz w:val="17"/>
                <w:szCs w:val="17"/>
              </w:rPr>
              <w:t xml:space="preserve">7,70 (≤ 10 kW) · 6,66 (≤ 40 kW) · 5,44 (≤ 100 kW)</w:t>
            </w:r>
          </w:p>
        </w:tc>
        <w:tc>
          <w:tcPr>
            <w:tcW w:type="dxa" w:w="2500"/>
            <w:shd w:fill="F2F5FA" w:color="auto" w:val="clear"/>
            <w:vAlign w:val="center"/>
          </w:tcPr>
          <w:p>
            <w:pPr>
              <w:spacing w:after="30" w:before="30" w:line="230"/>
              <w:jc w:val="left"/>
            </w:pPr>
            <w:r>
              <w:rPr>
                <w:sz w:val="17"/>
                <w:szCs w:val="17"/>
              </w:rPr>
              <w:t xml:space="preserve">8,10 · 7,06 · 5,84 · 5,84 · 5,84</w:t>
            </w:r>
          </w:p>
        </w:tc>
        <w:tc>
          <w:tcPr>
            <w:tcW w:type="dxa" w:w="2738"/>
            <w:shd w:fill="F2F5FA" w:color="auto" w:val="clear"/>
            <w:vAlign w:val="center"/>
          </w:tcPr>
          <w:p>
            <w:pPr>
              <w:spacing w:after="30" w:before="30" w:line="230"/>
              <w:jc w:val="left"/>
            </w:pPr>
            <w:r>
              <w:rPr>
                <w:sz w:val="17"/>
                <w:szCs w:val="17"/>
              </w:rPr>
              <w:t xml:space="preserve">&gt; 100 kWp Direktvermarktungspflicht; sonstige Direktvermarktung/PPA jederzeit möglich; Mieterstromzuschlag § 48a nur in Liefermodellen</w:t>
            </w:r>
          </w:p>
        </w:tc>
      </w:tr>
    </w:tbl>
    <w:p>
      <w:pPr>
        <w:spacing w:after="100"/>
      </w:pPr>
      <w:r>
        <w:rPr>
          <w:sz w:val="8"/>
          <w:szCs w:val="8"/>
        </w:rPr>
        <w:t xml:space="preserve"/>
      </w:r>
    </w:p>
    <w:p>
      <w:r>
        <w:rPr>
          <w:b/>
          <w:bCs/>
        </w:rPr>
        <w:t xml:space="preserve">Für alle 25 Modelle gleichermaßen zu berücksichtigen</w:t>
      </w:r>
      <w:r>
        <w:t xml:space="preserve"> (deshalb in den Zeilen nur als Kürzel): </w:t>
      </w:r>
      <w:r>
        <w:rPr>
          <w:b/>
          <w:bCs/>
        </w:rPr>
        <w:t xml:space="preserve">§ 51/§ 51a</w:t>
      </w:r>
      <w:r>
        <w:t xml:space="preserve"> – anzulegender Wert null in Viertelstunden mit negativem Spotpreis, Nachholung mit Faktor 0,5; </w:t>
      </w:r>
      <w:r>
        <w:rPr>
          <w:b/>
          <w:bCs/>
        </w:rPr>
        <w:t xml:space="preserve">§ 9</w:t>
      </w:r>
      <w:r>
        <w:t xml:space="preserve"> – bei fester Einspeisevergütung ohne intelligentes Messsystem Begrenzung der Einspeisung auf 60 %, in der Direktvermarktung keine Kappung; </w:t>
      </w:r>
      <w:r>
        <w:rPr>
          <w:b/>
          <w:bCs/>
        </w:rPr>
        <w:t xml:space="preserve">§ 25</w:t>
      </w:r>
      <w:r>
        <w:t xml:space="preserve"> – Bestandsschutz bei Inbetriebnahme bis 31.12.2026 (siehe M4 und B3).</w:t>
      </w:r>
    </w:p>
    <w:p>
      <w:r>
        <w:rPr>
          <w:i/>
          <w:iCs/>
          <w:color w:val="44546A"/>
          <w:sz w:val="19"/>
          <w:szCs w:val="19"/>
        </w:rPr>
        <w:t xml:space="preserve">Die folgenden fünf Familienmatrizen sind wegen ihrer Breite im </w:t>
      </w:r>
      <w:r>
        <w:rPr>
          <w:b/>
          <w:bCs/>
          <w:i/>
          <w:iCs/>
          <w:color w:val="44546A"/>
          <w:sz w:val="19"/>
          <w:szCs w:val="19"/>
        </w:rPr>
        <w:t xml:space="preserve">Querformat</w:t>
      </w:r>
      <w:r>
        <w:rPr>
          <w:i/>
          <w:iCs/>
          <w:color w:val="44546A"/>
          <w:sz w:val="19"/>
          <w:szCs w:val="19"/>
        </w:rPr>
        <w:t xml:space="preserve"> gesetzt.</w:t>
      </w:r>
    </w:p>
    <w:p>
      <w:pPr>
        <w:sectPr>
          <w:footerReference w:type="default" r:id="rId7"/>
          <w:footerReference w:type="first" r:id="rId8"/>
          <w:pgSz w:w="11906" w:h="16838" w:orient="portrait"/>
          <w:pgMar w:top="1418" w:right="1134" w:bottom="1276" w:left="1134" w:header="624" w:footer="624" w:gutter="0"/>
          <w:pgNumType/>
          <w:titlePg/>
          <w:docGrid w:linePitch="360"/>
        </w:sectPr>
      </w:pPr>
    </w:p>
    <w:p>
      <w:pPr>
        <w:pStyle w:val="Heading3"/>
      </w:pPr>
      <w:bookmarkStart w:id="900019" w:name="_Toc90000019"/>
      <w:r>
        <w:t xml:space="preserve">Familie PV-Netz-Einspeisung</w:t>
      </w:r>
      <w:bookmarkEnd w:id="900019"/>
    </w:p>
    <w:tbl>
      <w:tblPr>
        <w:tblW w:type="dxa" w:w="14570"/>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400"/>
        <w:gridCol w:w="1400"/>
        <w:gridCol w:w="1700"/>
        <w:gridCol w:w="1850"/>
        <w:gridCol w:w="2600"/>
        <w:gridCol w:w="2200"/>
        <w:gridCol w:w="3420"/>
      </w:tblGrid>
      <w:tr>
        <w:trPr>
          <w:tblHeader/>
        </w:trPr>
        <w:tc>
          <w:tcPr>
            <w:tcW w:type="dxa" w:w="1400"/>
            <w:shd w:fill="1F3864" w:color="auto" w:val="clear"/>
            <w:vAlign w:val="center"/>
          </w:tcPr>
          <w:p>
            <w:pPr>
              <w:spacing w:after="30" w:before="30" w:line="230"/>
              <w:jc w:val="left"/>
            </w:pPr>
            <w:r>
              <w:rPr>
                <w:b/>
                <w:bCs/>
                <w:color w:val="FFFFFF"/>
                <w:sz w:val="16"/>
                <w:szCs w:val="16"/>
              </w:rPr>
              <w:t xml:space="preserve">Modell</w:t>
            </w:r>
          </w:p>
        </w:tc>
        <w:tc>
          <w:tcPr>
            <w:tcW w:type="dxa" w:w="1400"/>
            <w:shd w:fill="1F3864" w:color="auto" w:val="clear"/>
            <w:vAlign w:val="center"/>
          </w:tcPr>
          <w:p>
            <w:pPr>
              <w:spacing w:after="30" w:before="30" w:line="230"/>
              <w:jc w:val="left"/>
            </w:pPr>
            <w:r>
              <w:rPr>
                <w:b/>
                <w:bCs/>
                <w:color w:val="FFFFFF"/>
                <w:sz w:val="16"/>
                <w:szCs w:val="16"/>
              </w:rPr>
              <w:t xml:space="preserve">Konstellation</w:t>
            </w:r>
          </w:p>
        </w:tc>
        <w:tc>
          <w:tcPr>
            <w:tcW w:type="dxa" w:w="1700"/>
            <w:shd w:fill="1F3864" w:color="auto" w:val="clear"/>
            <w:vAlign w:val="center"/>
          </w:tcPr>
          <w:p>
            <w:pPr>
              <w:spacing w:after="30" w:before="30" w:line="230"/>
              <w:jc w:val="left"/>
            </w:pPr>
            <w:r>
              <w:rPr>
                <w:b/>
                <w:bCs/>
                <w:color w:val="FFFFFF"/>
                <w:sz w:val="16"/>
                <w:szCs w:val="16"/>
              </w:rPr>
              <w:t xml:space="preserve">Stromverwertung</w:t>
            </w:r>
          </w:p>
        </w:tc>
        <w:tc>
          <w:tcPr>
            <w:tcW w:type="dxa" w:w="1850"/>
            <w:shd w:fill="1F3864" w:color="auto" w:val="clear"/>
            <w:vAlign w:val="center"/>
          </w:tcPr>
          <w:p>
            <w:pPr>
              <w:spacing w:after="30" w:before="30" w:line="230"/>
              <w:jc w:val="left"/>
            </w:pPr>
            <w:r>
              <w:rPr>
                <w:b/>
                <w:bCs/>
                <w:color w:val="FFFFFF"/>
                <w:sz w:val="16"/>
                <w:szCs w:val="16"/>
              </w:rPr>
              <w:t xml:space="preserve">Vergütungsweg (IBN 08/2026)</w:t>
            </w:r>
          </w:p>
        </w:tc>
        <w:tc>
          <w:tcPr>
            <w:tcW w:type="dxa" w:w="2600"/>
            <w:shd w:fill="1F3864" w:color="auto" w:val="clear"/>
            <w:vAlign w:val="center"/>
          </w:tcPr>
          <w:p>
            <w:pPr>
              <w:spacing w:after="30" w:before="30" w:line="230"/>
              <w:jc w:val="left"/>
            </w:pPr>
            <w:r>
              <w:rPr>
                <w:b/>
                <w:bCs/>
                <w:color w:val="FFFFFF"/>
                <w:sz w:val="16"/>
                <w:szCs w:val="16"/>
              </w:rPr>
              <w:t xml:space="preserve">Erlöse je Akteur</w:t>
            </w:r>
          </w:p>
        </w:tc>
        <w:tc>
          <w:tcPr>
            <w:tcW w:type="dxa" w:w="2200"/>
            <w:shd w:fill="1F3864" w:color="auto" w:val="clear"/>
            <w:vAlign w:val="center"/>
          </w:tcPr>
          <w:p>
            <w:pPr>
              <w:spacing w:after="30" w:before="30" w:line="230"/>
              <w:jc w:val="left"/>
            </w:pPr>
            <w:r>
              <w:rPr>
                <w:b/>
                <w:bCs/>
                <w:color w:val="FFFFFF"/>
                <w:sz w:val="16"/>
                <w:szCs w:val="16"/>
              </w:rPr>
              <w:t xml:space="preserve">Kosten je Akteur</w:t>
            </w:r>
          </w:p>
        </w:tc>
        <w:tc>
          <w:tcPr>
            <w:tcW w:type="dxa" w:w="3420"/>
            <w:shd w:fill="1F3864" w:color="auto" w:val="clear"/>
            <w:vAlign w:val="center"/>
          </w:tcPr>
          <w:p>
            <w:pPr>
              <w:spacing w:after="30" w:before="30" w:line="230"/>
              <w:jc w:val="left"/>
            </w:pPr>
            <w:r>
              <w:rPr>
                <w:b/>
                <w:bCs/>
                <w:color w:val="FFFFFF"/>
                <w:sz w:val="16"/>
                <w:szCs w:val="16"/>
              </w:rPr>
              <w:t xml:space="preserve">Rechtliche Trigger</w:t>
            </w:r>
          </w:p>
        </w:tc>
      </w:tr>
      <w:tr>
        <w:tc>
          <w:tcPr>
            <w:tcW w:type="dxa" w:w="1400"/>
            <w:vAlign w:val="center"/>
          </w:tcPr>
          <w:p>
            <w:pPr>
              <w:spacing w:after="30" w:before="30" w:line="230"/>
              <w:jc w:val="left"/>
            </w:pPr>
            <w:r>
              <w:rPr>
                <w:b/>
                <w:bCs/>
                <w:sz w:val="16"/>
                <w:szCs w:val="16"/>
              </w:rPr>
              <w:t xml:space="preserve">PV-Netz-Einspeisung 1</w:t>
            </w:r>
            <w:r>
              <w:rPr>
                <w:sz w:val="16"/>
                <w:szCs w:val="16"/>
              </w:rPr>
              <w:t xml:space="preserve"> → Fallbeispiel Teil C</w:t>
            </w:r>
          </w:p>
        </w:tc>
        <w:tc>
          <w:tcPr>
            <w:tcW w:type="dxa" w:w="1400"/>
            <w:vAlign w:val="center"/>
          </w:tcPr>
          <w:p>
            <w:pPr>
              <w:spacing w:after="30" w:before="30" w:line="230"/>
              <w:jc w:val="left"/>
            </w:pPr>
            <w:r>
              <w:rPr>
                <w:rFonts w:ascii="Consolas" w:cs="Consolas" w:eastAsia="Consolas" w:hAnsi="Consolas"/>
                <w:b/>
                <w:bCs/>
                <w:sz w:val="16"/>
                <w:szCs w:val="16"/>
              </w:rPr>
              <w:t xml:space="preserve">I = B = G</w:t>
            </w:r>
            <w:r>
              <w:rPr>
                <w:sz w:val="16"/>
                <w:szCs w:val="16"/>
              </w:rPr>
              <w:t xml:space="preserve">, 1 Partei</w:t>
            </w:r>
          </w:p>
        </w:tc>
        <w:tc>
          <w:tcPr>
            <w:tcW w:type="dxa" w:w="1700"/>
            <w:vAlign w:val="center"/>
          </w:tcPr>
          <w:p>
            <w:pPr>
              <w:spacing w:after="30" w:before="30" w:line="230"/>
              <w:jc w:val="left"/>
            </w:pPr>
            <w:r>
              <w:rPr>
                <w:sz w:val="16"/>
                <w:szCs w:val="16"/>
              </w:rPr>
              <w:t xml:space="preserve">100 % Netzeinspeisung; kein Eigenverbrauch, keine Lieferung</w:t>
            </w:r>
          </w:p>
        </w:tc>
        <w:tc>
          <w:tcPr>
            <w:tcW w:type="dxa" w:w="1850"/>
            <w:vAlign w:val="center"/>
          </w:tcPr>
          <w:p>
            <w:pPr>
              <w:spacing w:after="30" w:before="30" w:line="230"/>
              <w:jc w:val="left"/>
            </w:pPr>
            <w:r>
              <w:rPr>
                <w:b/>
                <w:bCs/>
                <w:sz w:val="16"/>
                <w:szCs w:val="16"/>
              </w:rPr>
              <w:t xml:space="preserve">Pfad V</w:t>
            </w:r>
            <w:r>
              <w:rPr>
                <w:sz w:val="16"/>
                <w:szCs w:val="16"/>
              </w:rPr>
              <w:t xml:space="preserve"> (12,22 / 10,24 ct; &gt; 100 kWp DV mit AW Voll)</w:t>
            </w:r>
          </w:p>
        </w:tc>
        <w:tc>
          <w:tcPr>
            <w:tcW w:type="dxa" w:w="2600"/>
            <w:vAlign w:val="center"/>
          </w:tcPr>
          <w:p>
            <w:pPr>
              <w:spacing w:after="30" w:before="30" w:line="230"/>
              <w:jc w:val="left"/>
            </w:pPr>
            <w:r>
              <w:rPr>
                <w:sz w:val="16"/>
                <w:szCs w:val="16"/>
              </w:rPr>
              <w:t xml:space="preserve">I=B=G: gesamte Einspeisevergütung einschließlich Zuschlag § 48 Abs. 2a</w:t>
            </w:r>
          </w:p>
        </w:tc>
        <w:tc>
          <w:tcPr>
            <w:tcW w:type="dxa" w:w="2200"/>
            <w:vAlign w:val="center"/>
          </w:tcPr>
          <w:p>
            <w:pPr>
              <w:spacing w:after="30" w:before="30" w:line="230"/>
              <w:jc w:val="left"/>
            </w:pPr>
            <w:r>
              <w:rPr>
                <w:sz w:val="16"/>
                <w:szCs w:val="16"/>
              </w:rPr>
              <w:t xml:space="preserve">I=B=G: Investition + Betriebskosten (Kostenträger I oder B wählbar); kein Flächenentgelt, da eigene Fläche</w:t>
            </w:r>
          </w:p>
        </w:tc>
        <w:tc>
          <w:tcPr>
            <w:tcW w:type="dxa" w:w="3420"/>
            <w:vAlign w:val="center"/>
          </w:tcPr>
          <w:p>
            <w:pPr>
              <w:spacing w:after="30" w:before="30" w:line="230"/>
              <w:jc w:val="left"/>
            </w:pPr>
            <w:r>
              <w:rPr>
                <w:sz w:val="16"/>
                <w:szCs w:val="16"/>
              </w:rPr>
              <w:t xml:space="preserve">Zuschlag § 48 Abs. 2a: nur Gebäude, </w:t>
            </w:r>
            <w:r>
              <w:rPr>
                <w:b/>
                <w:bCs/>
                <w:sz w:val="16"/>
                <w:szCs w:val="16"/>
              </w:rPr>
              <w:t xml:space="preserve">Meldung vor IBN</w:t>
            </w:r>
            <w:r>
              <w:rPr>
                <w:sz w:val="16"/>
                <w:szCs w:val="16"/>
              </w:rPr>
              <w:t xml:space="preserve">; kein Mieterstromzuschlag (keine Lieferung); § 51/§ 51a; § 9; Vergleichsmaßstab sind die Stromgestehungskosten</w:t>
            </w:r>
          </w:p>
        </w:tc>
      </w:tr>
      <w:tr>
        <w:tc>
          <w:tcPr>
            <w:tcW w:type="dxa" w:w="1400"/>
            <w:shd w:fill="F2F5FA" w:color="auto" w:val="clear"/>
            <w:vAlign w:val="center"/>
          </w:tcPr>
          <w:p>
            <w:pPr>
              <w:spacing w:after="30" w:before="30" w:line="230"/>
              <w:jc w:val="left"/>
            </w:pPr>
            <w:r>
              <w:rPr>
                <w:b/>
                <w:bCs/>
                <w:sz w:val="16"/>
                <w:szCs w:val="16"/>
              </w:rPr>
              <w:t xml:space="preserve">PV-Netz-Einspeisung 2</w:t>
            </w:r>
          </w:p>
        </w:tc>
        <w:tc>
          <w:tcPr>
            <w:tcW w:type="dxa" w:w="1400"/>
            <w:shd w:fill="F2F5FA" w:color="auto" w:val="clear"/>
            <w:vAlign w:val="center"/>
          </w:tcPr>
          <w:p>
            <w:pPr>
              <w:spacing w:after="30" w:before="30" w:line="230"/>
              <w:jc w:val="left"/>
            </w:pPr>
            <w:r>
              <w:rPr>
                <w:rFonts w:ascii="Consolas" w:cs="Consolas" w:eastAsia="Consolas" w:hAnsi="Consolas"/>
                <w:b/>
                <w:bCs/>
                <w:sz w:val="16"/>
                <w:szCs w:val="16"/>
              </w:rPr>
              <w:t xml:space="preserve">I = B</w:t>
            </w:r>
            <w:r>
              <w:rPr>
                <w:sz w:val="16"/>
                <w:szCs w:val="16"/>
              </w:rPr>
              <w:t xml:space="preserve"> | </w:t>
            </w:r>
            <w:r>
              <w:rPr>
                <w:rFonts w:ascii="Consolas" w:cs="Consolas" w:eastAsia="Consolas" w:hAnsi="Consolas"/>
                <w:b/>
                <w:bCs/>
                <w:sz w:val="16"/>
                <w:szCs w:val="16"/>
              </w:rPr>
              <w:t xml:space="preserve">G</w:t>
            </w:r>
            <w:r>
              <w:rPr>
                <w:sz w:val="16"/>
                <w:szCs w:val="16"/>
              </w:rPr>
              <w:t xml:space="preserve">, 2 Parteien</w:t>
            </w:r>
          </w:p>
        </w:tc>
        <w:tc>
          <w:tcPr>
            <w:tcW w:type="dxa" w:w="1700"/>
            <w:shd w:fill="F2F5FA" w:color="auto" w:val="clear"/>
            <w:vAlign w:val="center"/>
          </w:tcPr>
          <w:p>
            <w:pPr>
              <w:spacing w:after="30" w:before="30" w:line="230"/>
              <w:jc w:val="left"/>
            </w:pPr>
            <w:r>
              <w:rPr>
                <w:sz w:val="16"/>
                <w:szCs w:val="16"/>
              </w:rPr>
              <w:t xml:space="preserve">100 % Netzeinspeisung; kein Eigenverbrauch, keine Lieferung</w:t>
            </w:r>
          </w:p>
        </w:tc>
        <w:tc>
          <w:tcPr>
            <w:tcW w:type="dxa" w:w="1850"/>
            <w:shd w:fill="F2F5FA" w:color="auto" w:val="clear"/>
            <w:vAlign w:val="center"/>
          </w:tcPr>
          <w:p>
            <w:pPr>
              <w:spacing w:after="30" w:before="30" w:line="230"/>
              <w:jc w:val="left"/>
            </w:pPr>
            <w:r>
              <w:rPr>
                <w:b/>
                <w:bCs/>
                <w:sz w:val="16"/>
                <w:szCs w:val="16"/>
              </w:rPr>
              <w:t xml:space="preserve">Pfad V</w:t>
            </w:r>
          </w:p>
        </w:tc>
        <w:tc>
          <w:tcPr>
            <w:tcW w:type="dxa" w:w="2600"/>
            <w:shd w:fill="F2F5FA" w:color="auto" w:val="clear"/>
            <w:vAlign w:val="center"/>
          </w:tcPr>
          <w:p>
            <w:pPr>
              <w:spacing w:after="30" w:before="30" w:line="230"/>
              <w:jc w:val="left"/>
            </w:pPr>
            <w:r>
              <w:rPr>
                <w:sz w:val="16"/>
                <w:szCs w:val="16"/>
              </w:rPr>
              <w:t xml:space="preserve">I=B: gesamte Einspeisevergütung einschließlich Zuschlag; G: Entgelt für die Flächengestattung – modellabhängig konfigurierbar (Dachmiete/Pacht)</w:t>
            </w:r>
          </w:p>
        </w:tc>
        <w:tc>
          <w:tcPr>
            <w:tcW w:type="dxa" w:w="2200"/>
            <w:shd w:fill="F2F5FA" w:color="auto" w:val="clear"/>
            <w:vAlign w:val="center"/>
          </w:tcPr>
          <w:p>
            <w:pPr>
              <w:spacing w:after="30" w:before="30" w:line="230"/>
              <w:jc w:val="left"/>
            </w:pPr>
            <w:r>
              <w:rPr>
                <w:sz w:val="16"/>
                <w:szCs w:val="16"/>
              </w:rPr>
              <w:t xml:space="preserve">I=B: Investition + Betriebskosten + Flächenentgelt an G; G: keine</w:t>
            </w:r>
          </w:p>
        </w:tc>
        <w:tc>
          <w:tcPr>
            <w:tcW w:type="dxa" w:w="3420"/>
            <w:shd w:fill="F2F5FA" w:color="auto" w:val="clear"/>
            <w:vAlign w:val="center"/>
          </w:tcPr>
          <w:p>
            <w:pPr>
              <w:spacing w:after="30" w:before="30" w:line="230"/>
              <w:jc w:val="left"/>
            </w:pPr>
            <w:r>
              <w:rPr>
                <w:sz w:val="16"/>
                <w:szCs w:val="16"/>
              </w:rPr>
              <w:t xml:space="preserve">wie Modell 1; zusätzlich Gestattungs-/Dachmietvertrag (DGS-Typ 4a/4b), Dachmiete standardmäßig nicht umsatzsteuerbar; Laufzeitkongruenz Pachtvertrag ↔ 20-jährige Vergütungsdauer</w:t>
            </w:r>
          </w:p>
        </w:tc>
      </w:tr>
    </w:tbl>
    <w:p>
      <w:pPr>
        <w:spacing w:after="100"/>
      </w:pPr>
      <w:r>
        <w:rPr>
          <w:sz w:val="8"/>
          <w:szCs w:val="8"/>
        </w:rPr>
        <w:t xml:space="preserve"/>
      </w:r>
    </w:p>
    <w:p>
      <w:pPr>
        <w:pStyle w:val="Heading3"/>
      </w:pPr>
      <w:bookmarkStart w:id="900020" w:name="_Toc90000020"/>
      <w:r>
        <w:t xml:space="preserve">Familie PV-Überschuss-Einspeisung</w:t>
      </w:r>
      <w:bookmarkEnd w:id="900020"/>
    </w:p>
    <w:tbl>
      <w:tblPr>
        <w:tblW w:type="dxa" w:w="14570"/>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400"/>
        <w:gridCol w:w="1400"/>
        <w:gridCol w:w="1700"/>
        <w:gridCol w:w="1850"/>
        <w:gridCol w:w="2600"/>
        <w:gridCol w:w="2200"/>
        <w:gridCol w:w="3420"/>
      </w:tblGrid>
      <w:tr>
        <w:trPr>
          <w:tblHeader/>
        </w:trPr>
        <w:tc>
          <w:tcPr>
            <w:tcW w:type="dxa" w:w="1400"/>
            <w:shd w:fill="1F3864" w:color="auto" w:val="clear"/>
            <w:vAlign w:val="center"/>
          </w:tcPr>
          <w:p>
            <w:pPr>
              <w:spacing w:after="30" w:before="30" w:line="230"/>
              <w:jc w:val="left"/>
            </w:pPr>
            <w:r>
              <w:rPr>
                <w:b/>
                <w:bCs/>
                <w:color w:val="FFFFFF"/>
                <w:sz w:val="16"/>
                <w:szCs w:val="16"/>
              </w:rPr>
              <w:t xml:space="preserve">Modell</w:t>
            </w:r>
          </w:p>
        </w:tc>
        <w:tc>
          <w:tcPr>
            <w:tcW w:type="dxa" w:w="1400"/>
            <w:shd w:fill="1F3864" w:color="auto" w:val="clear"/>
            <w:vAlign w:val="center"/>
          </w:tcPr>
          <w:p>
            <w:pPr>
              <w:spacing w:after="30" w:before="30" w:line="230"/>
              <w:jc w:val="left"/>
            </w:pPr>
            <w:r>
              <w:rPr>
                <w:b/>
                <w:bCs/>
                <w:color w:val="FFFFFF"/>
                <w:sz w:val="16"/>
                <w:szCs w:val="16"/>
              </w:rPr>
              <w:t xml:space="preserve">Konstellation</w:t>
            </w:r>
          </w:p>
        </w:tc>
        <w:tc>
          <w:tcPr>
            <w:tcW w:type="dxa" w:w="1700"/>
            <w:shd w:fill="1F3864" w:color="auto" w:val="clear"/>
            <w:vAlign w:val="center"/>
          </w:tcPr>
          <w:p>
            <w:pPr>
              <w:spacing w:after="30" w:before="30" w:line="230"/>
              <w:jc w:val="left"/>
            </w:pPr>
            <w:r>
              <w:rPr>
                <w:b/>
                <w:bCs/>
                <w:color w:val="FFFFFF"/>
                <w:sz w:val="16"/>
                <w:szCs w:val="16"/>
              </w:rPr>
              <w:t xml:space="preserve">Stromverwertung</w:t>
            </w:r>
          </w:p>
        </w:tc>
        <w:tc>
          <w:tcPr>
            <w:tcW w:type="dxa" w:w="1850"/>
            <w:shd w:fill="1F3864" w:color="auto" w:val="clear"/>
            <w:vAlign w:val="center"/>
          </w:tcPr>
          <w:p>
            <w:pPr>
              <w:spacing w:after="30" w:before="30" w:line="230"/>
              <w:jc w:val="left"/>
            </w:pPr>
            <w:r>
              <w:rPr>
                <w:b/>
                <w:bCs/>
                <w:color w:val="FFFFFF"/>
                <w:sz w:val="16"/>
                <w:szCs w:val="16"/>
              </w:rPr>
              <w:t xml:space="preserve">Vergütungsweg (IBN 08/2026)</w:t>
            </w:r>
          </w:p>
        </w:tc>
        <w:tc>
          <w:tcPr>
            <w:tcW w:type="dxa" w:w="2600"/>
            <w:shd w:fill="1F3864" w:color="auto" w:val="clear"/>
            <w:vAlign w:val="center"/>
          </w:tcPr>
          <w:p>
            <w:pPr>
              <w:spacing w:after="30" w:before="30" w:line="230"/>
              <w:jc w:val="left"/>
            </w:pPr>
            <w:r>
              <w:rPr>
                <w:b/>
                <w:bCs/>
                <w:color w:val="FFFFFF"/>
                <w:sz w:val="16"/>
                <w:szCs w:val="16"/>
              </w:rPr>
              <w:t xml:space="preserve">Erlöse je Akteur</w:t>
            </w:r>
          </w:p>
        </w:tc>
        <w:tc>
          <w:tcPr>
            <w:tcW w:type="dxa" w:w="2200"/>
            <w:shd w:fill="1F3864" w:color="auto" w:val="clear"/>
            <w:vAlign w:val="center"/>
          </w:tcPr>
          <w:p>
            <w:pPr>
              <w:spacing w:after="30" w:before="30" w:line="230"/>
              <w:jc w:val="left"/>
            </w:pPr>
            <w:r>
              <w:rPr>
                <w:b/>
                <w:bCs/>
                <w:color w:val="FFFFFF"/>
                <w:sz w:val="16"/>
                <w:szCs w:val="16"/>
              </w:rPr>
              <w:t xml:space="preserve">Kosten je Akteur</w:t>
            </w:r>
          </w:p>
        </w:tc>
        <w:tc>
          <w:tcPr>
            <w:tcW w:type="dxa" w:w="3420"/>
            <w:shd w:fill="1F3864" w:color="auto" w:val="clear"/>
            <w:vAlign w:val="center"/>
          </w:tcPr>
          <w:p>
            <w:pPr>
              <w:spacing w:after="30" w:before="30" w:line="230"/>
              <w:jc w:val="left"/>
            </w:pPr>
            <w:r>
              <w:rPr>
                <w:b/>
                <w:bCs/>
                <w:color w:val="FFFFFF"/>
                <w:sz w:val="16"/>
                <w:szCs w:val="16"/>
              </w:rPr>
              <w:t xml:space="preserve">Rechtliche Trigger</w:t>
            </w:r>
          </w:p>
        </w:tc>
      </w:tr>
      <w:tr>
        <w:tc>
          <w:tcPr>
            <w:tcW w:type="dxa" w:w="1400"/>
            <w:vAlign w:val="center"/>
          </w:tcPr>
          <w:p>
            <w:pPr>
              <w:spacing w:after="30" w:before="30" w:line="230"/>
              <w:jc w:val="left"/>
            </w:pPr>
            <w:r>
              <w:rPr>
                <w:b/>
                <w:bCs/>
                <w:sz w:val="16"/>
                <w:szCs w:val="16"/>
              </w:rPr>
              <w:t xml:space="preserve">PV-Überschuss-Einspeisung 1</w:t>
            </w:r>
            <w:r>
              <w:rPr>
                <w:sz w:val="16"/>
                <w:szCs w:val="16"/>
              </w:rPr>
              <w:t xml:space="preserve"> → Fallbeispiel Teil C</w:t>
            </w:r>
          </w:p>
        </w:tc>
        <w:tc>
          <w:tcPr>
            <w:tcW w:type="dxa" w:w="1400"/>
            <w:vAlign w:val="center"/>
          </w:tcPr>
          <w:p>
            <w:pPr>
              <w:spacing w:after="30" w:before="30" w:line="230"/>
              <w:jc w:val="left"/>
            </w:pPr>
            <w:r>
              <w:rPr>
                <w:rFonts w:ascii="Consolas" w:cs="Consolas" w:eastAsia="Consolas" w:hAnsi="Consolas"/>
                <w:b/>
                <w:bCs/>
                <w:sz w:val="16"/>
                <w:szCs w:val="16"/>
              </w:rPr>
              <w:t xml:space="preserve">I = B = G = V_G</w:t>
            </w:r>
            <w:r>
              <w:rPr>
                <w:sz w:val="16"/>
                <w:szCs w:val="16"/>
              </w:rPr>
              <w:t xml:space="preserve">, 1 Partei</w:t>
            </w:r>
          </w:p>
        </w:tc>
        <w:tc>
          <w:tcPr>
            <w:tcW w:type="dxa" w:w="1700"/>
            <w:vAlign w:val="center"/>
          </w:tcPr>
          <w:p>
            <w:pPr>
              <w:spacing w:after="30" w:before="30" w:line="230"/>
              <w:jc w:val="left"/>
            </w:pPr>
            <w:r>
              <w:rPr>
                <w:sz w:val="16"/>
                <w:szCs w:val="16"/>
              </w:rPr>
              <w:t xml:space="preserve">Eigenverbrauch vorrangig, Überschuss ins Netz</w:t>
            </w:r>
          </w:p>
        </w:tc>
        <w:tc>
          <w:tcPr>
            <w:tcW w:type="dxa" w:w="1850"/>
            <w:vAlign w:val="center"/>
          </w:tcPr>
          <w:p>
            <w:pPr>
              <w:spacing w:after="30" w:before="30" w:line="230"/>
              <w:jc w:val="left"/>
            </w:pPr>
            <w:r>
              <w:rPr>
                <w:b/>
                <w:bCs/>
                <w:sz w:val="16"/>
                <w:szCs w:val="16"/>
              </w:rPr>
              <w:t xml:space="preserve">Pfad Ü</w:t>
            </w:r>
            <w:r>
              <w:rPr>
                <w:sz w:val="16"/>
                <w:szCs w:val="16"/>
              </w:rPr>
              <w:t xml:space="preserve"> (7,70 / 6,66 ct; &gt; 100 kWp DV mit AW Teil)</w:t>
            </w:r>
          </w:p>
        </w:tc>
        <w:tc>
          <w:tcPr>
            <w:tcW w:type="dxa" w:w="2600"/>
            <w:vAlign w:val="center"/>
          </w:tcPr>
          <w:p>
            <w:pPr>
              <w:spacing w:after="30" w:before="30" w:line="230"/>
              <w:jc w:val="left"/>
            </w:pPr>
            <w:r>
              <w:rPr>
                <w:sz w:val="16"/>
                <w:szCs w:val="16"/>
              </w:rPr>
              <w:t xml:space="preserve">I=B=G=V_G: Einspeisevergütung für den Überschuss </w:t>
            </w:r>
            <w:r>
              <w:rPr>
                <w:b/>
                <w:bCs/>
                <w:sz w:val="16"/>
                <w:szCs w:val="16"/>
              </w:rPr>
              <w:t xml:space="preserve">+ vermiedener Netzbezug</w:t>
            </w:r>
            <w:r>
              <w:rPr>
                <w:sz w:val="16"/>
                <w:szCs w:val="16"/>
              </w:rPr>
              <w:t xml:space="preserve"> (Netzstrompreis × Eigenverbrauchsmenge)</w:t>
            </w:r>
          </w:p>
        </w:tc>
        <w:tc>
          <w:tcPr>
            <w:tcW w:type="dxa" w:w="2200"/>
            <w:vAlign w:val="center"/>
          </w:tcPr>
          <w:p>
            <w:pPr>
              <w:spacing w:after="30" w:before="30" w:line="230"/>
              <w:jc w:val="left"/>
            </w:pPr>
            <w:r>
              <w:rPr>
                <w:sz w:val="16"/>
                <w:szCs w:val="16"/>
              </w:rPr>
              <w:t xml:space="preserve">I=B=G=V_G: Investition + Betriebskosten + Reststrombezug vom Energieversorger</w:t>
            </w:r>
          </w:p>
        </w:tc>
        <w:tc>
          <w:tcPr>
            <w:tcW w:type="dxa" w:w="3420"/>
            <w:vAlign w:val="center"/>
          </w:tcPr>
          <w:p>
            <w:pPr>
              <w:spacing w:after="30" w:before="30" w:line="230"/>
              <w:jc w:val="left"/>
            </w:pPr>
            <w:r>
              <w:rPr>
                <w:sz w:val="16"/>
                <w:szCs w:val="16"/>
              </w:rPr>
              <w:t xml:space="preserve">Eigenverbrauch ist </w:t>
            </w:r>
            <w:r>
              <w:rPr>
                <w:b/>
                <w:bCs/>
                <w:sz w:val="16"/>
                <w:szCs w:val="16"/>
              </w:rPr>
              <w:t xml:space="preserve">keine Lieferung</w:t>
            </w:r>
            <w:r>
              <w:rPr>
                <w:sz w:val="16"/>
                <w:szCs w:val="16"/>
              </w:rPr>
              <w:t xml:space="preserve"> → keine Versorgerpflichten, kein Mieterstromzuschlag; § 51/§ 51a; § 9 (60 % bei fester EV ohne iMSys); Umsatzsteuerwahl (Nullsteuersatz ≤ 30 kWp) verändert Investition und Bewertung des Eigenverbrauchs</w:t>
            </w:r>
          </w:p>
        </w:tc>
      </w:tr>
      <w:tr>
        <w:tc>
          <w:tcPr>
            <w:tcW w:type="dxa" w:w="1400"/>
            <w:shd w:fill="F2F5FA" w:color="auto" w:val="clear"/>
            <w:vAlign w:val="center"/>
          </w:tcPr>
          <w:p>
            <w:pPr>
              <w:spacing w:after="30" w:before="30" w:line="230"/>
              <w:jc w:val="left"/>
            </w:pPr>
            <w:r>
              <w:rPr>
                <w:b/>
                <w:bCs/>
                <w:sz w:val="16"/>
                <w:szCs w:val="16"/>
              </w:rPr>
              <w:t xml:space="preserve">PV-Überschuss-Einspeisung 2</w:t>
            </w:r>
          </w:p>
        </w:tc>
        <w:tc>
          <w:tcPr>
            <w:tcW w:type="dxa" w:w="1400"/>
            <w:shd w:fill="F2F5FA" w:color="auto" w:val="clear"/>
            <w:vAlign w:val="center"/>
          </w:tcPr>
          <w:p>
            <w:pPr>
              <w:spacing w:after="30" w:before="30" w:line="230"/>
              <w:jc w:val="left"/>
            </w:pPr>
            <w:r>
              <w:rPr>
                <w:rFonts w:ascii="Consolas" w:cs="Consolas" w:eastAsia="Consolas" w:hAnsi="Consolas"/>
                <w:b/>
                <w:bCs/>
                <w:sz w:val="16"/>
                <w:szCs w:val="16"/>
              </w:rPr>
              <w:t xml:space="preserve">I = B = V_M</w:t>
            </w:r>
            <w:r>
              <w:rPr>
                <w:sz w:val="16"/>
                <w:szCs w:val="16"/>
              </w:rPr>
              <w:t xml:space="preserve"> | </w:t>
            </w:r>
            <w:r>
              <w:rPr>
                <w:rFonts w:ascii="Consolas" w:cs="Consolas" w:eastAsia="Consolas" w:hAnsi="Consolas"/>
                <w:b/>
                <w:bCs/>
                <w:sz w:val="16"/>
                <w:szCs w:val="16"/>
              </w:rPr>
              <w:t xml:space="preserve">G</w:t>
            </w:r>
            <w:r>
              <w:rPr>
                <w:sz w:val="16"/>
                <w:szCs w:val="16"/>
              </w:rPr>
              <w:t xml:space="preserve">, 2 Parteien</w:t>
            </w:r>
          </w:p>
        </w:tc>
        <w:tc>
          <w:tcPr>
            <w:tcW w:type="dxa" w:w="1700"/>
            <w:shd w:fill="F2F5FA" w:color="auto" w:val="clear"/>
            <w:vAlign w:val="center"/>
          </w:tcPr>
          <w:p>
            <w:pPr>
              <w:spacing w:after="30" w:before="30" w:line="230"/>
              <w:jc w:val="left"/>
            </w:pPr>
            <w:r>
              <w:rPr>
                <w:sz w:val="16"/>
                <w:szCs w:val="16"/>
              </w:rPr>
              <w:t xml:space="preserve">Eigenverbrauch des mietenden Betreibers, Überschuss ins Netz</w:t>
            </w:r>
          </w:p>
        </w:tc>
        <w:tc>
          <w:tcPr>
            <w:tcW w:type="dxa" w:w="1850"/>
            <w:shd w:fill="F2F5FA" w:color="auto" w:val="clear"/>
            <w:vAlign w:val="center"/>
          </w:tcPr>
          <w:p>
            <w:pPr>
              <w:spacing w:after="30" w:before="30" w:line="230"/>
              <w:jc w:val="left"/>
            </w:pPr>
            <w:r>
              <w:rPr>
                <w:b/>
                <w:bCs/>
                <w:sz w:val="16"/>
                <w:szCs w:val="16"/>
              </w:rPr>
              <w:t xml:space="preserve">Pfad Ü</w:t>
            </w:r>
          </w:p>
        </w:tc>
        <w:tc>
          <w:tcPr>
            <w:tcW w:type="dxa" w:w="2600"/>
            <w:shd w:fill="F2F5FA" w:color="auto" w:val="clear"/>
            <w:vAlign w:val="center"/>
          </w:tcPr>
          <w:p>
            <w:pPr>
              <w:spacing w:after="30" w:before="30" w:line="230"/>
              <w:jc w:val="left"/>
            </w:pPr>
            <w:r>
              <w:rPr>
                <w:sz w:val="16"/>
                <w:szCs w:val="16"/>
              </w:rPr>
              <w:t xml:space="preserve">I=B=V_M: Einspeisevergütung für den Überschuss + vermiedener Netzbezug; G: Entgelt für die Flächengestattung – modellabhängig konfigurierbar</w:t>
            </w:r>
          </w:p>
        </w:tc>
        <w:tc>
          <w:tcPr>
            <w:tcW w:type="dxa" w:w="2200"/>
            <w:shd w:fill="F2F5FA" w:color="auto" w:val="clear"/>
            <w:vAlign w:val="center"/>
          </w:tcPr>
          <w:p>
            <w:pPr>
              <w:spacing w:after="30" w:before="30" w:line="230"/>
              <w:jc w:val="left"/>
            </w:pPr>
            <w:r>
              <w:rPr>
                <w:sz w:val="16"/>
                <w:szCs w:val="16"/>
              </w:rPr>
              <w:t xml:space="preserve">I=B=V_M: Investition + Betriebskosten + Dachmiete an G + Reststrombezug; G: keine</w:t>
            </w:r>
          </w:p>
        </w:tc>
        <w:tc>
          <w:tcPr>
            <w:tcW w:type="dxa" w:w="3420"/>
            <w:shd w:fill="F2F5FA" w:color="auto" w:val="clear"/>
            <w:vAlign w:val="center"/>
          </w:tcPr>
          <w:p>
            <w:pPr>
              <w:spacing w:after="30" w:before="30" w:line="230"/>
              <w:jc w:val="left"/>
            </w:pPr>
            <w:r>
              <w:rPr>
                <w:sz w:val="16"/>
                <w:szCs w:val="16"/>
              </w:rPr>
              <w:t xml:space="preserve">wie Modell 1; zusätzlich Dachmietvertrag; </w:t>
            </w:r>
            <w:r>
              <w:rPr>
                <w:b/>
                <w:bCs/>
                <w:sz w:val="16"/>
                <w:szCs w:val="16"/>
              </w:rPr>
              <w:t xml:space="preserve">Laufzeitrisiko</w:t>
            </w:r>
            <w:r>
              <w:rPr>
                <w:sz w:val="16"/>
                <w:szCs w:val="16"/>
              </w:rPr>
              <w:t xml:space="preserve">: Mietverhältnis im Gebäude gegenüber 20-jähriger Vergütungsdauer</w:t>
            </w:r>
          </w:p>
        </w:tc>
      </w:tr>
    </w:tbl>
    <w:p>
      <w:pPr>
        <w:spacing w:after="100"/>
      </w:pPr>
      <w:r>
        <w:rPr>
          <w:sz w:val="8"/>
          <w:szCs w:val="8"/>
        </w:rPr>
        <w:t xml:space="preserve"/>
      </w:r>
    </w:p>
    <w:p>
      <w:pPr>
        <w:pStyle w:val="Heading3"/>
      </w:pPr>
      <w:bookmarkStart w:id="900021" w:name="_Toc90000021"/>
      <w:r>
        <w:t xml:space="preserve">Familie PV-Stromlieferung</w:t>
      </w:r>
      <w:bookmarkEnd w:id="900021"/>
    </w:p>
    <w:tbl>
      <w:tblPr>
        <w:tblW w:type="dxa" w:w="14570"/>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400"/>
        <w:gridCol w:w="1400"/>
        <w:gridCol w:w="1700"/>
        <w:gridCol w:w="1850"/>
        <w:gridCol w:w="2600"/>
        <w:gridCol w:w="2200"/>
        <w:gridCol w:w="3420"/>
      </w:tblGrid>
      <w:tr>
        <w:trPr>
          <w:tblHeader/>
        </w:trPr>
        <w:tc>
          <w:tcPr>
            <w:tcW w:type="dxa" w:w="1400"/>
            <w:shd w:fill="1F3864" w:color="auto" w:val="clear"/>
            <w:vAlign w:val="center"/>
          </w:tcPr>
          <w:p>
            <w:pPr>
              <w:spacing w:after="30" w:before="30" w:line="230"/>
              <w:jc w:val="left"/>
            </w:pPr>
            <w:r>
              <w:rPr>
                <w:b/>
                <w:bCs/>
                <w:color w:val="FFFFFF"/>
                <w:sz w:val="16"/>
                <w:szCs w:val="16"/>
              </w:rPr>
              <w:t xml:space="preserve">Modell</w:t>
            </w:r>
          </w:p>
        </w:tc>
        <w:tc>
          <w:tcPr>
            <w:tcW w:type="dxa" w:w="1400"/>
            <w:shd w:fill="1F3864" w:color="auto" w:val="clear"/>
            <w:vAlign w:val="center"/>
          </w:tcPr>
          <w:p>
            <w:pPr>
              <w:spacing w:after="30" w:before="30" w:line="230"/>
              <w:jc w:val="left"/>
            </w:pPr>
            <w:r>
              <w:rPr>
                <w:b/>
                <w:bCs/>
                <w:color w:val="FFFFFF"/>
                <w:sz w:val="16"/>
                <w:szCs w:val="16"/>
              </w:rPr>
              <w:t xml:space="preserve">Konstellation</w:t>
            </w:r>
          </w:p>
        </w:tc>
        <w:tc>
          <w:tcPr>
            <w:tcW w:type="dxa" w:w="1700"/>
            <w:shd w:fill="1F3864" w:color="auto" w:val="clear"/>
            <w:vAlign w:val="center"/>
          </w:tcPr>
          <w:p>
            <w:pPr>
              <w:spacing w:after="30" w:before="30" w:line="230"/>
              <w:jc w:val="left"/>
            </w:pPr>
            <w:r>
              <w:rPr>
                <w:b/>
                <w:bCs/>
                <w:color w:val="FFFFFF"/>
                <w:sz w:val="16"/>
                <w:szCs w:val="16"/>
              </w:rPr>
              <w:t xml:space="preserve">Stromverwertung</w:t>
            </w:r>
          </w:p>
        </w:tc>
        <w:tc>
          <w:tcPr>
            <w:tcW w:type="dxa" w:w="1850"/>
            <w:shd w:fill="1F3864" w:color="auto" w:val="clear"/>
            <w:vAlign w:val="center"/>
          </w:tcPr>
          <w:p>
            <w:pPr>
              <w:spacing w:after="30" w:before="30" w:line="230"/>
              <w:jc w:val="left"/>
            </w:pPr>
            <w:r>
              <w:rPr>
                <w:b/>
                <w:bCs/>
                <w:color w:val="FFFFFF"/>
                <w:sz w:val="16"/>
                <w:szCs w:val="16"/>
              </w:rPr>
              <w:t xml:space="preserve">Vergütungsweg (IBN 08/2026)</w:t>
            </w:r>
          </w:p>
        </w:tc>
        <w:tc>
          <w:tcPr>
            <w:tcW w:type="dxa" w:w="2600"/>
            <w:shd w:fill="1F3864" w:color="auto" w:val="clear"/>
            <w:vAlign w:val="center"/>
          </w:tcPr>
          <w:p>
            <w:pPr>
              <w:spacing w:after="30" w:before="30" w:line="230"/>
              <w:jc w:val="left"/>
            </w:pPr>
            <w:r>
              <w:rPr>
                <w:b/>
                <w:bCs/>
                <w:color w:val="FFFFFF"/>
                <w:sz w:val="16"/>
                <w:szCs w:val="16"/>
              </w:rPr>
              <w:t xml:space="preserve">Erlöse je Akteur</w:t>
            </w:r>
          </w:p>
        </w:tc>
        <w:tc>
          <w:tcPr>
            <w:tcW w:type="dxa" w:w="2200"/>
            <w:shd w:fill="1F3864" w:color="auto" w:val="clear"/>
            <w:vAlign w:val="center"/>
          </w:tcPr>
          <w:p>
            <w:pPr>
              <w:spacing w:after="30" w:before="30" w:line="230"/>
              <w:jc w:val="left"/>
            </w:pPr>
            <w:r>
              <w:rPr>
                <w:b/>
                <w:bCs/>
                <w:color w:val="FFFFFF"/>
                <w:sz w:val="16"/>
                <w:szCs w:val="16"/>
              </w:rPr>
              <w:t xml:space="preserve">Kosten je Akteur</w:t>
            </w:r>
          </w:p>
        </w:tc>
        <w:tc>
          <w:tcPr>
            <w:tcW w:type="dxa" w:w="3420"/>
            <w:shd w:fill="1F3864" w:color="auto" w:val="clear"/>
            <w:vAlign w:val="center"/>
          </w:tcPr>
          <w:p>
            <w:pPr>
              <w:spacing w:after="30" w:before="30" w:line="230"/>
              <w:jc w:val="left"/>
            </w:pPr>
            <w:r>
              <w:rPr>
                <w:b/>
                <w:bCs/>
                <w:color w:val="FFFFFF"/>
                <w:sz w:val="16"/>
                <w:szCs w:val="16"/>
              </w:rPr>
              <w:t xml:space="preserve">Rechtliche Trigger</w:t>
            </w:r>
          </w:p>
        </w:tc>
      </w:tr>
      <w:tr>
        <w:tc>
          <w:tcPr>
            <w:tcW w:type="dxa" w:w="1400"/>
            <w:vAlign w:val="center"/>
          </w:tcPr>
          <w:p>
            <w:pPr>
              <w:spacing w:after="30" w:before="30" w:line="230"/>
              <w:jc w:val="left"/>
            </w:pPr>
            <w:r>
              <w:rPr>
                <w:b/>
                <w:bCs/>
                <w:sz w:val="16"/>
                <w:szCs w:val="16"/>
              </w:rPr>
              <w:t xml:space="preserve">PV-Stromlieferung 1</w:t>
            </w:r>
          </w:p>
        </w:tc>
        <w:tc>
          <w:tcPr>
            <w:tcW w:type="dxa" w:w="1400"/>
            <w:vAlign w:val="center"/>
          </w:tcPr>
          <w:p>
            <w:pPr>
              <w:spacing w:after="30" w:before="30" w:line="230"/>
              <w:jc w:val="left"/>
            </w:pPr>
            <w:r>
              <w:rPr>
                <w:rFonts w:ascii="Consolas" w:cs="Consolas" w:eastAsia="Consolas" w:hAnsi="Consolas"/>
                <w:b/>
                <w:bCs/>
                <w:sz w:val="16"/>
                <w:szCs w:val="16"/>
              </w:rPr>
              <w:t xml:space="preserve">I = B = G</w:t>
            </w:r>
            <w:r>
              <w:rPr>
                <w:sz w:val="16"/>
                <w:szCs w:val="16"/>
              </w:rPr>
              <w:t xml:space="preserve"> | </w:t>
            </w:r>
            <w:r>
              <w:rPr>
                <w:rFonts w:ascii="Consolas" w:cs="Consolas" w:eastAsia="Consolas" w:hAnsi="Consolas"/>
                <w:b/>
                <w:bCs/>
                <w:sz w:val="16"/>
                <w:szCs w:val="16"/>
              </w:rPr>
              <w:t xml:space="preserve">V_M</w:t>
            </w:r>
            <w:r>
              <w:rPr>
                <w:sz w:val="16"/>
                <w:szCs w:val="16"/>
              </w:rPr>
              <w:t xml:space="preserve">, 2 Parteien</w:t>
            </w:r>
          </w:p>
        </w:tc>
        <w:tc>
          <w:tcPr>
            <w:tcW w:type="dxa" w:w="1700"/>
            <w:vAlign w:val="center"/>
          </w:tcPr>
          <w:p>
            <w:pPr>
              <w:spacing w:after="30" w:before="30" w:line="230"/>
              <w:jc w:val="left"/>
            </w:pPr>
            <w:r>
              <w:rPr>
                <w:sz w:val="16"/>
                <w:szCs w:val="16"/>
              </w:rPr>
              <w:t xml:space="preserve">Lieferung an einen/mehrere Verbraucher (Mieter im Gebäude oder Nachbar), Überschuss ins Netz; kein Eigenverbrauch des Betreibers</w:t>
            </w:r>
          </w:p>
        </w:tc>
        <w:tc>
          <w:tcPr>
            <w:tcW w:type="dxa" w:w="1850"/>
            <w:vAlign w:val="center"/>
          </w:tcPr>
          <w:p>
            <w:pPr>
              <w:spacing w:after="30" w:before="30" w:line="230"/>
              <w:jc w:val="left"/>
            </w:pPr>
            <w:r>
              <w:rPr>
                <w:b/>
                <w:bCs/>
                <w:sz w:val="16"/>
                <w:szCs w:val="16"/>
              </w:rPr>
              <w:t xml:space="preserve">Pfad Ü</w:t>
            </w:r>
            <w:r>
              <w:rPr>
                <w:sz w:val="16"/>
                <w:szCs w:val="16"/>
              </w:rPr>
              <w:t xml:space="preserve"> + Mieterstromzuschlag § 48a möglich (2,51 / 2,33 / 1,57)</w:t>
            </w:r>
          </w:p>
        </w:tc>
        <w:tc>
          <w:tcPr>
            <w:tcW w:type="dxa" w:w="2600"/>
            <w:vAlign w:val="center"/>
          </w:tcPr>
          <w:p>
            <w:pPr>
              <w:spacing w:after="30" w:before="30" w:line="230"/>
              <w:jc w:val="left"/>
            </w:pPr>
            <w:r>
              <w:rPr>
                <w:sz w:val="16"/>
                <w:szCs w:val="16"/>
              </w:rPr>
              <w:t xml:space="preserve">I=B=G: Lieferentgelt zu den vereinbarten Konditionen (Hilfsrechner Lieferpreis) + Einspeisevergütung für den Überschuss + ggf. Mieterstromzuschlag</w:t>
            </w:r>
          </w:p>
        </w:tc>
        <w:tc>
          <w:tcPr>
            <w:tcW w:type="dxa" w:w="2200"/>
            <w:vAlign w:val="center"/>
          </w:tcPr>
          <w:p>
            <w:pPr>
              <w:spacing w:after="30" w:before="30" w:line="230"/>
              <w:jc w:val="left"/>
            </w:pPr>
            <w:r>
              <w:rPr>
                <w:sz w:val="16"/>
                <w:szCs w:val="16"/>
              </w:rPr>
              <w:t xml:space="preserve">I=B=G: Investition + Betriebskosten + Mess-/Abrechnungsaufwand; V_M: Lieferpreis an B + Reststrom vom Energieversorger (bei Ergänzungsversorgung)</w:t>
            </w:r>
          </w:p>
        </w:tc>
        <w:tc>
          <w:tcPr>
            <w:tcW w:type="dxa" w:w="3420"/>
            <w:vAlign w:val="center"/>
          </w:tcPr>
          <w:p>
            <w:pPr>
              <w:spacing w:after="30" w:before="30" w:line="230"/>
              <w:jc w:val="left"/>
            </w:pPr>
            <w:r>
              <w:rPr>
                <w:b/>
                <w:bCs/>
                <w:sz w:val="16"/>
                <w:szCs w:val="16"/>
              </w:rPr>
              <w:t xml:space="preserve">Lieferung = Versorgerpflichten + Umsatzsteuer auf die Lieferung</w:t>
            </w:r>
            <w:r>
              <w:rPr>
                <w:sz w:val="16"/>
                <w:szCs w:val="16"/>
              </w:rPr>
              <w:t xml:space="preserve">; § 42a Mieterstrom (Vollversorgungsgebot, 90-%-Deckel) gegenüber § 42b GGV (kein Zuschlag, reduzierte Pflichten) gegenüber § 42c Energy Sharing; bei Nachbarbelieferung Netzdurchleitung prüfen (Zuschlag entfällt) und BGH 13.05.2025 zur Kundenanlage beachten; § 51/§ 51a; § 9</w:t>
            </w:r>
          </w:p>
        </w:tc>
      </w:tr>
      <w:tr>
        <w:tc>
          <w:tcPr>
            <w:tcW w:type="dxa" w:w="1400"/>
            <w:shd w:fill="F2F5FA" w:color="auto" w:val="clear"/>
            <w:vAlign w:val="center"/>
          </w:tcPr>
          <w:p>
            <w:pPr>
              <w:spacing w:after="30" w:before="30" w:line="230"/>
              <w:jc w:val="left"/>
            </w:pPr>
            <w:r>
              <w:rPr>
                <w:b/>
                <w:bCs/>
                <w:sz w:val="16"/>
                <w:szCs w:val="16"/>
              </w:rPr>
              <w:t xml:space="preserve">PV-Stromlieferung 2</w:t>
            </w:r>
          </w:p>
        </w:tc>
        <w:tc>
          <w:tcPr>
            <w:tcW w:type="dxa" w:w="1400"/>
            <w:shd w:fill="F2F5FA" w:color="auto" w:val="clear"/>
            <w:vAlign w:val="center"/>
          </w:tcPr>
          <w:p>
            <w:pPr>
              <w:spacing w:after="30" w:before="30" w:line="230"/>
              <w:jc w:val="left"/>
            </w:pPr>
            <w:r>
              <w:rPr>
                <w:rFonts w:ascii="Consolas" w:cs="Consolas" w:eastAsia="Consolas" w:hAnsi="Consolas"/>
                <w:b/>
                <w:bCs/>
                <w:sz w:val="16"/>
                <w:szCs w:val="16"/>
              </w:rPr>
              <w:t xml:space="preserve">I = B = G = V_G</w:t>
            </w:r>
            <w:r>
              <w:rPr>
                <w:sz w:val="16"/>
                <w:szCs w:val="16"/>
              </w:rPr>
              <w:t xml:space="preserve"> | </w:t>
            </w:r>
            <w:r>
              <w:rPr>
                <w:rFonts w:ascii="Consolas" w:cs="Consolas" w:eastAsia="Consolas" w:hAnsi="Consolas"/>
                <w:b/>
                <w:bCs/>
                <w:sz w:val="16"/>
                <w:szCs w:val="16"/>
              </w:rPr>
              <w:t xml:space="preserve">V_M</w:t>
            </w:r>
            <w:r>
              <w:rPr>
                <w:sz w:val="16"/>
                <w:szCs w:val="16"/>
              </w:rPr>
              <w:t xml:space="preserve">, 2 Parteien</w:t>
            </w:r>
          </w:p>
        </w:tc>
        <w:tc>
          <w:tcPr>
            <w:tcW w:type="dxa" w:w="1700"/>
            <w:shd w:fill="F2F5FA" w:color="auto" w:val="clear"/>
            <w:vAlign w:val="center"/>
          </w:tcPr>
          <w:p>
            <w:pPr>
              <w:spacing w:after="30" w:before="30" w:line="230"/>
              <w:jc w:val="left"/>
            </w:pPr>
            <w:r>
              <w:rPr>
                <w:sz w:val="16"/>
                <w:szCs w:val="16"/>
              </w:rPr>
              <w:t xml:space="preserve">Eigenverbrauch </w:t>
            </w:r>
            <w:r>
              <w:rPr>
                <w:b/>
                <w:bCs/>
                <w:sz w:val="16"/>
                <w:szCs w:val="16"/>
              </w:rPr>
              <w:t xml:space="preserve">und</w:t>
            </w:r>
            <w:r>
              <w:rPr>
                <w:sz w:val="16"/>
                <w:szCs w:val="16"/>
              </w:rPr>
              <w:t xml:space="preserve"> Lieferung an Dritte, Überschuss ins Netz</w:t>
            </w:r>
          </w:p>
        </w:tc>
        <w:tc>
          <w:tcPr>
            <w:tcW w:type="dxa" w:w="1850"/>
            <w:shd w:fill="F2F5FA" w:color="auto" w:val="clear"/>
            <w:vAlign w:val="center"/>
          </w:tcPr>
          <w:p>
            <w:pPr>
              <w:spacing w:after="30" w:before="30" w:line="230"/>
              <w:jc w:val="left"/>
            </w:pPr>
            <w:r>
              <w:rPr>
                <w:b/>
                <w:bCs/>
                <w:sz w:val="16"/>
                <w:szCs w:val="16"/>
              </w:rPr>
              <w:t xml:space="preserve">Pfad Ü</w:t>
            </w:r>
            <w:r>
              <w:rPr>
                <w:sz w:val="16"/>
                <w:szCs w:val="16"/>
              </w:rPr>
              <w:t xml:space="preserve"> + Mieterstromzuschlag § 48a möglich</w:t>
            </w:r>
          </w:p>
        </w:tc>
        <w:tc>
          <w:tcPr>
            <w:tcW w:type="dxa" w:w="2600"/>
            <w:shd w:fill="F2F5FA" w:color="auto" w:val="clear"/>
            <w:vAlign w:val="center"/>
          </w:tcPr>
          <w:p>
            <w:pPr>
              <w:spacing w:after="30" w:before="30" w:line="230"/>
              <w:jc w:val="left"/>
            </w:pPr>
            <w:r>
              <w:rPr>
                <w:sz w:val="16"/>
                <w:szCs w:val="16"/>
              </w:rPr>
              <w:t xml:space="preserve">I=B=G=V_G: vermiedener Netzbezug + Lieferentgelt + Einspeisevergütung + ggf. Mieterstromzuschlag; V_M: keine</w:t>
            </w:r>
          </w:p>
        </w:tc>
        <w:tc>
          <w:tcPr>
            <w:tcW w:type="dxa" w:w="2200"/>
            <w:shd w:fill="F2F5FA" w:color="auto" w:val="clear"/>
            <w:vAlign w:val="center"/>
          </w:tcPr>
          <w:p>
            <w:pPr>
              <w:spacing w:after="30" w:before="30" w:line="230"/>
              <w:jc w:val="left"/>
            </w:pPr>
            <w:r>
              <w:rPr>
                <w:sz w:val="16"/>
                <w:szCs w:val="16"/>
              </w:rPr>
              <w:t xml:space="preserve">I=B=G=V_G: Investition + Betriebskosten + Reststrom; V_M: Lieferpreis + Reststrom</w:t>
            </w:r>
          </w:p>
        </w:tc>
        <w:tc>
          <w:tcPr>
            <w:tcW w:type="dxa" w:w="3420"/>
            <w:shd w:fill="F2F5FA" w:color="auto" w:val="clear"/>
            <w:vAlign w:val="center"/>
          </w:tcPr>
          <w:p>
            <w:pPr>
              <w:spacing w:after="30" w:before="30" w:line="230"/>
              <w:jc w:val="left"/>
            </w:pPr>
            <w:r>
              <w:rPr>
                <w:sz w:val="16"/>
                <w:szCs w:val="16"/>
              </w:rPr>
              <w:t xml:space="preserve">wie Modell 1; zusätzlich saubere messtechnische Trennung von Eigenverbrauch und Lieferung (der Zuschlag gilt nur für die gelieferte Menge)</w:t>
            </w:r>
          </w:p>
        </w:tc>
      </w:tr>
      <w:tr>
        <w:tc>
          <w:tcPr>
            <w:tcW w:type="dxa" w:w="1400"/>
            <w:vAlign w:val="center"/>
          </w:tcPr>
          <w:p>
            <w:pPr>
              <w:spacing w:after="30" w:before="30" w:line="230"/>
              <w:jc w:val="left"/>
            </w:pPr>
            <w:r>
              <w:rPr>
                <w:b/>
                <w:bCs/>
                <w:sz w:val="16"/>
                <w:szCs w:val="16"/>
              </w:rPr>
              <w:t xml:space="preserve">PV-Stromlieferung 3</w:t>
            </w:r>
          </w:p>
        </w:tc>
        <w:tc>
          <w:tcPr>
            <w:tcW w:type="dxa" w:w="1400"/>
            <w:vAlign w:val="center"/>
          </w:tcPr>
          <w:p>
            <w:pPr>
              <w:spacing w:after="30" w:before="30" w:line="230"/>
              <w:jc w:val="left"/>
            </w:pPr>
            <w:r>
              <w:rPr>
                <w:rFonts w:ascii="Consolas" w:cs="Consolas" w:eastAsia="Consolas" w:hAnsi="Consolas"/>
                <w:b/>
                <w:bCs/>
                <w:sz w:val="16"/>
                <w:szCs w:val="16"/>
              </w:rPr>
              <w:t xml:space="preserve">I = B</w:t>
            </w:r>
            <w:r>
              <w:rPr>
                <w:sz w:val="16"/>
                <w:szCs w:val="16"/>
              </w:rPr>
              <w:t xml:space="preserve"> | </w:t>
            </w:r>
            <w:r>
              <w:rPr>
                <w:rFonts w:ascii="Consolas" w:cs="Consolas" w:eastAsia="Consolas" w:hAnsi="Consolas"/>
                <w:b/>
                <w:bCs/>
                <w:sz w:val="16"/>
                <w:szCs w:val="16"/>
              </w:rPr>
              <w:t xml:space="preserve">G = V_G</w:t>
            </w:r>
            <w:r>
              <w:rPr>
                <w:sz w:val="16"/>
                <w:szCs w:val="16"/>
              </w:rPr>
              <w:t xml:space="preserve">, 2 Parteien</w:t>
            </w:r>
          </w:p>
        </w:tc>
        <w:tc>
          <w:tcPr>
            <w:tcW w:type="dxa" w:w="1700"/>
            <w:vAlign w:val="center"/>
          </w:tcPr>
          <w:p>
            <w:pPr>
              <w:spacing w:after="30" w:before="30" w:line="230"/>
              <w:jc w:val="left"/>
            </w:pPr>
            <w:r>
              <w:rPr>
                <w:sz w:val="16"/>
                <w:szCs w:val="16"/>
              </w:rPr>
              <w:t xml:space="preserve">Lieferung an den Grund-/Gebäudeeigentümer als Verbraucher, Überschuss ins Netz</w:t>
            </w:r>
          </w:p>
        </w:tc>
        <w:tc>
          <w:tcPr>
            <w:tcW w:type="dxa" w:w="1850"/>
            <w:vAlign w:val="center"/>
          </w:tcPr>
          <w:p>
            <w:pPr>
              <w:spacing w:after="30" w:before="30" w:line="230"/>
              <w:jc w:val="left"/>
            </w:pPr>
            <w:r>
              <w:rPr>
                <w:b/>
                <w:bCs/>
                <w:sz w:val="16"/>
                <w:szCs w:val="16"/>
              </w:rPr>
              <w:t xml:space="preserve">Pfad Ü</w:t>
            </w:r>
            <w:r>
              <w:rPr>
                <w:sz w:val="16"/>
                <w:szCs w:val="16"/>
              </w:rPr>
              <w:t xml:space="preserve"> + Mieterstromzuschlag § 48a möglich</w:t>
            </w:r>
          </w:p>
        </w:tc>
        <w:tc>
          <w:tcPr>
            <w:tcW w:type="dxa" w:w="2600"/>
            <w:vAlign w:val="center"/>
          </w:tcPr>
          <w:p>
            <w:pPr>
              <w:spacing w:after="30" w:before="30" w:line="230"/>
              <w:jc w:val="left"/>
            </w:pPr>
            <w:r>
              <w:rPr>
                <w:sz w:val="16"/>
                <w:szCs w:val="16"/>
              </w:rPr>
              <w:t xml:space="preserve">I=B: Lieferentgelt + Einspeisevergütung + ggf. Mieterstromzuschlag; G=V_G: Entgelt für die Flächengestattung – modellabhängig konfigurierbar</w:t>
            </w:r>
          </w:p>
        </w:tc>
        <w:tc>
          <w:tcPr>
            <w:tcW w:type="dxa" w:w="2200"/>
            <w:vAlign w:val="center"/>
          </w:tcPr>
          <w:p>
            <w:pPr>
              <w:spacing w:after="30" w:before="30" w:line="230"/>
              <w:jc w:val="left"/>
            </w:pPr>
            <w:r>
              <w:rPr>
                <w:sz w:val="16"/>
                <w:szCs w:val="16"/>
              </w:rPr>
              <w:t xml:space="preserve">I=B: Investition + Betriebskosten + Flächenentgelt; G=V_G: Lieferpreis an B + Reststrom</w:t>
            </w:r>
          </w:p>
        </w:tc>
        <w:tc>
          <w:tcPr>
            <w:tcW w:type="dxa" w:w="3420"/>
            <w:vAlign w:val="center"/>
          </w:tcPr>
          <w:p>
            <w:pPr>
              <w:spacing w:after="30" w:before="30" w:line="230"/>
              <w:jc w:val="left"/>
            </w:pPr>
            <w:r>
              <w:rPr>
                <w:sz w:val="16"/>
                <w:szCs w:val="16"/>
              </w:rPr>
              <w:t xml:space="preserve">wie Modell 1; klassische Contracting-Konstellation (Lieferung an den Eigentümer der Fläche); Verrechnung Dachmiete ↔ Lieferpreis vertraglich sauber trennen</w:t>
            </w:r>
          </w:p>
        </w:tc>
      </w:tr>
      <w:tr>
        <w:tc>
          <w:tcPr>
            <w:tcW w:type="dxa" w:w="1400"/>
            <w:shd w:fill="F2F5FA" w:color="auto" w:val="clear"/>
            <w:vAlign w:val="center"/>
          </w:tcPr>
          <w:p>
            <w:pPr>
              <w:spacing w:after="30" w:before="30" w:line="230"/>
              <w:jc w:val="left"/>
            </w:pPr>
            <w:r>
              <w:rPr>
                <w:b/>
                <w:bCs/>
                <w:sz w:val="16"/>
                <w:szCs w:val="16"/>
              </w:rPr>
              <w:t xml:space="preserve">PV-Stromlieferung 4</w:t>
            </w:r>
          </w:p>
        </w:tc>
        <w:tc>
          <w:tcPr>
            <w:tcW w:type="dxa" w:w="1400"/>
            <w:shd w:fill="F2F5FA" w:color="auto" w:val="clear"/>
            <w:vAlign w:val="center"/>
          </w:tcPr>
          <w:p>
            <w:pPr>
              <w:spacing w:after="30" w:before="30" w:line="230"/>
              <w:jc w:val="left"/>
            </w:pPr>
            <w:r>
              <w:rPr>
                <w:rFonts w:ascii="Consolas" w:cs="Consolas" w:eastAsia="Consolas" w:hAnsi="Consolas"/>
                <w:b/>
                <w:bCs/>
                <w:sz w:val="16"/>
                <w:szCs w:val="16"/>
              </w:rPr>
              <w:t xml:space="preserve">I = B</w:t>
            </w:r>
            <w:r>
              <w:rPr>
                <w:sz w:val="16"/>
                <w:szCs w:val="16"/>
              </w:rPr>
              <w:t xml:space="preserve"> | </w:t>
            </w:r>
            <w:r>
              <w:rPr>
                <w:rFonts w:ascii="Consolas" w:cs="Consolas" w:eastAsia="Consolas" w:hAnsi="Consolas"/>
                <w:b/>
                <w:bCs/>
                <w:sz w:val="16"/>
                <w:szCs w:val="16"/>
              </w:rPr>
              <w:t xml:space="preserve">G</w:t>
            </w:r>
            <w:r>
              <w:rPr>
                <w:sz w:val="16"/>
                <w:szCs w:val="16"/>
              </w:rPr>
              <w:t xml:space="preserve"> | </w:t>
            </w:r>
            <w:r>
              <w:rPr>
                <w:rFonts w:ascii="Consolas" w:cs="Consolas" w:eastAsia="Consolas" w:hAnsi="Consolas"/>
                <w:b/>
                <w:bCs/>
                <w:sz w:val="16"/>
                <w:szCs w:val="16"/>
              </w:rPr>
              <w:t xml:space="preserve">V_M</w:t>
            </w:r>
            <w:r>
              <w:rPr>
                <w:sz w:val="16"/>
                <w:szCs w:val="16"/>
              </w:rPr>
              <w:t xml:space="preserve">, 3 Parteien</w:t>
            </w:r>
          </w:p>
        </w:tc>
        <w:tc>
          <w:tcPr>
            <w:tcW w:type="dxa" w:w="1700"/>
            <w:shd w:fill="F2F5FA" w:color="auto" w:val="clear"/>
            <w:vAlign w:val="center"/>
          </w:tcPr>
          <w:p>
            <w:pPr>
              <w:spacing w:after="30" w:before="30" w:line="230"/>
              <w:jc w:val="left"/>
            </w:pPr>
            <w:r>
              <w:rPr>
                <w:sz w:val="16"/>
                <w:szCs w:val="16"/>
              </w:rPr>
              <w:t xml:space="preserve">Lieferung an einen/mehrere Verbraucher (Mieter/Nachbar), Überschuss ins Netz</w:t>
            </w:r>
          </w:p>
        </w:tc>
        <w:tc>
          <w:tcPr>
            <w:tcW w:type="dxa" w:w="1850"/>
            <w:shd w:fill="F2F5FA" w:color="auto" w:val="clear"/>
            <w:vAlign w:val="center"/>
          </w:tcPr>
          <w:p>
            <w:pPr>
              <w:spacing w:after="30" w:before="30" w:line="230"/>
              <w:jc w:val="left"/>
            </w:pPr>
            <w:r>
              <w:rPr>
                <w:b/>
                <w:bCs/>
                <w:sz w:val="16"/>
                <w:szCs w:val="16"/>
              </w:rPr>
              <w:t xml:space="preserve">Pfad Ü</w:t>
            </w:r>
            <w:r>
              <w:rPr>
                <w:sz w:val="16"/>
                <w:szCs w:val="16"/>
              </w:rPr>
              <w:t xml:space="preserve"> + Mieterstromzuschlag § 48a möglich</w:t>
            </w:r>
          </w:p>
        </w:tc>
        <w:tc>
          <w:tcPr>
            <w:tcW w:type="dxa" w:w="2600"/>
            <w:shd w:fill="F2F5FA" w:color="auto" w:val="clear"/>
            <w:vAlign w:val="center"/>
          </w:tcPr>
          <w:p>
            <w:pPr>
              <w:spacing w:after="30" w:before="30" w:line="230"/>
              <w:jc w:val="left"/>
            </w:pPr>
            <w:r>
              <w:rPr>
                <w:sz w:val="16"/>
                <w:szCs w:val="16"/>
              </w:rPr>
              <w:t xml:space="preserve">I=B: Lieferentgelt + Einspeisevergütung + ggf. Mieterstromzuschlag; G: Flächenentgelt – modellabhängig konfigurierbar; V_M: keine</w:t>
            </w:r>
          </w:p>
        </w:tc>
        <w:tc>
          <w:tcPr>
            <w:tcW w:type="dxa" w:w="2200"/>
            <w:shd w:fill="F2F5FA" w:color="auto" w:val="clear"/>
            <w:vAlign w:val="center"/>
          </w:tcPr>
          <w:p>
            <w:pPr>
              <w:spacing w:after="30" w:before="30" w:line="230"/>
              <w:jc w:val="left"/>
            </w:pPr>
            <w:r>
              <w:rPr>
                <w:sz w:val="16"/>
                <w:szCs w:val="16"/>
              </w:rPr>
              <w:t xml:space="preserve">I=B: Investition + Betriebskosten + Flächenentgelt an G; V_M: Lieferpreis + Reststrom</w:t>
            </w:r>
          </w:p>
        </w:tc>
        <w:tc>
          <w:tcPr>
            <w:tcW w:type="dxa" w:w="3420"/>
            <w:shd w:fill="F2F5FA" w:color="auto" w:val="clear"/>
            <w:vAlign w:val="center"/>
          </w:tcPr>
          <w:p>
            <w:pPr>
              <w:spacing w:after="30" w:before="30" w:line="230"/>
              <w:jc w:val="left"/>
            </w:pPr>
            <w:r>
              <w:rPr>
                <w:sz w:val="16"/>
                <w:szCs w:val="16"/>
              </w:rPr>
              <w:t xml:space="preserve">wie Modell 1; </w:t>
            </w:r>
            <w:r>
              <w:rPr>
                <w:b/>
                <w:bCs/>
                <w:sz w:val="16"/>
                <w:szCs w:val="16"/>
              </w:rPr>
              <w:t xml:space="preserve">drei Parteien</w:t>
            </w:r>
            <w:r>
              <w:rPr>
                <w:sz w:val="16"/>
                <w:szCs w:val="16"/>
              </w:rPr>
              <w:t xml:space="preserve"> – Gebäudeeigentümer und belieferter Mieter fallen auseinander, daher zwei getrennte Vertragsebenen (Dachmiete und Stromlieferung)</w:t>
            </w:r>
          </w:p>
        </w:tc>
      </w:tr>
      <w:tr>
        <w:tc>
          <w:tcPr>
            <w:tcW w:type="dxa" w:w="1400"/>
            <w:vAlign w:val="center"/>
          </w:tcPr>
          <w:p>
            <w:pPr>
              <w:spacing w:after="30" w:before="30" w:line="230"/>
              <w:jc w:val="left"/>
            </w:pPr>
            <w:r>
              <w:rPr>
                <w:b/>
                <w:bCs/>
                <w:sz w:val="16"/>
                <w:szCs w:val="16"/>
              </w:rPr>
              <w:t xml:space="preserve">PV-Stromlieferung 5</w:t>
            </w:r>
          </w:p>
        </w:tc>
        <w:tc>
          <w:tcPr>
            <w:tcW w:type="dxa" w:w="1400"/>
            <w:vAlign w:val="center"/>
          </w:tcPr>
          <w:p>
            <w:pPr>
              <w:spacing w:after="30" w:before="30" w:line="230"/>
              <w:jc w:val="left"/>
            </w:pPr>
            <w:r>
              <w:rPr>
                <w:rFonts w:ascii="Consolas" w:cs="Consolas" w:eastAsia="Consolas" w:hAnsi="Consolas"/>
                <w:b/>
                <w:bCs/>
                <w:sz w:val="16"/>
                <w:szCs w:val="16"/>
              </w:rPr>
              <w:t xml:space="preserve">I = B</w:t>
            </w:r>
            <w:r>
              <w:rPr>
                <w:sz w:val="16"/>
                <w:szCs w:val="16"/>
              </w:rPr>
              <w:t xml:space="preserve"> | </w:t>
            </w:r>
            <w:r>
              <w:rPr>
                <w:rFonts w:ascii="Consolas" w:cs="Consolas" w:eastAsia="Consolas" w:hAnsi="Consolas"/>
                <w:b/>
                <w:bCs/>
                <w:sz w:val="16"/>
                <w:szCs w:val="16"/>
              </w:rPr>
              <w:t xml:space="preserve">G = V_G</w:t>
            </w:r>
            <w:r>
              <w:rPr>
                <w:sz w:val="16"/>
                <w:szCs w:val="16"/>
              </w:rPr>
              <w:t xml:space="preserve"> | </w:t>
            </w:r>
            <w:r>
              <w:rPr>
                <w:rFonts w:ascii="Consolas" w:cs="Consolas" w:eastAsia="Consolas" w:hAnsi="Consolas"/>
                <w:b/>
                <w:bCs/>
                <w:sz w:val="16"/>
                <w:szCs w:val="16"/>
              </w:rPr>
              <w:t xml:space="preserve">V_M</w:t>
            </w:r>
            <w:r>
              <w:rPr>
                <w:sz w:val="16"/>
                <w:szCs w:val="16"/>
              </w:rPr>
              <w:t xml:space="preserve">, 3 Parteien</w:t>
            </w:r>
          </w:p>
        </w:tc>
        <w:tc>
          <w:tcPr>
            <w:tcW w:type="dxa" w:w="1700"/>
            <w:vAlign w:val="center"/>
          </w:tcPr>
          <w:p>
            <w:pPr>
              <w:spacing w:after="30" w:before="30" w:line="230"/>
              <w:jc w:val="left"/>
            </w:pPr>
            <w:r>
              <w:rPr>
                <w:sz w:val="16"/>
                <w:szCs w:val="16"/>
              </w:rPr>
              <w:t xml:space="preserve">Lieferung an </w:t>
            </w:r>
            <w:r>
              <w:rPr>
                <w:b/>
                <w:bCs/>
                <w:sz w:val="16"/>
                <w:szCs w:val="16"/>
              </w:rPr>
              <w:t xml:space="preserve">zwei</w:t>
            </w:r>
            <w:r>
              <w:rPr>
                <w:sz w:val="16"/>
                <w:szCs w:val="16"/>
              </w:rPr>
              <w:t xml:space="preserve"> Verbrauchergruppen (Gebäudeeigentümer und Mieter/Nachbar), Überschuss ins Netz</w:t>
            </w:r>
          </w:p>
        </w:tc>
        <w:tc>
          <w:tcPr>
            <w:tcW w:type="dxa" w:w="1850"/>
            <w:vAlign w:val="center"/>
          </w:tcPr>
          <w:p>
            <w:pPr>
              <w:spacing w:after="30" w:before="30" w:line="230"/>
              <w:jc w:val="left"/>
            </w:pPr>
            <w:r>
              <w:rPr>
                <w:b/>
                <w:bCs/>
                <w:sz w:val="16"/>
                <w:szCs w:val="16"/>
              </w:rPr>
              <w:t xml:space="preserve">Pfad Ü</w:t>
            </w:r>
            <w:r>
              <w:rPr>
                <w:sz w:val="16"/>
                <w:szCs w:val="16"/>
              </w:rPr>
              <w:t xml:space="preserve"> + Mieterstromzuschlag § 48a möglich</w:t>
            </w:r>
          </w:p>
        </w:tc>
        <w:tc>
          <w:tcPr>
            <w:tcW w:type="dxa" w:w="2600"/>
            <w:vAlign w:val="center"/>
          </w:tcPr>
          <w:p>
            <w:pPr>
              <w:spacing w:after="30" w:before="30" w:line="230"/>
              <w:jc w:val="left"/>
            </w:pPr>
            <w:r>
              <w:rPr>
                <w:sz w:val="16"/>
                <w:szCs w:val="16"/>
              </w:rPr>
              <w:t xml:space="preserve">I=B: Lieferentgelte beider Abnehmer + Einspeisevergütung + ggf. Mieterstromzuschlag; G=V_G: Flächenentgelt – modellabhängig konfigurierbar</w:t>
            </w:r>
          </w:p>
        </w:tc>
        <w:tc>
          <w:tcPr>
            <w:tcW w:type="dxa" w:w="2200"/>
            <w:vAlign w:val="center"/>
          </w:tcPr>
          <w:p>
            <w:pPr>
              <w:spacing w:after="30" w:before="30" w:line="230"/>
              <w:jc w:val="left"/>
            </w:pPr>
            <w:r>
              <w:rPr>
                <w:sz w:val="16"/>
                <w:szCs w:val="16"/>
              </w:rPr>
              <w:t xml:space="preserve">I=B: Investition + Betriebskosten + Flächenentgelt; G=V_G und V_M: jeweils Lieferpreis + Reststrom</w:t>
            </w:r>
          </w:p>
        </w:tc>
        <w:tc>
          <w:tcPr>
            <w:tcW w:type="dxa" w:w="3420"/>
            <w:vAlign w:val="center"/>
          </w:tcPr>
          <w:p>
            <w:pPr>
              <w:spacing w:after="30" w:before="30" w:line="230"/>
              <w:jc w:val="left"/>
            </w:pPr>
            <w:r>
              <w:rPr>
                <w:sz w:val="16"/>
                <w:szCs w:val="16"/>
              </w:rPr>
              <w:t xml:space="preserve">wie Modell 1; höchster Abrechnungsaufwand der Familie: mehrere Abnehmer mit je eigenem Tarif (Ergänzungs- oder Vollversorgung, getrennte Tarife oder Mischtarif)</w:t>
            </w:r>
          </w:p>
        </w:tc>
      </w:tr>
    </w:tbl>
    <w:p>
      <w:pPr>
        <w:spacing w:after="100"/>
      </w:pPr>
      <w:r>
        <w:rPr>
          <w:sz w:val="8"/>
          <w:szCs w:val="8"/>
        </w:rPr>
        <w:t xml:space="preserve"/>
      </w:r>
    </w:p>
    <w:p>
      <w:pPr>
        <w:pStyle w:val="Heading3"/>
      </w:pPr>
      <w:bookmarkStart w:id="900022" w:name="_Toc90000022"/>
      <w:r>
        <w:t xml:space="preserve">Familie PV-Mieten</w:t>
      </w:r>
      <w:bookmarkEnd w:id="900022"/>
    </w:p>
    <w:tbl>
      <w:tblPr>
        <w:tblW w:type="dxa" w:w="14570"/>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400"/>
        <w:gridCol w:w="1400"/>
        <w:gridCol w:w="1700"/>
        <w:gridCol w:w="1850"/>
        <w:gridCol w:w="2600"/>
        <w:gridCol w:w="2200"/>
        <w:gridCol w:w="3420"/>
      </w:tblGrid>
      <w:tr>
        <w:trPr>
          <w:tblHeader/>
        </w:trPr>
        <w:tc>
          <w:tcPr>
            <w:tcW w:type="dxa" w:w="1400"/>
            <w:shd w:fill="1F3864" w:color="auto" w:val="clear"/>
            <w:vAlign w:val="center"/>
          </w:tcPr>
          <w:p>
            <w:pPr>
              <w:spacing w:after="30" w:before="30" w:line="230"/>
              <w:jc w:val="left"/>
            </w:pPr>
            <w:r>
              <w:rPr>
                <w:b/>
                <w:bCs/>
                <w:color w:val="FFFFFF"/>
                <w:sz w:val="16"/>
                <w:szCs w:val="16"/>
              </w:rPr>
              <w:t xml:space="preserve">Modell</w:t>
            </w:r>
          </w:p>
        </w:tc>
        <w:tc>
          <w:tcPr>
            <w:tcW w:type="dxa" w:w="1400"/>
            <w:shd w:fill="1F3864" w:color="auto" w:val="clear"/>
            <w:vAlign w:val="center"/>
          </w:tcPr>
          <w:p>
            <w:pPr>
              <w:spacing w:after="30" w:before="30" w:line="230"/>
              <w:jc w:val="left"/>
            </w:pPr>
            <w:r>
              <w:rPr>
                <w:b/>
                <w:bCs/>
                <w:color w:val="FFFFFF"/>
                <w:sz w:val="16"/>
                <w:szCs w:val="16"/>
              </w:rPr>
              <w:t xml:space="preserve">Konstellation</w:t>
            </w:r>
          </w:p>
        </w:tc>
        <w:tc>
          <w:tcPr>
            <w:tcW w:type="dxa" w:w="1700"/>
            <w:shd w:fill="1F3864" w:color="auto" w:val="clear"/>
            <w:vAlign w:val="center"/>
          </w:tcPr>
          <w:p>
            <w:pPr>
              <w:spacing w:after="30" w:before="30" w:line="230"/>
              <w:jc w:val="left"/>
            </w:pPr>
            <w:r>
              <w:rPr>
                <w:b/>
                <w:bCs/>
                <w:color w:val="FFFFFF"/>
                <w:sz w:val="16"/>
                <w:szCs w:val="16"/>
              </w:rPr>
              <w:t xml:space="preserve">Stromverwertung</w:t>
            </w:r>
          </w:p>
        </w:tc>
        <w:tc>
          <w:tcPr>
            <w:tcW w:type="dxa" w:w="1850"/>
            <w:shd w:fill="1F3864" w:color="auto" w:val="clear"/>
            <w:vAlign w:val="center"/>
          </w:tcPr>
          <w:p>
            <w:pPr>
              <w:spacing w:after="30" w:before="30" w:line="230"/>
              <w:jc w:val="left"/>
            </w:pPr>
            <w:r>
              <w:rPr>
                <w:b/>
                <w:bCs/>
                <w:color w:val="FFFFFF"/>
                <w:sz w:val="16"/>
                <w:szCs w:val="16"/>
              </w:rPr>
              <w:t xml:space="preserve">Vergütungsweg (IBN 08/2026)</w:t>
            </w:r>
          </w:p>
        </w:tc>
        <w:tc>
          <w:tcPr>
            <w:tcW w:type="dxa" w:w="2600"/>
            <w:shd w:fill="1F3864" w:color="auto" w:val="clear"/>
            <w:vAlign w:val="center"/>
          </w:tcPr>
          <w:p>
            <w:pPr>
              <w:spacing w:after="30" w:before="30" w:line="230"/>
              <w:jc w:val="left"/>
            </w:pPr>
            <w:r>
              <w:rPr>
                <w:b/>
                <w:bCs/>
                <w:color w:val="FFFFFF"/>
                <w:sz w:val="16"/>
                <w:szCs w:val="16"/>
              </w:rPr>
              <w:t xml:space="preserve">Erlöse je Akteur</w:t>
            </w:r>
          </w:p>
        </w:tc>
        <w:tc>
          <w:tcPr>
            <w:tcW w:type="dxa" w:w="2200"/>
            <w:shd w:fill="1F3864" w:color="auto" w:val="clear"/>
            <w:vAlign w:val="center"/>
          </w:tcPr>
          <w:p>
            <w:pPr>
              <w:spacing w:after="30" w:before="30" w:line="230"/>
              <w:jc w:val="left"/>
            </w:pPr>
            <w:r>
              <w:rPr>
                <w:b/>
                <w:bCs/>
                <w:color w:val="FFFFFF"/>
                <w:sz w:val="16"/>
                <w:szCs w:val="16"/>
              </w:rPr>
              <w:t xml:space="preserve">Kosten je Akteur</w:t>
            </w:r>
          </w:p>
        </w:tc>
        <w:tc>
          <w:tcPr>
            <w:tcW w:type="dxa" w:w="3420"/>
            <w:shd w:fill="1F3864" w:color="auto" w:val="clear"/>
            <w:vAlign w:val="center"/>
          </w:tcPr>
          <w:p>
            <w:pPr>
              <w:spacing w:after="30" w:before="30" w:line="230"/>
              <w:jc w:val="left"/>
            </w:pPr>
            <w:r>
              <w:rPr>
                <w:b/>
                <w:bCs/>
                <w:color w:val="FFFFFF"/>
                <w:sz w:val="16"/>
                <w:szCs w:val="16"/>
              </w:rPr>
              <w:t xml:space="preserve">Rechtliche Trigger</w:t>
            </w:r>
          </w:p>
        </w:tc>
      </w:tr>
      <w:tr>
        <w:tc>
          <w:tcPr>
            <w:tcW w:type="dxa" w:w="1400"/>
            <w:vAlign w:val="center"/>
          </w:tcPr>
          <w:p>
            <w:pPr>
              <w:spacing w:after="30" w:before="30" w:line="230"/>
              <w:jc w:val="left"/>
            </w:pPr>
            <w:r>
              <w:rPr>
                <w:b/>
                <w:bCs/>
                <w:sz w:val="16"/>
                <w:szCs w:val="16"/>
              </w:rPr>
              <w:t xml:space="preserve">PV-Mieten 1</w:t>
            </w:r>
          </w:p>
        </w:tc>
        <w:tc>
          <w:tcPr>
            <w:tcW w:type="dxa" w:w="1400"/>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B = G = V_G</w:t>
            </w:r>
            <w:r>
              <w:rPr>
                <w:sz w:val="16"/>
                <w:szCs w:val="16"/>
              </w:rPr>
              <w:t xml:space="preserve">, 2 Parteien</w:t>
            </w:r>
          </w:p>
        </w:tc>
        <w:tc>
          <w:tcPr>
            <w:tcW w:type="dxa" w:w="1700"/>
            <w:vAlign w:val="center"/>
          </w:tcPr>
          <w:p>
            <w:pPr>
              <w:spacing w:after="30" w:before="30" w:line="230"/>
              <w:jc w:val="left"/>
            </w:pPr>
            <w:r>
              <w:rPr>
                <w:sz w:val="16"/>
                <w:szCs w:val="16"/>
              </w:rPr>
              <w:t xml:space="preserve">Eigenverbrauch des mietenden Betreibers, Überschuss ins Netz</w:t>
            </w:r>
          </w:p>
        </w:tc>
        <w:tc>
          <w:tcPr>
            <w:tcW w:type="dxa" w:w="1850"/>
            <w:vAlign w:val="center"/>
          </w:tcPr>
          <w:p>
            <w:pPr>
              <w:spacing w:after="30" w:before="30" w:line="230"/>
              <w:jc w:val="left"/>
            </w:pPr>
            <w:r>
              <w:rPr>
                <w:b/>
                <w:bCs/>
                <w:sz w:val="16"/>
                <w:szCs w:val="16"/>
              </w:rPr>
              <w:t xml:space="preserve">Pfad Ü</w:t>
            </w:r>
          </w:p>
        </w:tc>
        <w:tc>
          <w:tcPr>
            <w:tcW w:type="dxa" w:w="2600"/>
            <w:vAlign w:val="center"/>
          </w:tcPr>
          <w:p>
            <w:pPr>
              <w:spacing w:after="30" w:before="30" w:line="230"/>
              <w:jc w:val="left"/>
            </w:pPr>
            <w:r>
              <w:rPr>
                <w:sz w:val="16"/>
                <w:szCs w:val="16"/>
              </w:rPr>
              <w:t xml:space="preserve">I: Anlagenmiete (Hilfsrechner PV-Miete, DGS-Vorschlagswert); B=G=V_G: Einspeisevergütung + vermiedener Netzbezug</w:t>
            </w:r>
          </w:p>
        </w:tc>
        <w:tc>
          <w:tcPr>
            <w:tcW w:type="dxa" w:w="2200"/>
            <w:vAlign w:val="center"/>
          </w:tcPr>
          <w:p>
            <w:pPr>
              <w:spacing w:after="30" w:before="30" w:line="230"/>
              <w:jc w:val="left"/>
            </w:pPr>
            <w:r>
              <w:rPr>
                <w:sz w:val="16"/>
                <w:szCs w:val="16"/>
              </w:rPr>
              <w:t xml:space="preserve">I: Investition; B=G=V_G: Anlagenmiete an I + Betriebskosten (Kostenträger wählbar) + Reststrom; Flächengestattung durch B=G selbst</w:t>
            </w:r>
          </w:p>
        </w:tc>
        <w:tc>
          <w:tcPr>
            <w:tcW w:type="dxa" w:w="3420"/>
            <w:vAlign w:val="center"/>
          </w:tcPr>
          <w:p>
            <w:pPr>
              <w:spacing w:after="30" w:before="30" w:line="230"/>
              <w:jc w:val="left"/>
            </w:pPr>
            <w:r>
              <w:rPr>
                <w:b/>
                <w:bCs/>
                <w:sz w:val="16"/>
                <w:szCs w:val="16"/>
              </w:rPr>
              <w:t xml:space="preserve">Kernvorteil: Eigenverbrauch statt Lieferung</w:t>
            </w:r>
            <w:r>
              <w:rPr>
                <w:sz w:val="16"/>
                <w:szCs w:val="16"/>
              </w:rPr>
              <w:t xml:space="preserve"> – keine Versorgerpflichten, kein Mieterstromregime, kein Zuschlag; Betreibereigenschaft des Mieters muss tatsächlich vorliegen (Verfügungsgewalt über die Fahrweise, Betreiberrisiko, Abrechnung mit dem Netzbetreiber – siehe Glossar in D3); § 51/§ 51a; § 9</w:t>
            </w:r>
          </w:p>
        </w:tc>
      </w:tr>
      <w:tr>
        <w:tc>
          <w:tcPr>
            <w:tcW w:type="dxa" w:w="1400"/>
            <w:shd w:fill="F2F5FA" w:color="auto" w:val="clear"/>
            <w:vAlign w:val="center"/>
          </w:tcPr>
          <w:p>
            <w:pPr>
              <w:spacing w:after="30" w:before="30" w:line="230"/>
              <w:jc w:val="left"/>
            </w:pPr>
            <w:r>
              <w:rPr>
                <w:b/>
                <w:bCs/>
                <w:sz w:val="16"/>
                <w:szCs w:val="16"/>
              </w:rPr>
              <w:t xml:space="preserve">PV-Mieten 2</w:t>
            </w:r>
          </w:p>
        </w:tc>
        <w:tc>
          <w:tcPr>
            <w:tcW w:type="dxa" w:w="1400"/>
            <w:shd w:fill="F2F5FA" w:color="auto" w:val="clear"/>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G</w:t>
            </w:r>
            <w:r>
              <w:rPr>
                <w:sz w:val="16"/>
                <w:szCs w:val="16"/>
              </w:rPr>
              <w:t xml:space="preserve"> | </w:t>
            </w:r>
            <w:r>
              <w:rPr>
                <w:rFonts w:ascii="Consolas" w:cs="Consolas" w:eastAsia="Consolas" w:hAnsi="Consolas"/>
                <w:b/>
                <w:bCs/>
                <w:sz w:val="16"/>
                <w:szCs w:val="16"/>
              </w:rPr>
              <w:t xml:space="preserve">B = V_M</w:t>
            </w:r>
            <w:r>
              <w:rPr>
                <w:sz w:val="16"/>
                <w:szCs w:val="16"/>
              </w:rPr>
              <w:t xml:space="preserve">, 3 Parteien</w:t>
            </w:r>
          </w:p>
        </w:tc>
        <w:tc>
          <w:tcPr>
            <w:tcW w:type="dxa" w:w="1700"/>
            <w:shd w:fill="F2F5FA" w:color="auto" w:val="clear"/>
            <w:vAlign w:val="center"/>
          </w:tcPr>
          <w:p>
            <w:pPr>
              <w:spacing w:after="30" w:before="30" w:line="230"/>
              <w:jc w:val="left"/>
            </w:pPr>
            <w:r>
              <w:rPr>
                <w:sz w:val="16"/>
                <w:szCs w:val="16"/>
              </w:rPr>
              <w:t xml:space="preserve">Eigenverbrauch des mietenden Betreibers (Mieter im Gebäude), Überschuss ins Netz</w:t>
            </w:r>
          </w:p>
        </w:tc>
        <w:tc>
          <w:tcPr>
            <w:tcW w:type="dxa" w:w="1850"/>
            <w:shd w:fill="F2F5FA" w:color="auto" w:val="clear"/>
            <w:vAlign w:val="center"/>
          </w:tcPr>
          <w:p>
            <w:pPr>
              <w:spacing w:after="30" w:before="30" w:line="230"/>
              <w:jc w:val="left"/>
            </w:pPr>
            <w:r>
              <w:rPr>
                <w:b/>
                <w:bCs/>
                <w:sz w:val="16"/>
                <w:szCs w:val="16"/>
              </w:rPr>
              <w:t xml:space="preserve">Pfad Ü</w:t>
            </w:r>
          </w:p>
        </w:tc>
        <w:tc>
          <w:tcPr>
            <w:tcW w:type="dxa" w:w="2600"/>
            <w:shd w:fill="F2F5FA" w:color="auto" w:val="clear"/>
            <w:vAlign w:val="center"/>
          </w:tcPr>
          <w:p>
            <w:pPr>
              <w:spacing w:after="30" w:before="30" w:line="230"/>
              <w:jc w:val="left"/>
            </w:pPr>
            <w:r>
              <w:rPr>
                <w:sz w:val="16"/>
                <w:szCs w:val="16"/>
              </w:rPr>
              <w:t xml:space="preserve">I: Anlagenmiete; G: Flächenentgelt – modellabhängig konfigurierbar; B=V_M: Einspeisevergütung + vermiedener Netzbezug</w:t>
            </w:r>
          </w:p>
        </w:tc>
        <w:tc>
          <w:tcPr>
            <w:tcW w:type="dxa" w:w="2200"/>
            <w:shd w:fill="F2F5FA" w:color="auto" w:val="clear"/>
            <w:vAlign w:val="center"/>
          </w:tcPr>
          <w:p>
            <w:pPr>
              <w:spacing w:after="30" w:before="30" w:line="230"/>
              <w:jc w:val="left"/>
            </w:pPr>
            <w:r>
              <w:rPr>
                <w:sz w:val="16"/>
                <w:szCs w:val="16"/>
              </w:rPr>
              <w:t xml:space="preserve">I: Investition; B=V_M: Anlagenmiete + Betriebskosten + Reststrom; Flächenentgelt trägt vertraglich I oder B (modellabhängig konfigurierbar)</w:t>
            </w:r>
          </w:p>
        </w:tc>
        <w:tc>
          <w:tcPr>
            <w:tcW w:type="dxa" w:w="3420"/>
            <w:shd w:fill="F2F5FA" w:color="auto" w:val="clear"/>
            <w:vAlign w:val="center"/>
          </w:tcPr>
          <w:p>
            <w:pPr>
              <w:spacing w:after="30" w:before="30" w:line="230"/>
              <w:jc w:val="left"/>
            </w:pPr>
            <w:r>
              <w:rPr>
                <w:sz w:val="16"/>
                <w:szCs w:val="16"/>
              </w:rPr>
              <w:t xml:space="preserve">wie Modell 1; </w:t>
            </w:r>
            <w:r>
              <w:rPr>
                <w:b/>
                <w:bCs/>
                <w:sz w:val="16"/>
                <w:szCs w:val="16"/>
              </w:rPr>
              <w:t xml:space="preserve">drei Parteien</w:t>
            </w:r>
            <w:r>
              <w:rPr>
                <w:sz w:val="16"/>
                <w:szCs w:val="16"/>
              </w:rPr>
              <w:t xml:space="preserve">: Gebäudeeigentümer stellt nur die Fläche; Laufzeitrisiko des Wohnungs-/Gewerbemietvertrags</w:t>
            </w:r>
          </w:p>
        </w:tc>
      </w:tr>
      <w:tr>
        <w:tc>
          <w:tcPr>
            <w:tcW w:type="dxa" w:w="1400"/>
            <w:vAlign w:val="center"/>
          </w:tcPr>
          <w:p>
            <w:pPr>
              <w:spacing w:after="30" w:before="30" w:line="230"/>
              <w:jc w:val="left"/>
            </w:pPr>
            <w:r>
              <w:rPr>
                <w:b/>
                <w:bCs/>
                <w:sz w:val="16"/>
                <w:szCs w:val="16"/>
              </w:rPr>
              <w:t xml:space="preserve">PV-Mieten 3</w:t>
            </w:r>
          </w:p>
        </w:tc>
        <w:tc>
          <w:tcPr>
            <w:tcW w:type="dxa" w:w="1400"/>
            <w:vAlign w:val="center"/>
          </w:tcPr>
          <w:p>
            <w:pPr>
              <w:spacing w:after="30" w:before="30" w:line="230"/>
              <w:jc w:val="left"/>
            </w:pPr>
            <w:r>
              <w:rPr>
                <w:rFonts w:ascii="Consolas" w:cs="Consolas" w:eastAsia="Consolas" w:hAnsi="Consolas"/>
                <w:b/>
                <w:bCs/>
                <w:sz w:val="16"/>
                <w:szCs w:val="16"/>
              </w:rPr>
              <w:t xml:space="preserve">I = G</w:t>
            </w:r>
            <w:r>
              <w:rPr>
                <w:sz w:val="16"/>
                <w:szCs w:val="16"/>
              </w:rPr>
              <w:t xml:space="preserve"> | </w:t>
            </w:r>
            <w:r>
              <w:rPr>
                <w:rFonts w:ascii="Consolas" w:cs="Consolas" w:eastAsia="Consolas" w:hAnsi="Consolas"/>
                <w:b/>
                <w:bCs/>
                <w:sz w:val="16"/>
                <w:szCs w:val="16"/>
              </w:rPr>
              <w:t xml:space="preserve">B = V_M</w:t>
            </w:r>
            <w:r>
              <w:rPr>
                <w:sz w:val="16"/>
                <w:szCs w:val="16"/>
              </w:rPr>
              <w:t xml:space="preserve">, 2 Parteien</w:t>
            </w:r>
          </w:p>
        </w:tc>
        <w:tc>
          <w:tcPr>
            <w:tcW w:type="dxa" w:w="1700"/>
            <w:vAlign w:val="center"/>
          </w:tcPr>
          <w:p>
            <w:pPr>
              <w:spacing w:after="30" w:before="30" w:line="230"/>
              <w:jc w:val="left"/>
            </w:pPr>
            <w:r>
              <w:rPr>
                <w:sz w:val="16"/>
                <w:szCs w:val="16"/>
              </w:rPr>
              <w:t xml:space="preserve">Eigenverbrauch des mietenden Betreibers, Überschuss ins Netz</w:t>
            </w:r>
          </w:p>
        </w:tc>
        <w:tc>
          <w:tcPr>
            <w:tcW w:type="dxa" w:w="1850"/>
            <w:vAlign w:val="center"/>
          </w:tcPr>
          <w:p>
            <w:pPr>
              <w:spacing w:after="30" w:before="30" w:line="230"/>
              <w:jc w:val="left"/>
            </w:pPr>
            <w:r>
              <w:rPr>
                <w:b/>
                <w:bCs/>
                <w:sz w:val="16"/>
                <w:szCs w:val="16"/>
              </w:rPr>
              <w:t xml:space="preserve">Pfad Ü</w:t>
            </w:r>
          </w:p>
        </w:tc>
        <w:tc>
          <w:tcPr>
            <w:tcW w:type="dxa" w:w="2600"/>
            <w:vAlign w:val="center"/>
          </w:tcPr>
          <w:p>
            <w:pPr>
              <w:spacing w:after="30" w:before="30" w:line="230"/>
              <w:jc w:val="left"/>
            </w:pPr>
            <w:r>
              <w:rPr>
                <w:sz w:val="16"/>
                <w:szCs w:val="16"/>
              </w:rPr>
              <w:t xml:space="preserve">I=G: Anlagenmiete (Fläche ist eigen, kein separates Flächenentgelt); B=V_M: Einspeisevergütung + vermiedener Netzbezug</w:t>
            </w:r>
          </w:p>
        </w:tc>
        <w:tc>
          <w:tcPr>
            <w:tcW w:type="dxa" w:w="2200"/>
            <w:vAlign w:val="center"/>
          </w:tcPr>
          <w:p>
            <w:pPr>
              <w:spacing w:after="30" w:before="30" w:line="230"/>
              <w:jc w:val="left"/>
            </w:pPr>
            <w:r>
              <w:rPr>
                <w:sz w:val="16"/>
                <w:szCs w:val="16"/>
              </w:rPr>
              <w:t xml:space="preserve">I=G: Investition; B=V_M: Anlagenmiete + Betriebskosten + Reststrom</w:t>
            </w:r>
          </w:p>
        </w:tc>
        <w:tc>
          <w:tcPr>
            <w:tcW w:type="dxa" w:w="3420"/>
            <w:vAlign w:val="center"/>
          </w:tcPr>
          <w:p>
            <w:pPr>
              <w:spacing w:after="30" w:before="30" w:line="230"/>
              <w:jc w:val="left"/>
            </w:pPr>
            <w:r>
              <w:rPr>
                <w:sz w:val="16"/>
                <w:szCs w:val="16"/>
              </w:rPr>
              <w:t xml:space="preserve">wie Modell 1; typische Vermieter-Mieter-Konstellation (DGS-Vertragstypen 2c–2f); Abgrenzung zur Stromlieferung ist der entscheidende Prüfpunkt</w:t>
            </w:r>
          </w:p>
        </w:tc>
      </w:tr>
      <w:tr>
        <w:tc>
          <w:tcPr>
            <w:tcW w:type="dxa" w:w="1400"/>
            <w:shd w:fill="F2F5FA" w:color="auto" w:val="clear"/>
            <w:vAlign w:val="center"/>
          </w:tcPr>
          <w:p>
            <w:pPr>
              <w:spacing w:after="30" w:before="30" w:line="230"/>
              <w:jc w:val="left"/>
            </w:pPr>
            <w:r>
              <w:rPr>
                <w:b/>
                <w:bCs/>
                <w:sz w:val="16"/>
                <w:szCs w:val="16"/>
              </w:rPr>
              <w:t xml:space="preserve">PV-Mieten 4</w:t>
            </w:r>
          </w:p>
        </w:tc>
        <w:tc>
          <w:tcPr>
            <w:tcW w:type="dxa" w:w="1400"/>
            <w:shd w:fill="F2F5FA" w:color="auto" w:val="clear"/>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B = G</w:t>
            </w:r>
            <w:r>
              <w:rPr>
                <w:sz w:val="16"/>
                <w:szCs w:val="16"/>
              </w:rPr>
              <w:t xml:space="preserve"> | </w:t>
            </w:r>
            <w:r>
              <w:rPr>
                <w:rFonts w:ascii="Consolas" w:cs="Consolas" w:eastAsia="Consolas" w:hAnsi="Consolas"/>
                <w:b/>
                <w:bCs/>
                <w:sz w:val="16"/>
                <w:szCs w:val="16"/>
              </w:rPr>
              <w:t xml:space="preserve">V_M</w:t>
            </w:r>
            <w:r>
              <w:rPr>
                <w:sz w:val="16"/>
                <w:szCs w:val="16"/>
              </w:rPr>
              <w:t xml:space="preserve">, 3 Parteien</w:t>
            </w:r>
          </w:p>
        </w:tc>
        <w:tc>
          <w:tcPr>
            <w:tcW w:type="dxa" w:w="1700"/>
            <w:shd w:fill="F2F5FA" w:color="auto" w:val="clear"/>
            <w:vAlign w:val="center"/>
          </w:tcPr>
          <w:p>
            <w:pPr>
              <w:spacing w:after="30" w:before="30" w:line="230"/>
              <w:jc w:val="left"/>
            </w:pPr>
            <w:r>
              <w:rPr>
                <w:b/>
                <w:bCs/>
                <w:sz w:val="16"/>
                <w:szCs w:val="16"/>
              </w:rPr>
              <w:t xml:space="preserve">Lieferung</w:t>
            </w:r>
            <w:r>
              <w:rPr>
                <w:sz w:val="16"/>
                <w:szCs w:val="16"/>
              </w:rPr>
              <w:t xml:space="preserve"> an einen/mehrere Verbraucher durch den mietenden Betreiber, Überschuss ins Netz</w:t>
            </w:r>
          </w:p>
        </w:tc>
        <w:tc>
          <w:tcPr>
            <w:tcW w:type="dxa" w:w="1850"/>
            <w:shd w:fill="F2F5FA" w:color="auto" w:val="clear"/>
            <w:vAlign w:val="center"/>
          </w:tcPr>
          <w:p>
            <w:pPr>
              <w:spacing w:after="30" w:before="30" w:line="230"/>
              <w:jc w:val="left"/>
            </w:pPr>
            <w:r>
              <w:rPr>
                <w:b/>
                <w:bCs/>
                <w:sz w:val="16"/>
                <w:szCs w:val="16"/>
              </w:rPr>
              <w:t xml:space="preserve">Pfad Ü</w:t>
            </w:r>
            <w:r>
              <w:rPr>
                <w:sz w:val="16"/>
                <w:szCs w:val="16"/>
              </w:rPr>
              <w:t xml:space="preserve"> + Mieterstromzuschlag § 48a möglich</w:t>
            </w:r>
          </w:p>
        </w:tc>
        <w:tc>
          <w:tcPr>
            <w:tcW w:type="dxa" w:w="2600"/>
            <w:shd w:fill="F2F5FA" w:color="auto" w:val="clear"/>
            <w:vAlign w:val="center"/>
          </w:tcPr>
          <w:p>
            <w:pPr>
              <w:spacing w:after="30" w:before="30" w:line="230"/>
              <w:jc w:val="left"/>
            </w:pPr>
            <w:r>
              <w:rPr>
                <w:sz w:val="16"/>
                <w:szCs w:val="16"/>
              </w:rPr>
              <w:t xml:space="preserve">I: Anlagenmiete; B=G: Lieferentgelt + Einspeisevergütung + ggf. Mieterstromzuschlag; V_M: keine</w:t>
            </w:r>
          </w:p>
        </w:tc>
        <w:tc>
          <w:tcPr>
            <w:tcW w:type="dxa" w:w="2200"/>
            <w:shd w:fill="F2F5FA" w:color="auto" w:val="clear"/>
            <w:vAlign w:val="center"/>
          </w:tcPr>
          <w:p>
            <w:pPr>
              <w:spacing w:after="30" w:before="30" w:line="230"/>
              <w:jc w:val="left"/>
            </w:pPr>
            <w:r>
              <w:rPr>
                <w:sz w:val="16"/>
                <w:szCs w:val="16"/>
              </w:rPr>
              <w:t xml:space="preserve">I: Investition; B=G: Anlagenmiete + Betriebskosten; V_M: Lieferpreis + Reststrom</w:t>
            </w:r>
          </w:p>
        </w:tc>
        <w:tc>
          <w:tcPr>
            <w:tcW w:type="dxa" w:w="3420"/>
            <w:shd w:fill="F2F5FA" w:color="auto" w:val="clear"/>
            <w:vAlign w:val="center"/>
          </w:tcPr>
          <w:p>
            <w:pPr>
              <w:spacing w:after="30" w:before="30" w:line="230"/>
              <w:jc w:val="left"/>
            </w:pPr>
            <w:r>
              <w:rPr>
                <w:b/>
                <w:bCs/>
                <w:sz w:val="16"/>
                <w:szCs w:val="16"/>
              </w:rPr>
              <w:t xml:space="preserve">Hier liegt eine Lieferung vor</w:t>
            </w:r>
            <w:r>
              <w:rPr>
                <w:sz w:val="16"/>
                <w:szCs w:val="16"/>
              </w:rPr>
              <w:t xml:space="preserve"> – anders als in den Modellen 1–3: Versorgerpflichten, Umsatzsteuer auf die Lieferung, § 42a/§ 42b-Wahl; § 51/§ 51a; § 9</w:t>
            </w:r>
          </w:p>
        </w:tc>
      </w:tr>
      <w:tr>
        <w:tc>
          <w:tcPr>
            <w:tcW w:type="dxa" w:w="1400"/>
            <w:vAlign w:val="center"/>
          </w:tcPr>
          <w:p>
            <w:pPr>
              <w:spacing w:after="30" w:before="30" w:line="230"/>
              <w:jc w:val="left"/>
            </w:pPr>
            <w:r>
              <w:rPr>
                <w:b/>
                <w:bCs/>
                <w:sz w:val="16"/>
                <w:szCs w:val="16"/>
              </w:rPr>
              <w:t xml:space="preserve">PV-Mieten 5</w:t>
            </w:r>
          </w:p>
        </w:tc>
        <w:tc>
          <w:tcPr>
            <w:tcW w:type="dxa" w:w="1400"/>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B_Haupt = G</w:t>
            </w:r>
            <w:r>
              <w:rPr>
                <w:sz w:val="16"/>
                <w:szCs w:val="16"/>
              </w:rPr>
              <w:t xml:space="preserve"> | </w:t>
            </w:r>
            <w:r>
              <w:rPr>
                <w:rFonts w:ascii="Consolas" w:cs="Consolas" w:eastAsia="Consolas" w:hAnsi="Consolas"/>
                <w:b/>
                <w:bCs/>
                <w:sz w:val="16"/>
                <w:szCs w:val="16"/>
              </w:rPr>
              <w:t xml:space="preserve">V_M = B_Mit</w:t>
            </w:r>
            <w:r>
              <w:rPr>
                <w:sz w:val="16"/>
                <w:szCs w:val="16"/>
              </w:rPr>
              <w:t xml:space="preserve">, 3 Parteien</w:t>
            </w:r>
          </w:p>
        </w:tc>
        <w:tc>
          <w:tcPr>
            <w:tcW w:type="dxa" w:w="1700"/>
            <w:vAlign w:val="center"/>
          </w:tcPr>
          <w:p>
            <w:pPr>
              <w:spacing w:after="30" w:before="30" w:line="230"/>
              <w:jc w:val="left"/>
            </w:pPr>
            <w:r>
              <w:rPr>
                <w:sz w:val="16"/>
                <w:szCs w:val="16"/>
              </w:rPr>
              <w:t xml:space="preserve">Anteiliger Eigenverbrauch des Mitbetreibers (Teilvermietung), Überschuss ins Netz durch den Hauptbetreiber</w:t>
            </w:r>
          </w:p>
        </w:tc>
        <w:tc>
          <w:tcPr>
            <w:tcW w:type="dxa" w:w="1850"/>
            <w:vAlign w:val="center"/>
          </w:tcPr>
          <w:p>
            <w:pPr>
              <w:spacing w:after="30" w:before="30" w:line="230"/>
              <w:jc w:val="left"/>
            </w:pPr>
            <w:r>
              <w:rPr>
                <w:b/>
                <w:bCs/>
                <w:sz w:val="16"/>
                <w:szCs w:val="16"/>
              </w:rPr>
              <w:t xml:space="preserve">Pfad Ü</w:t>
            </w:r>
          </w:p>
        </w:tc>
        <w:tc>
          <w:tcPr>
            <w:tcW w:type="dxa" w:w="2600"/>
            <w:vAlign w:val="center"/>
          </w:tcPr>
          <w:p>
            <w:pPr>
              <w:spacing w:after="30" w:before="30" w:line="230"/>
              <w:jc w:val="left"/>
            </w:pPr>
            <w:r>
              <w:rPr>
                <w:sz w:val="16"/>
                <w:szCs w:val="16"/>
              </w:rPr>
              <w:t xml:space="preserve">I: Anlagenmiete; B_Haupt=G: Teilmietentgelt vom Mitbetreiber + Einspeisevergütung; B_Mit=V_M: vermiedener Netzbezug</w:t>
            </w:r>
          </w:p>
        </w:tc>
        <w:tc>
          <w:tcPr>
            <w:tcW w:type="dxa" w:w="2200"/>
            <w:vAlign w:val="center"/>
          </w:tcPr>
          <w:p>
            <w:pPr>
              <w:spacing w:after="30" w:before="30" w:line="230"/>
              <w:jc w:val="left"/>
            </w:pPr>
            <w:r>
              <w:rPr>
                <w:sz w:val="16"/>
                <w:szCs w:val="16"/>
              </w:rPr>
              <w:t xml:space="preserve">I: Investition; B_Haupt: Anlagenmiete + Betriebskosten; B_Mit: Teilmiete + Reststrom</w:t>
            </w:r>
          </w:p>
        </w:tc>
        <w:tc>
          <w:tcPr>
            <w:tcW w:type="dxa" w:w="3420"/>
            <w:vAlign w:val="center"/>
          </w:tcPr>
          <w:p>
            <w:pPr>
              <w:spacing w:after="30" w:before="30" w:line="230"/>
              <w:jc w:val="left"/>
            </w:pPr>
            <w:r>
              <w:rPr>
                <w:sz w:val="16"/>
                <w:szCs w:val="16"/>
              </w:rPr>
              <w:t xml:space="preserve">Eigenverbrauch statt Lieferung auch für den Mitbetreiber; Anteilszuordnung erfordert ein tragfähiges Zählerkonzept; Betreiberrisiken des Mitbetreibers werden im Innenverhältnis auf den Hauptbetreiber übertragen (siehe Glossar in D3); § 51/§ 51a; § 9</w:t>
            </w:r>
          </w:p>
        </w:tc>
      </w:tr>
      <w:tr>
        <w:tc>
          <w:tcPr>
            <w:tcW w:type="dxa" w:w="1400"/>
            <w:shd w:fill="F2F5FA" w:color="auto" w:val="clear"/>
            <w:vAlign w:val="center"/>
          </w:tcPr>
          <w:p>
            <w:pPr>
              <w:spacing w:after="30" w:before="30" w:line="230"/>
              <w:jc w:val="left"/>
            </w:pPr>
            <w:r>
              <w:rPr>
                <w:b/>
                <w:bCs/>
                <w:sz w:val="16"/>
                <w:szCs w:val="16"/>
              </w:rPr>
              <w:t xml:space="preserve">PV-Mieten 6</w:t>
            </w:r>
          </w:p>
        </w:tc>
        <w:tc>
          <w:tcPr>
            <w:tcW w:type="dxa" w:w="1400"/>
            <w:shd w:fill="F2F5FA" w:color="auto" w:val="clear"/>
            <w:vAlign w:val="center"/>
          </w:tcPr>
          <w:p>
            <w:pPr>
              <w:spacing w:after="30" w:before="30" w:line="230"/>
              <w:jc w:val="left"/>
            </w:pPr>
            <w:r>
              <w:rPr>
                <w:rFonts w:ascii="Consolas" w:cs="Consolas" w:eastAsia="Consolas" w:hAnsi="Consolas"/>
                <w:b/>
                <w:bCs/>
                <w:sz w:val="16"/>
                <w:szCs w:val="16"/>
              </w:rPr>
              <w:t xml:space="preserve">I = G</w:t>
            </w:r>
            <w:r>
              <w:rPr>
                <w:sz w:val="16"/>
                <w:szCs w:val="16"/>
              </w:rPr>
              <w:t xml:space="preserve"> | </w:t>
            </w:r>
            <w:r>
              <w:rPr>
                <w:rFonts w:ascii="Consolas" w:cs="Consolas" w:eastAsia="Consolas" w:hAnsi="Consolas"/>
                <w:b/>
                <w:bCs/>
                <w:sz w:val="16"/>
                <w:szCs w:val="16"/>
              </w:rPr>
              <w:t xml:space="preserve">B_Haupt = V_M</w:t>
            </w:r>
            <w:r>
              <w:rPr>
                <w:sz w:val="16"/>
                <w:szCs w:val="16"/>
              </w:rPr>
              <w:t xml:space="preserve"> | </w:t>
            </w:r>
            <w:r>
              <w:rPr>
                <w:rFonts w:ascii="Consolas" w:cs="Consolas" w:eastAsia="Consolas" w:hAnsi="Consolas"/>
                <w:b/>
                <w:bCs/>
                <w:sz w:val="16"/>
                <w:szCs w:val="16"/>
              </w:rPr>
              <w:t xml:space="preserve">V_W = B_Mit</w:t>
            </w:r>
            <w:r>
              <w:rPr>
                <w:sz w:val="16"/>
                <w:szCs w:val="16"/>
              </w:rPr>
              <w:t xml:space="preserve">, 3 Parteien</w:t>
            </w:r>
          </w:p>
        </w:tc>
        <w:tc>
          <w:tcPr>
            <w:tcW w:type="dxa" w:w="1700"/>
            <w:shd w:fill="F2F5FA" w:color="auto" w:val="clear"/>
            <w:vAlign w:val="center"/>
          </w:tcPr>
          <w:p>
            <w:pPr>
              <w:spacing w:after="30" w:before="30" w:line="230"/>
              <w:jc w:val="left"/>
            </w:pPr>
            <w:r>
              <w:rPr>
                <w:sz w:val="16"/>
                <w:szCs w:val="16"/>
              </w:rPr>
              <w:t xml:space="preserve">Eigenverbrauch des Hauptbetreibers </w:t>
            </w:r>
            <w:r>
              <w:rPr>
                <w:b/>
                <w:bCs/>
                <w:sz w:val="16"/>
                <w:szCs w:val="16"/>
              </w:rPr>
              <w:t xml:space="preserve">und</w:t>
            </w:r>
            <w:r>
              <w:rPr>
                <w:sz w:val="16"/>
                <w:szCs w:val="16"/>
              </w:rPr>
              <w:t xml:space="preserve"> anteiliger Eigenverbrauch des Mitbetreibers, Überschuss ins Netz durch den Hauptbetreiber</w:t>
            </w:r>
          </w:p>
        </w:tc>
        <w:tc>
          <w:tcPr>
            <w:tcW w:type="dxa" w:w="1850"/>
            <w:shd w:fill="F2F5FA" w:color="auto" w:val="clear"/>
            <w:vAlign w:val="center"/>
          </w:tcPr>
          <w:p>
            <w:pPr>
              <w:spacing w:after="30" w:before="30" w:line="230"/>
              <w:jc w:val="left"/>
            </w:pPr>
            <w:r>
              <w:rPr>
                <w:b/>
                <w:bCs/>
                <w:sz w:val="16"/>
                <w:szCs w:val="16"/>
              </w:rPr>
              <w:t xml:space="preserve">Pfad Ü</w:t>
            </w:r>
          </w:p>
        </w:tc>
        <w:tc>
          <w:tcPr>
            <w:tcW w:type="dxa" w:w="2600"/>
            <w:shd w:fill="F2F5FA" w:color="auto" w:val="clear"/>
            <w:vAlign w:val="center"/>
          </w:tcPr>
          <w:p>
            <w:pPr>
              <w:spacing w:after="30" w:before="30" w:line="230"/>
              <w:jc w:val="left"/>
            </w:pPr>
            <w:r>
              <w:rPr>
                <w:sz w:val="16"/>
                <w:szCs w:val="16"/>
              </w:rPr>
              <w:t xml:space="preserve">I=G: Anlagenmiete; B_Haupt=V_M: vermiedener Netzbezug + Teilmietentgelt + Einspeisevergütung; B_Mit=V_W: vermiedener Netzbezug</w:t>
            </w:r>
          </w:p>
        </w:tc>
        <w:tc>
          <w:tcPr>
            <w:tcW w:type="dxa" w:w="2200"/>
            <w:shd w:fill="F2F5FA" w:color="auto" w:val="clear"/>
            <w:vAlign w:val="center"/>
          </w:tcPr>
          <w:p>
            <w:pPr>
              <w:spacing w:after="30" w:before="30" w:line="230"/>
              <w:jc w:val="left"/>
            </w:pPr>
            <w:r>
              <w:rPr>
                <w:sz w:val="16"/>
                <w:szCs w:val="16"/>
              </w:rPr>
              <w:t xml:space="preserve">I=G: Investition; B_Haupt: Anlagenmiete + Betriebskosten + Reststrom; B_Mit: Teilmiete + Reststrom</w:t>
            </w:r>
          </w:p>
        </w:tc>
        <w:tc>
          <w:tcPr>
            <w:tcW w:type="dxa" w:w="3420"/>
            <w:shd w:fill="F2F5FA" w:color="auto" w:val="clear"/>
            <w:vAlign w:val="center"/>
          </w:tcPr>
          <w:p>
            <w:pPr>
              <w:spacing w:after="30" w:before="30" w:line="230"/>
              <w:jc w:val="left"/>
            </w:pPr>
            <w:r>
              <w:rPr>
                <w:sz w:val="16"/>
                <w:szCs w:val="16"/>
              </w:rPr>
              <w:t xml:space="preserve">wie Modell 5; zusätzlich: der Hauptbetreiber ist selbst Mieter im Gebäude des Investors – doppelte Vertragsbeziehung (Raummiete und Anlagenmiete)</w:t>
            </w:r>
          </w:p>
        </w:tc>
      </w:tr>
      <w:tr>
        <w:tc>
          <w:tcPr>
            <w:tcW w:type="dxa" w:w="1400"/>
            <w:vAlign w:val="center"/>
          </w:tcPr>
          <w:p>
            <w:pPr>
              <w:spacing w:after="30" w:before="30" w:line="230"/>
              <w:jc w:val="left"/>
            </w:pPr>
            <w:r>
              <w:rPr>
                <w:b/>
                <w:bCs/>
                <w:sz w:val="16"/>
                <w:szCs w:val="16"/>
              </w:rPr>
              <w:t xml:space="preserve">PV-Mieten 7</w:t>
            </w:r>
          </w:p>
        </w:tc>
        <w:tc>
          <w:tcPr>
            <w:tcW w:type="dxa" w:w="1400"/>
            <w:vAlign w:val="center"/>
          </w:tcPr>
          <w:p>
            <w:pPr>
              <w:spacing w:after="30" w:before="30" w:line="230"/>
              <w:jc w:val="left"/>
            </w:pPr>
            <w:r>
              <w:rPr>
                <w:rFonts w:ascii="Consolas" w:cs="Consolas" w:eastAsia="Consolas" w:hAnsi="Consolas"/>
                <w:b/>
                <w:bCs/>
                <w:sz w:val="16"/>
                <w:szCs w:val="16"/>
              </w:rPr>
              <w:t xml:space="preserve">I = G</w:t>
            </w:r>
            <w:r>
              <w:rPr>
                <w:sz w:val="16"/>
                <w:szCs w:val="16"/>
              </w:rPr>
              <w:t xml:space="preserve"> | </w:t>
            </w:r>
            <w:r>
              <w:rPr>
                <w:rFonts w:ascii="Consolas" w:cs="Consolas" w:eastAsia="Consolas" w:hAnsi="Consolas"/>
                <w:b/>
                <w:bCs/>
                <w:sz w:val="16"/>
                <w:szCs w:val="16"/>
              </w:rPr>
              <w:t xml:space="preserve">B = V_M</w:t>
            </w:r>
            <w:r>
              <w:rPr>
                <w:sz w:val="16"/>
                <w:szCs w:val="16"/>
              </w:rPr>
              <w:t xml:space="preserve"> | </w:t>
            </w:r>
            <w:r>
              <w:rPr>
                <w:rFonts w:ascii="Consolas" w:cs="Consolas" w:eastAsia="Consolas" w:hAnsi="Consolas"/>
                <w:b/>
                <w:bCs/>
                <w:sz w:val="16"/>
                <w:szCs w:val="16"/>
              </w:rPr>
              <w:t xml:space="preserve">V_W</w:t>
            </w:r>
            <w:r>
              <w:rPr>
                <w:sz w:val="16"/>
                <w:szCs w:val="16"/>
              </w:rPr>
              <w:t xml:space="preserve">, 3 Parteien</w:t>
            </w:r>
          </w:p>
        </w:tc>
        <w:tc>
          <w:tcPr>
            <w:tcW w:type="dxa" w:w="1700"/>
            <w:vAlign w:val="center"/>
          </w:tcPr>
          <w:p>
            <w:pPr>
              <w:spacing w:after="30" w:before="30" w:line="230"/>
              <w:jc w:val="left"/>
            </w:pPr>
            <w:r>
              <w:rPr>
                <w:sz w:val="16"/>
                <w:szCs w:val="16"/>
              </w:rPr>
              <w:t xml:space="preserve">Eigenverbrauch des mietenden Betreibers </w:t>
            </w:r>
            <w:r>
              <w:rPr>
                <w:b/>
                <w:bCs/>
                <w:sz w:val="16"/>
                <w:szCs w:val="16"/>
              </w:rPr>
              <w:t xml:space="preserve">und Lieferung</w:t>
            </w:r>
            <w:r>
              <w:rPr>
                <w:sz w:val="16"/>
                <w:szCs w:val="16"/>
              </w:rPr>
              <w:t xml:space="preserve"> an weitere Verbraucher, Überschuss ins Netz</w:t>
            </w:r>
          </w:p>
        </w:tc>
        <w:tc>
          <w:tcPr>
            <w:tcW w:type="dxa" w:w="1850"/>
            <w:vAlign w:val="center"/>
          </w:tcPr>
          <w:p>
            <w:pPr>
              <w:spacing w:after="30" w:before="30" w:line="230"/>
              <w:jc w:val="left"/>
            </w:pPr>
            <w:r>
              <w:rPr>
                <w:b/>
                <w:bCs/>
                <w:sz w:val="16"/>
                <w:szCs w:val="16"/>
              </w:rPr>
              <w:t xml:space="preserve">Pfad Ü</w:t>
            </w:r>
            <w:r>
              <w:rPr>
                <w:sz w:val="16"/>
                <w:szCs w:val="16"/>
              </w:rPr>
              <w:t xml:space="preserve"> + Mieterstromzuschlag § 48a möglich</w:t>
            </w:r>
          </w:p>
        </w:tc>
        <w:tc>
          <w:tcPr>
            <w:tcW w:type="dxa" w:w="2600"/>
            <w:vAlign w:val="center"/>
          </w:tcPr>
          <w:p>
            <w:pPr>
              <w:spacing w:after="30" w:before="30" w:line="230"/>
              <w:jc w:val="left"/>
            </w:pPr>
            <w:r>
              <w:rPr>
                <w:sz w:val="16"/>
                <w:szCs w:val="16"/>
              </w:rPr>
              <w:t xml:space="preserve">I=G: Anlagenmiete; B=V_M: vermiedener Netzbezug + Lieferentgelt + Einspeisevergütung + ggf. Mieterstromzuschlag; V_W: keine</w:t>
            </w:r>
          </w:p>
        </w:tc>
        <w:tc>
          <w:tcPr>
            <w:tcW w:type="dxa" w:w="2200"/>
            <w:vAlign w:val="center"/>
          </w:tcPr>
          <w:p>
            <w:pPr>
              <w:spacing w:after="30" w:before="30" w:line="230"/>
              <w:jc w:val="left"/>
            </w:pPr>
            <w:r>
              <w:rPr>
                <w:sz w:val="16"/>
                <w:szCs w:val="16"/>
              </w:rPr>
              <w:t xml:space="preserve">I=G: Investition; B=V_M: Anlagenmiete + Betriebskosten + Reststrom; V_W: Lieferpreis + Reststrom</w:t>
            </w:r>
          </w:p>
        </w:tc>
        <w:tc>
          <w:tcPr>
            <w:tcW w:type="dxa" w:w="3420"/>
            <w:vAlign w:val="center"/>
          </w:tcPr>
          <w:p>
            <w:pPr>
              <w:spacing w:after="30" w:before="30" w:line="230"/>
              <w:jc w:val="left"/>
            </w:pPr>
            <w:r>
              <w:rPr>
                <w:b/>
                <w:bCs/>
                <w:sz w:val="16"/>
                <w:szCs w:val="16"/>
              </w:rPr>
              <w:t xml:space="preserve">Mischform</w:t>
            </w:r>
            <w:r>
              <w:rPr>
                <w:sz w:val="16"/>
                <w:szCs w:val="16"/>
              </w:rPr>
              <w:t xml:space="preserve">: Eigenverbrauch (keine Lieferung) und Belieferung Dritter (volle Versorgerpflichten) im selben Modell – messtechnische Trennung zwingend; § 42a/§ 42b-Wahl; § 51/§ 51a; § 9</w:t>
            </w:r>
          </w:p>
        </w:tc>
      </w:tr>
      <w:tr>
        <w:tc>
          <w:tcPr>
            <w:tcW w:type="dxa" w:w="1400"/>
            <w:shd w:fill="F2F5FA" w:color="auto" w:val="clear"/>
            <w:vAlign w:val="center"/>
          </w:tcPr>
          <w:p>
            <w:pPr>
              <w:spacing w:after="30" w:before="30" w:line="230"/>
              <w:jc w:val="left"/>
            </w:pPr>
            <w:r>
              <w:rPr>
                <w:b/>
                <w:bCs/>
                <w:sz w:val="16"/>
                <w:szCs w:val="16"/>
              </w:rPr>
              <w:t xml:space="preserve">PV-Mieten 8</w:t>
            </w:r>
          </w:p>
        </w:tc>
        <w:tc>
          <w:tcPr>
            <w:tcW w:type="dxa" w:w="1400"/>
            <w:shd w:fill="F2F5FA" w:color="auto" w:val="clear"/>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B_Haupt = G = V_G</w:t>
            </w:r>
            <w:r>
              <w:rPr>
                <w:sz w:val="16"/>
                <w:szCs w:val="16"/>
              </w:rPr>
              <w:t xml:space="preserve"> | </w:t>
            </w:r>
            <w:r>
              <w:rPr>
                <w:rFonts w:ascii="Consolas" w:cs="Consolas" w:eastAsia="Consolas" w:hAnsi="Consolas"/>
                <w:b/>
                <w:bCs/>
                <w:sz w:val="16"/>
                <w:szCs w:val="16"/>
              </w:rPr>
              <w:t xml:space="preserve">B_Mit = V_M</w:t>
            </w:r>
            <w:r>
              <w:rPr>
                <w:sz w:val="16"/>
                <w:szCs w:val="16"/>
              </w:rPr>
              <w:t xml:space="preserve">, 3 Parteien</w:t>
            </w:r>
          </w:p>
        </w:tc>
        <w:tc>
          <w:tcPr>
            <w:tcW w:type="dxa" w:w="1700"/>
            <w:shd w:fill="F2F5FA" w:color="auto" w:val="clear"/>
            <w:vAlign w:val="center"/>
          </w:tcPr>
          <w:p>
            <w:pPr>
              <w:spacing w:after="30" w:before="30" w:line="230"/>
              <w:jc w:val="left"/>
            </w:pPr>
            <w:r>
              <w:rPr>
                <w:sz w:val="16"/>
                <w:szCs w:val="16"/>
              </w:rPr>
              <w:t xml:space="preserve">Eigenverbrauch des Hauptbetreibers und anteiliger Eigenverbrauch des Mitbetreibers, Überschuss ins Netz</w:t>
            </w:r>
          </w:p>
        </w:tc>
        <w:tc>
          <w:tcPr>
            <w:tcW w:type="dxa" w:w="1850"/>
            <w:shd w:fill="F2F5FA" w:color="auto" w:val="clear"/>
            <w:vAlign w:val="center"/>
          </w:tcPr>
          <w:p>
            <w:pPr>
              <w:spacing w:after="30" w:before="30" w:line="230"/>
              <w:jc w:val="left"/>
            </w:pPr>
            <w:r>
              <w:rPr>
                <w:b/>
                <w:bCs/>
                <w:sz w:val="16"/>
                <w:szCs w:val="16"/>
              </w:rPr>
              <w:t xml:space="preserve">Pfad Ü</w:t>
            </w:r>
          </w:p>
        </w:tc>
        <w:tc>
          <w:tcPr>
            <w:tcW w:type="dxa" w:w="2600"/>
            <w:shd w:fill="F2F5FA" w:color="auto" w:val="clear"/>
            <w:vAlign w:val="center"/>
          </w:tcPr>
          <w:p>
            <w:pPr>
              <w:spacing w:after="30" w:before="30" w:line="230"/>
              <w:jc w:val="left"/>
            </w:pPr>
            <w:r>
              <w:rPr>
                <w:sz w:val="16"/>
                <w:szCs w:val="16"/>
              </w:rPr>
              <w:t xml:space="preserve">I: Anlagenmiete; B_Haupt=G=V_G: vermiedener Netzbezug + Teilmietentgelt + Einspeisevergütung; B_Mit=V_M: vermiedener Netzbezug</w:t>
            </w:r>
          </w:p>
        </w:tc>
        <w:tc>
          <w:tcPr>
            <w:tcW w:type="dxa" w:w="2200"/>
            <w:shd w:fill="F2F5FA" w:color="auto" w:val="clear"/>
            <w:vAlign w:val="center"/>
          </w:tcPr>
          <w:p>
            <w:pPr>
              <w:spacing w:after="30" w:before="30" w:line="230"/>
              <w:jc w:val="left"/>
            </w:pPr>
            <w:r>
              <w:rPr>
                <w:sz w:val="16"/>
                <w:szCs w:val="16"/>
              </w:rPr>
              <w:t xml:space="preserve">I: Investition; B_Haupt: Anlagenmiete + Betriebskosten + Reststrom; B_Mit: Teilmiete + Reststrom</w:t>
            </w:r>
          </w:p>
        </w:tc>
        <w:tc>
          <w:tcPr>
            <w:tcW w:type="dxa" w:w="3420"/>
            <w:shd w:fill="F2F5FA" w:color="auto" w:val="clear"/>
            <w:vAlign w:val="center"/>
          </w:tcPr>
          <w:p>
            <w:pPr>
              <w:spacing w:after="30" w:before="30" w:line="230"/>
              <w:jc w:val="left"/>
            </w:pPr>
            <w:r>
              <w:rPr>
                <w:sz w:val="16"/>
                <w:szCs w:val="16"/>
              </w:rPr>
              <w:t xml:space="preserve">wie Modell 5; der Hauptbetreiber ist zugleich Gebäudeeigentümer – Flächenfrage entfällt, Anteilsabgrenzung bleibt</w:t>
            </w:r>
          </w:p>
        </w:tc>
      </w:tr>
      <w:tr>
        <w:tc>
          <w:tcPr>
            <w:tcW w:type="dxa" w:w="1400"/>
            <w:vAlign w:val="center"/>
          </w:tcPr>
          <w:p>
            <w:pPr>
              <w:spacing w:after="30" w:before="30" w:line="230"/>
              <w:jc w:val="left"/>
            </w:pPr>
            <w:r>
              <w:rPr>
                <w:b/>
                <w:bCs/>
                <w:sz w:val="16"/>
                <w:szCs w:val="16"/>
              </w:rPr>
              <w:t xml:space="preserve">PV-Mieten 9</w:t>
            </w:r>
          </w:p>
        </w:tc>
        <w:tc>
          <w:tcPr>
            <w:tcW w:type="dxa" w:w="1400"/>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B = G = V_G</w:t>
            </w:r>
            <w:r>
              <w:rPr>
                <w:sz w:val="16"/>
                <w:szCs w:val="16"/>
              </w:rPr>
              <w:t xml:space="preserve"> | </w:t>
            </w:r>
            <w:r>
              <w:rPr>
                <w:rFonts w:ascii="Consolas" w:cs="Consolas" w:eastAsia="Consolas" w:hAnsi="Consolas"/>
                <w:b/>
                <w:bCs/>
                <w:sz w:val="16"/>
                <w:szCs w:val="16"/>
              </w:rPr>
              <w:t xml:space="preserve">V_M</w:t>
            </w:r>
            <w:r>
              <w:rPr>
                <w:sz w:val="16"/>
                <w:szCs w:val="16"/>
              </w:rPr>
              <w:t xml:space="preserve">, 3 Parteien</w:t>
            </w:r>
          </w:p>
        </w:tc>
        <w:tc>
          <w:tcPr>
            <w:tcW w:type="dxa" w:w="1700"/>
            <w:vAlign w:val="center"/>
          </w:tcPr>
          <w:p>
            <w:pPr>
              <w:spacing w:after="30" w:before="30" w:line="230"/>
              <w:jc w:val="left"/>
            </w:pPr>
            <w:r>
              <w:rPr>
                <w:sz w:val="16"/>
                <w:szCs w:val="16"/>
              </w:rPr>
              <w:t xml:space="preserve">Eigenverbrauch des mietenden Betreibers </w:t>
            </w:r>
            <w:r>
              <w:rPr>
                <w:b/>
                <w:bCs/>
                <w:sz w:val="16"/>
                <w:szCs w:val="16"/>
              </w:rPr>
              <w:t xml:space="preserve">und Lieferung</w:t>
            </w:r>
            <w:r>
              <w:rPr>
                <w:sz w:val="16"/>
                <w:szCs w:val="16"/>
              </w:rPr>
              <w:t xml:space="preserve"> an Dritte, Überschuss ins Netz</w:t>
            </w:r>
          </w:p>
        </w:tc>
        <w:tc>
          <w:tcPr>
            <w:tcW w:type="dxa" w:w="1850"/>
            <w:vAlign w:val="center"/>
          </w:tcPr>
          <w:p>
            <w:pPr>
              <w:spacing w:after="30" w:before="30" w:line="230"/>
              <w:jc w:val="left"/>
            </w:pPr>
            <w:r>
              <w:rPr>
                <w:b/>
                <w:bCs/>
                <w:sz w:val="16"/>
                <w:szCs w:val="16"/>
              </w:rPr>
              <w:t xml:space="preserve">Pfad Ü</w:t>
            </w:r>
            <w:r>
              <w:rPr>
                <w:sz w:val="16"/>
                <w:szCs w:val="16"/>
              </w:rPr>
              <w:t xml:space="preserve"> + Mieterstromzuschlag § 48a möglich</w:t>
            </w:r>
          </w:p>
        </w:tc>
        <w:tc>
          <w:tcPr>
            <w:tcW w:type="dxa" w:w="2600"/>
            <w:vAlign w:val="center"/>
          </w:tcPr>
          <w:p>
            <w:pPr>
              <w:spacing w:after="30" w:before="30" w:line="230"/>
              <w:jc w:val="left"/>
            </w:pPr>
            <w:r>
              <w:rPr>
                <w:sz w:val="16"/>
                <w:szCs w:val="16"/>
              </w:rPr>
              <w:t xml:space="preserve">I: Anlagenmiete; B=G=V_G: vermiedener Netzbezug + Lieferentgelt + Einspeisevergütung + ggf. Mieterstromzuschlag; V_M: keine</w:t>
            </w:r>
          </w:p>
        </w:tc>
        <w:tc>
          <w:tcPr>
            <w:tcW w:type="dxa" w:w="2200"/>
            <w:vAlign w:val="center"/>
          </w:tcPr>
          <w:p>
            <w:pPr>
              <w:spacing w:after="30" w:before="30" w:line="230"/>
              <w:jc w:val="left"/>
            </w:pPr>
            <w:r>
              <w:rPr>
                <w:sz w:val="16"/>
                <w:szCs w:val="16"/>
              </w:rPr>
              <w:t xml:space="preserve">I: Investition; B=G=V_G: Anlagenmiete + Betriebskosten + Reststrom; V_M: Lieferpreis + Reststrom</w:t>
            </w:r>
          </w:p>
        </w:tc>
        <w:tc>
          <w:tcPr>
            <w:tcW w:type="dxa" w:w="3420"/>
            <w:vAlign w:val="center"/>
          </w:tcPr>
          <w:p>
            <w:pPr>
              <w:spacing w:after="30" w:before="30" w:line="230"/>
              <w:jc w:val="left"/>
            </w:pPr>
            <w:r>
              <w:rPr>
                <w:sz w:val="16"/>
                <w:szCs w:val="16"/>
              </w:rPr>
              <w:t xml:space="preserve">wie Modell 7; klassische Konstellation „Eigentümer mietet die Anlage und beliefert seine Mieter“</w:t>
            </w:r>
          </w:p>
        </w:tc>
      </w:tr>
      <w:tr>
        <w:tc>
          <w:tcPr>
            <w:tcW w:type="dxa" w:w="1400"/>
            <w:shd w:fill="F2F5FA" w:color="auto" w:val="clear"/>
            <w:vAlign w:val="center"/>
          </w:tcPr>
          <w:p>
            <w:pPr>
              <w:spacing w:after="30" w:before="30" w:line="230"/>
              <w:jc w:val="left"/>
            </w:pPr>
            <w:r>
              <w:rPr>
                <w:b/>
                <w:bCs/>
                <w:sz w:val="16"/>
                <w:szCs w:val="16"/>
              </w:rPr>
              <w:t xml:space="preserve">PV-Mieten 10</w:t>
            </w:r>
          </w:p>
        </w:tc>
        <w:tc>
          <w:tcPr>
            <w:tcW w:type="dxa" w:w="1400"/>
            <w:shd w:fill="F2F5FA" w:color="auto" w:val="clear"/>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G</w:t>
            </w:r>
            <w:r>
              <w:rPr>
                <w:sz w:val="16"/>
                <w:szCs w:val="16"/>
              </w:rPr>
              <w:t xml:space="preserve"> | </w:t>
            </w:r>
            <w:r>
              <w:rPr>
                <w:rFonts w:ascii="Consolas" w:cs="Consolas" w:eastAsia="Consolas" w:hAnsi="Consolas"/>
                <w:b/>
                <w:bCs/>
                <w:sz w:val="16"/>
                <w:szCs w:val="16"/>
              </w:rPr>
              <w:t xml:space="preserve">B_Haupt = V_M</w:t>
            </w:r>
            <w:r>
              <w:rPr>
                <w:sz w:val="16"/>
                <w:szCs w:val="16"/>
              </w:rPr>
              <w:t xml:space="preserve"> | </w:t>
            </w:r>
            <w:r>
              <w:rPr>
                <w:rFonts w:ascii="Consolas" w:cs="Consolas" w:eastAsia="Consolas" w:hAnsi="Consolas"/>
                <w:b/>
                <w:bCs/>
                <w:sz w:val="16"/>
                <w:szCs w:val="16"/>
              </w:rPr>
              <w:t xml:space="preserve">V_W = B_Mit</w:t>
            </w:r>
            <w:r>
              <w:rPr>
                <w:sz w:val="16"/>
                <w:szCs w:val="16"/>
              </w:rPr>
              <w:t xml:space="preserve">, </w:t>
            </w:r>
            <w:r>
              <w:rPr>
                <w:b/>
                <w:bCs/>
                <w:sz w:val="16"/>
                <w:szCs w:val="16"/>
              </w:rPr>
              <w:t xml:space="preserve">4 Parteien</w:t>
            </w:r>
          </w:p>
        </w:tc>
        <w:tc>
          <w:tcPr>
            <w:tcW w:type="dxa" w:w="1700"/>
            <w:shd w:fill="F2F5FA" w:color="auto" w:val="clear"/>
            <w:vAlign w:val="center"/>
          </w:tcPr>
          <w:p>
            <w:pPr>
              <w:spacing w:after="30" w:before="30" w:line="230"/>
              <w:jc w:val="left"/>
            </w:pPr>
            <w:r>
              <w:rPr>
                <w:sz w:val="16"/>
                <w:szCs w:val="16"/>
              </w:rPr>
              <w:t xml:space="preserve">Eigenverbrauch des Hauptbetreibers und anteiliger Eigenverbrauch des Mitbetreibers, Überschuss ins Netz</w:t>
            </w:r>
          </w:p>
        </w:tc>
        <w:tc>
          <w:tcPr>
            <w:tcW w:type="dxa" w:w="1850"/>
            <w:shd w:fill="F2F5FA" w:color="auto" w:val="clear"/>
            <w:vAlign w:val="center"/>
          </w:tcPr>
          <w:p>
            <w:pPr>
              <w:spacing w:after="30" w:before="30" w:line="230"/>
              <w:jc w:val="left"/>
            </w:pPr>
            <w:r>
              <w:rPr>
                <w:b/>
                <w:bCs/>
                <w:sz w:val="16"/>
                <w:szCs w:val="16"/>
              </w:rPr>
              <w:t xml:space="preserve">Pfad Ü</w:t>
            </w:r>
          </w:p>
        </w:tc>
        <w:tc>
          <w:tcPr>
            <w:tcW w:type="dxa" w:w="2600"/>
            <w:shd w:fill="F2F5FA" w:color="auto" w:val="clear"/>
            <w:vAlign w:val="center"/>
          </w:tcPr>
          <w:p>
            <w:pPr>
              <w:spacing w:after="30" w:before="30" w:line="230"/>
              <w:jc w:val="left"/>
            </w:pPr>
            <w:r>
              <w:rPr>
                <w:sz w:val="16"/>
                <w:szCs w:val="16"/>
              </w:rPr>
              <w:t xml:space="preserve">I: Anlagenmiete; G: Flächenentgelt – modellabhängig konfigurierbar; B_Haupt=V_M: vermiedener Netzbezug + Teilmietentgelt + Einspeisevergütung; B_Mit=V_W: vermiedener Netzbezug</w:t>
            </w:r>
          </w:p>
        </w:tc>
        <w:tc>
          <w:tcPr>
            <w:tcW w:type="dxa" w:w="2200"/>
            <w:shd w:fill="F2F5FA" w:color="auto" w:val="clear"/>
            <w:vAlign w:val="center"/>
          </w:tcPr>
          <w:p>
            <w:pPr>
              <w:spacing w:after="30" w:before="30" w:line="230"/>
              <w:jc w:val="left"/>
            </w:pPr>
            <w:r>
              <w:rPr>
                <w:sz w:val="16"/>
                <w:szCs w:val="16"/>
              </w:rPr>
              <w:t xml:space="preserve">I: Investition; B_Haupt: Anlagenmiete + Betriebskosten + Reststrom; B_Mit: Teilmiete + Reststrom</w:t>
            </w:r>
          </w:p>
        </w:tc>
        <w:tc>
          <w:tcPr>
            <w:tcW w:type="dxa" w:w="3420"/>
            <w:shd w:fill="F2F5FA" w:color="auto" w:val="clear"/>
            <w:vAlign w:val="center"/>
          </w:tcPr>
          <w:p>
            <w:pPr>
              <w:spacing w:after="30" w:before="30" w:line="230"/>
              <w:jc w:val="left"/>
            </w:pPr>
            <w:r>
              <w:rPr>
                <w:sz w:val="16"/>
                <w:szCs w:val="16"/>
              </w:rPr>
              <w:t xml:space="preserve">wie Modell 5; </w:t>
            </w:r>
            <w:r>
              <w:rPr>
                <w:b/>
                <w:bCs/>
                <w:sz w:val="16"/>
                <w:szCs w:val="16"/>
              </w:rPr>
              <w:t xml:space="preserve">maximale Aufspaltung der Familie auf vier Parteien</w:t>
            </w:r>
            <w:r>
              <w:rPr>
                <w:sz w:val="16"/>
                <w:szCs w:val="16"/>
              </w:rPr>
              <w:t xml:space="preserve"> – jede Rolle liegt bei einer anderen Partei; Kennzahlen je Akteur besonders wichtig</w:t>
            </w:r>
          </w:p>
        </w:tc>
      </w:tr>
      <w:tr>
        <w:tc>
          <w:tcPr>
            <w:tcW w:type="dxa" w:w="1400"/>
            <w:vAlign w:val="center"/>
          </w:tcPr>
          <w:p>
            <w:pPr>
              <w:spacing w:after="30" w:before="30" w:line="230"/>
              <w:jc w:val="left"/>
            </w:pPr>
            <w:r>
              <w:rPr>
                <w:b/>
                <w:bCs/>
                <w:sz w:val="16"/>
                <w:szCs w:val="16"/>
              </w:rPr>
              <w:t xml:space="preserve">PV-Mieten 11</w:t>
            </w:r>
          </w:p>
        </w:tc>
        <w:tc>
          <w:tcPr>
            <w:tcW w:type="dxa" w:w="1400"/>
            <w:vAlign w:val="center"/>
          </w:tcPr>
          <w:p>
            <w:pPr>
              <w:spacing w:after="30" w:before="30" w:line="230"/>
              <w:jc w:val="left"/>
            </w:pPr>
            <w:r>
              <w:rPr>
                <w:rFonts w:ascii="Consolas" w:cs="Consolas" w:eastAsia="Consolas" w:hAnsi="Consolas"/>
                <w:b/>
                <w:bCs/>
                <w:sz w:val="16"/>
                <w:szCs w:val="16"/>
              </w:rPr>
              <w:t xml:space="preserve">I</w:t>
            </w:r>
            <w:r>
              <w:rPr>
                <w:sz w:val="16"/>
                <w:szCs w:val="16"/>
              </w:rPr>
              <w:t xml:space="preserve"> | </w:t>
            </w:r>
            <w:r>
              <w:rPr>
                <w:rFonts w:ascii="Consolas" w:cs="Consolas" w:eastAsia="Consolas" w:hAnsi="Consolas"/>
                <w:b/>
                <w:bCs/>
                <w:sz w:val="16"/>
                <w:szCs w:val="16"/>
              </w:rPr>
              <w:t xml:space="preserve">G</w:t>
            </w:r>
            <w:r>
              <w:rPr>
                <w:sz w:val="16"/>
                <w:szCs w:val="16"/>
              </w:rPr>
              <w:t xml:space="preserve"> | </w:t>
            </w:r>
            <w:r>
              <w:rPr>
                <w:rFonts w:ascii="Consolas" w:cs="Consolas" w:eastAsia="Consolas" w:hAnsi="Consolas"/>
                <w:b/>
                <w:bCs/>
                <w:sz w:val="16"/>
                <w:szCs w:val="16"/>
              </w:rPr>
              <w:t xml:space="preserve">B = V_M</w:t>
            </w:r>
            <w:r>
              <w:rPr>
                <w:sz w:val="16"/>
                <w:szCs w:val="16"/>
              </w:rPr>
              <w:t xml:space="preserve"> | </w:t>
            </w:r>
            <w:r>
              <w:rPr>
                <w:rFonts w:ascii="Consolas" w:cs="Consolas" w:eastAsia="Consolas" w:hAnsi="Consolas"/>
                <w:b/>
                <w:bCs/>
                <w:sz w:val="16"/>
                <w:szCs w:val="16"/>
              </w:rPr>
              <w:t xml:space="preserve">V_W</w:t>
            </w:r>
            <w:r>
              <w:rPr>
                <w:sz w:val="16"/>
                <w:szCs w:val="16"/>
              </w:rPr>
              <w:t xml:space="preserve">, </w:t>
            </w:r>
            <w:r>
              <w:rPr>
                <w:b/>
                <w:bCs/>
                <w:sz w:val="16"/>
                <w:szCs w:val="16"/>
              </w:rPr>
              <w:t xml:space="preserve">4 Parteien</w:t>
            </w:r>
          </w:p>
        </w:tc>
        <w:tc>
          <w:tcPr>
            <w:tcW w:type="dxa" w:w="1700"/>
            <w:vAlign w:val="center"/>
          </w:tcPr>
          <w:p>
            <w:pPr>
              <w:spacing w:after="30" w:before="30" w:line="230"/>
              <w:jc w:val="left"/>
            </w:pPr>
            <w:r>
              <w:rPr>
                <w:sz w:val="16"/>
                <w:szCs w:val="16"/>
              </w:rPr>
              <w:t xml:space="preserve">Eigenverbrauch des mietenden Betreibers </w:t>
            </w:r>
            <w:r>
              <w:rPr>
                <w:b/>
                <w:bCs/>
                <w:sz w:val="16"/>
                <w:szCs w:val="16"/>
              </w:rPr>
              <w:t xml:space="preserve">und Lieferung</w:t>
            </w:r>
            <w:r>
              <w:rPr>
                <w:sz w:val="16"/>
                <w:szCs w:val="16"/>
              </w:rPr>
              <w:t xml:space="preserve"> an weitere Verbraucher, Überschuss ins Netz</w:t>
            </w:r>
          </w:p>
        </w:tc>
        <w:tc>
          <w:tcPr>
            <w:tcW w:type="dxa" w:w="1850"/>
            <w:vAlign w:val="center"/>
          </w:tcPr>
          <w:p>
            <w:pPr>
              <w:spacing w:after="30" w:before="30" w:line="230"/>
              <w:jc w:val="left"/>
            </w:pPr>
            <w:r>
              <w:rPr>
                <w:b/>
                <w:bCs/>
                <w:sz w:val="16"/>
                <w:szCs w:val="16"/>
              </w:rPr>
              <w:t xml:space="preserve">Pfad Ü</w:t>
            </w:r>
            <w:r>
              <w:rPr>
                <w:sz w:val="16"/>
                <w:szCs w:val="16"/>
              </w:rPr>
              <w:t xml:space="preserve"> + Mieterstromzuschlag § 48a möglich</w:t>
            </w:r>
          </w:p>
        </w:tc>
        <w:tc>
          <w:tcPr>
            <w:tcW w:type="dxa" w:w="2600"/>
            <w:vAlign w:val="center"/>
          </w:tcPr>
          <w:p>
            <w:pPr>
              <w:spacing w:after="30" w:before="30" w:line="230"/>
              <w:jc w:val="left"/>
            </w:pPr>
            <w:r>
              <w:rPr>
                <w:sz w:val="16"/>
                <w:szCs w:val="16"/>
              </w:rPr>
              <w:t xml:space="preserve">I: Anlagenmiete; G: Flächenentgelt – modellabhängig konfigurierbar; B=V_M: vermiedener Netzbezug + Lieferentgelt + Einspeisevergütung + ggf. Mieterstromzuschlag; V_W: keine</w:t>
            </w:r>
          </w:p>
        </w:tc>
        <w:tc>
          <w:tcPr>
            <w:tcW w:type="dxa" w:w="2200"/>
            <w:vAlign w:val="center"/>
          </w:tcPr>
          <w:p>
            <w:pPr>
              <w:spacing w:after="30" w:before="30" w:line="230"/>
              <w:jc w:val="left"/>
            </w:pPr>
            <w:r>
              <w:rPr>
                <w:sz w:val="16"/>
                <w:szCs w:val="16"/>
              </w:rPr>
              <w:t xml:space="preserve">I: Investition; B=V_M: Anlagenmiete + Betriebskosten + Reststrom; V_W: Lieferpreis + Reststrom</w:t>
            </w:r>
          </w:p>
        </w:tc>
        <w:tc>
          <w:tcPr>
            <w:tcW w:type="dxa" w:w="3420"/>
            <w:vAlign w:val="center"/>
          </w:tcPr>
          <w:p>
            <w:pPr>
              <w:spacing w:after="30" w:before="30" w:line="230"/>
              <w:jc w:val="left"/>
            </w:pPr>
            <w:r>
              <w:rPr>
                <w:sz w:val="16"/>
                <w:szCs w:val="16"/>
              </w:rPr>
              <w:t xml:space="preserve">wie Modell 7; vier Parteien, zwei Vertragsebenen plus Flächenvertrag – höchster Koordinationsaufwand der Familie</w:t>
            </w:r>
          </w:p>
        </w:tc>
      </w:tr>
    </w:tbl>
    <w:p>
      <w:pPr>
        <w:spacing w:after="100"/>
      </w:pPr>
      <w:r>
        <w:rPr>
          <w:sz w:val="8"/>
          <w:szCs w:val="8"/>
        </w:rPr>
        <w:t xml:space="preserve"/>
      </w:r>
    </w:p>
    <w:p>
      <w:pPr>
        <w:pStyle w:val="Heading3"/>
      </w:pPr>
      <w:bookmarkStart w:id="900023" w:name="_Toc90000023"/>
      <w:r>
        <w:t xml:space="preserve">Familie PV-Teil-Mieten</w:t>
      </w:r>
      <w:bookmarkEnd w:id="900023"/>
    </w:p>
    <w:tbl>
      <w:tblPr>
        <w:tblW w:type="dxa" w:w="14570"/>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400"/>
        <w:gridCol w:w="1400"/>
        <w:gridCol w:w="1700"/>
        <w:gridCol w:w="1850"/>
        <w:gridCol w:w="2600"/>
        <w:gridCol w:w="2200"/>
        <w:gridCol w:w="3420"/>
      </w:tblGrid>
      <w:tr>
        <w:trPr>
          <w:tblHeader/>
        </w:trPr>
        <w:tc>
          <w:tcPr>
            <w:tcW w:type="dxa" w:w="1400"/>
            <w:shd w:fill="1F3864" w:color="auto" w:val="clear"/>
            <w:vAlign w:val="center"/>
          </w:tcPr>
          <w:p>
            <w:pPr>
              <w:spacing w:after="30" w:before="30" w:line="230"/>
              <w:jc w:val="left"/>
            </w:pPr>
            <w:r>
              <w:rPr>
                <w:b/>
                <w:bCs/>
                <w:color w:val="FFFFFF"/>
                <w:sz w:val="16"/>
                <w:szCs w:val="16"/>
              </w:rPr>
              <w:t xml:space="preserve">Modell</w:t>
            </w:r>
          </w:p>
        </w:tc>
        <w:tc>
          <w:tcPr>
            <w:tcW w:type="dxa" w:w="1400"/>
            <w:shd w:fill="1F3864" w:color="auto" w:val="clear"/>
            <w:vAlign w:val="center"/>
          </w:tcPr>
          <w:p>
            <w:pPr>
              <w:spacing w:after="30" w:before="30" w:line="230"/>
              <w:jc w:val="left"/>
            </w:pPr>
            <w:r>
              <w:rPr>
                <w:b/>
                <w:bCs/>
                <w:color w:val="FFFFFF"/>
                <w:sz w:val="16"/>
                <w:szCs w:val="16"/>
              </w:rPr>
              <w:t xml:space="preserve">Konstellation</w:t>
            </w:r>
          </w:p>
        </w:tc>
        <w:tc>
          <w:tcPr>
            <w:tcW w:type="dxa" w:w="1700"/>
            <w:shd w:fill="1F3864" w:color="auto" w:val="clear"/>
            <w:vAlign w:val="center"/>
          </w:tcPr>
          <w:p>
            <w:pPr>
              <w:spacing w:after="30" w:before="30" w:line="230"/>
              <w:jc w:val="left"/>
            </w:pPr>
            <w:r>
              <w:rPr>
                <w:b/>
                <w:bCs/>
                <w:color w:val="FFFFFF"/>
                <w:sz w:val="16"/>
                <w:szCs w:val="16"/>
              </w:rPr>
              <w:t xml:space="preserve">Stromverwertung</w:t>
            </w:r>
          </w:p>
        </w:tc>
        <w:tc>
          <w:tcPr>
            <w:tcW w:type="dxa" w:w="1850"/>
            <w:shd w:fill="1F3864" w:color="auto" w:val="clear"/>
            <w:vAlign w:val="center"/>
          </w:tcPr>
          <w:p>
            <w:pPr>
              <w:spacing w:after="30" w:before="30" w:line="230"/>
              <w:jc w:val="left"/>
            </w:pPr>
            <w:r>
              <w:rPr>
                <w:b/>
                <w:bCs/>
                <w:color w:val="FFFFFF"/>
                <w:sz w:val="16"/>
                <w:szCs w:val="16"/>
              </w:rPr>
              <w:t xml:space="preserve">Vergütungsweg (IBN 08/2026)</w:t>
            </w:r>
          </w:p>
        </w:tc>
        <w:tc>
          <w:tcPr>
            <w:tcW w:type="dxa" w:w="2600"/>
            <w:shd w:fill="1F3864" w:color="auto" w:val="clear"/>
            <w:vAlign w:val="center"/>
          </w:tcPr>
          <w:p>
            <w:pPr>
              <w:spacing w:after="30" w:before="30" w:line="230"/>
              <w:jc w:val="left"/>
            </w:pPr>
            <w:r>
              <w:rPr>
                <w:b/>
                <w:bCs/>
                <w:color w:val="FFFFFF"/>
                <w:sz w:val="16"/>
                <w:szCs w:val="16"/>
              </w:rPr>
              <w:t xml:space="preserve">Erlöse je Akteur</w:t>
            </w:r>
          </w:p>
        </w:tc>
        <w:tc>
          <w:tcPr>
            <w:tcW w:type="dxa" w:w="2200"/>
            <w:shd w:fill="1F3864" w:color="auto" w:val="clear"/>
            <w:vAlign w:val="center"/>
          </w:tcPr>
          <w:p>
            <w:pPr>
              <w:spacing w:after="30" w:before="30" w:line="230"/>
              <w:jc w:val="left"/>
            </w:pPr>
            <w:r>
              <w:rPr>
                <w:b/>
                <w:bCs/>
                <w:color w:val="FFFFFF"/>
                <w:sz w:val="16"/>
                <w:szCs w:val="16"/>
              </w:rPr>
              <w:t xml:space="preserve">Kosten je Akteur</w:t>
            </w:r>
          </w:p>
        </w:tc>
        <w:tc>
          <w:tcPr>
            <w:tcW w:type="dxa" w:w="3420"/>
            <w:shd w:fill="1F3864" w:color="auto" w:val="clear"/>
            <w:vAlign w:val="center"/>
          </w:tcPr>
          <w:p>
            <w:pPr>
              <w:spacing w:after="30" w:before="30" w:line="230"/>
              <w:jc w:val="left"/>
            </w:pPr>
            <w:r>
              <w:rPr>
                <w:b/>
                <w:bCs/>
                <w:color w:val="FFFFFF"/>
                <w:sz w:val="16"/>
                <w:szCs w:val="16"/>
              </w:rPr>
              <w:t xml:space="preserve">Rechtliche Trigger</w:t>
            </w:r>
          </w:p>
        </w:tc>
      </w:tr>
      <w:tr>
        <w:tc>
          <w:tcPr>
            <w:tcW w:type="dxa" w:w="1400"/>
            <w:vAlign w:val="center"/>
          </w:tcPr>
          <w:p>
            <w:pPr>
              <w:spacing w:after="30" w:before="30" w:line="230"/>
              <w:jc w:val="left"/>
            </w:pPr>
            <w:r>
              <w:rPr>
                <w:b/>
                <w:bCs/>
                <w:sz w:val="16"/>
                <w:szCs w:val="16"/>
              </w:rPr>
              <w:t xml:space="preserve">PV-Teil-Mieten 1</w:t>
            </w:r>
          </w:p>
        </w:tc>
        <w:tc>
          <w:tcPr>
            <w:tcW w:type="dxa" w:w="1400"/>
            <w:vAlign w:val="center"/>
          </w:tcPr>
          <w:p>
            <w:pPr>
              <w:spacing w:after="30" w:before="30" w:line="230"/>
              <w:jc w:val="left"/>
            </w:pPr>
            <w:r>
              <w:rPr>
                <w:rFonts w:ascii="Consolas" w:cs="Consolas" w:eastAsia="Consolas" w:hAnsi="Consolas"/>
                <w:b/>
                <w:bCs/>
                <w:sz w:val="16"/>
                <w:szCs w:val="16"/>
              </w:rPr>
              <w:t xml:space="preserve">I = B_Haupt</w:t>
            </w:r>
            <w:r>
              <w:rPr>
                <w:sz w:val="16"/>
                <w:szCs w:val="16"/>
              </w:rPr>
              <w:t xml:space="preserve"> | </w:t>
            </w:r>
            <w:r>
              <w:rPr>
                <w:rFonts w:ascii="Consolas" w:cs="Consolas" w:eastAsia="Consolas" w:hAnsi="Consolas"/>
                <w:b/>
                <w:bCs/>
                <w:sz w:val="16"/>
                <w:szCs w:val="16"/>
              </w:rPr>
              <w:t xml:space="preserve">G = V_G = B_Mit</w:t>
            </w:r>
            <w:r>
              <w:rPr>
                <w:sz w:val="16"/>
                <w:szCs w:val="16"/>
              </w:rPr>
              <w:t xml:space="preserve">, 2 Parteien</w:t>
            </w:r>
          </w:p>
        </w:tc>
        <w:tc>
          <w:tcPr>
            <w:tcW w:type="dxa" w:w="1700"/>
            <w:vAlign w:val="center"/>
          </w:tcPr>
          <w:p>
            <w:pPr>
              <w:spacing w:after="30" w:before="30" w:line="230"/>
              <w:jc w:val="left"/>
            </w:pPr>
            <w:r>
              <w:rPr>
                <w:sz w:val="16"/>
                <w:szCs w:val="16"/>
              </w:rPr>
              <w:t xml:space="preserve">Anteiliger Eigenverbrauch des Mitbetreibers, Überschuss ins Netz durch den Investor als Hauptbetreiber</w:t>
            </w:r>
          </w:p>
        </w:tc>
        <w:tc>
          <w:tcPr>
            <w:tcW w:type="dxa" w:w="1850"/>
            <w:vAlign w:val="center"/>
          </w:tcPr>
          <w:p>
            <w:pPr>
              <w:spacing w:after="30" w:before="30" w:line="230"/>
              <w:jc w:val="left"/>
            </w:pPr>
            <w:r>
              <w:rPr>
                <w:b/>
                <w:bCs/>
                <w:sz w:val="16"/>
                <w:szCs w:val="16"/>
              </w:rPr>
              <w:t xml:space="preserve">Pfad Ü</w:t>
            </w:r>
          </w:p>
        </w:tc>
        <w:tc>
          <w:tcPr>
            <w:tcW w:type="dxa" w:w="2600"/>
            <w:vAlign w:val="center"/>
          </w:tcPr>
          <w:p>
            <w:pPr>
              <w:spacing w:after="30" w:before="30" w:line="230"/>
              <w:jc w:val="left"/>
            </w:pPr>
            <w:r>
              <w:rPr>
                <w:sz w:val="16"/>
                <w:szCs w:val="16"/>
              </w:rPr>
              <w:t xml:space="preserve">I=B_Haupt: Teilmietentgelt + Einspeisevergütung für den Überschuss; B_Mit=G=V_G: vermiedener Netzbezug (+ Entgelt für die Flächengestattung, modellabhängig konfigurierbar)</w:t>
            </w:r>
          </w:p>
        </w:tc>
        <w:tc>
          <w:tcPr>
            <w:tcW w:type="dxa" w:w="2200"/>
            <w:vAlign w:val="center"/>
          </w:tcPr>
          <w:p>
            <w:pPr>
              <w:spacing w:after="30" w:before="30" w:line="230"/>
              <w:jc w:val="left"/>
            </w:pPr>
            <w:r>
              <w:rPr>
                <w:sz w:val="16"/>
                <w:szCs w:val="16"/>
              </w:rPr>
              <w:t xml:space="preserve">I=B_Haupt: Investition + Betriebskosten; B_Mit: Teilmiete + Reststrom</w:t>
            </w:r>
          </w:p>
        </w:tc>
        <w:tc>
          <w:tcPr>
            <w:tcW w:type="dxa" w:w="3420"/>
            <w:vAlign w:val="center"/>
          </w:tcPr>
          <w:p>
            <w:pPr>
              <w:spacing w:after="30" w:before="30" w:line="230"/>
              <w:jc w:val="left"/>
            </w:pPr>
            <w:r>
              <w:rPr>
                <w:sz w:val="16"/>
                <w:szCs w:val="16"/>
              </w:rPr>
              <w:t xml:space="preserve">Der Verbrauch des Mitbetreibers ist </w:t>
            </w:r>
            <w:r>
              <w:rPr>
                <w:b/>
                <w:bCs/>
                <w:sz w:val="16"/>
                <w:szCs w:val="16"/>
              </w:rPr>
              <w:t xml:space="preserve">Eigenverbrauch, keine Lieferung</w:t>
            </w:r>
            <w:r>
              <w:rPr>
                <w:sz w:val="16"/>
                <w:szCs w:val="16"/>
              </w:rPr>
              <w:t xml:space="preserve"> – der Kernvorteil der Teilmiete; Bruchteilslogik erfordert eindeutige Zählerkonzepte; Betreiberrisiken des Teilmieters werden im Innenverhältnis auf den Hauptbetreiber übertragen (Glossar D3); BGH 13.05.2025 zur Kundenanlage beachten; § 51/§ 51a; § 9</w:t>
            </w:r>
          </w:p>
        </w:tc>
      </w:tr>
      <w:tr>
        <w:tc>
          <w:tcPr>
            <w:tcW w:type="dxa" w:w="1400"/>
            <w:shd w:fill="F2F5FA" w:color="auto" w:val="clear"/>
            <w:vAlign w:val="center"/>
          </w:tcPr>
          <w:p>
            <w:pPr>
              <w:spacing w:after="30" w:before="30" w:line="230"/>
              <w:jc w:val="left"/>
            </w:pPr>
            <w:r>
              <w:rPr>
                <w:b/>
                <w:bCs/>
                <w:sz w:val="16"/>
                <w:szCs w:val="16"/>
              </w:rPr>
              <w:t xml:space="preserve">PV-Teil-Mieten 2</w:t>
            </w:r>
          </w:p>
        </w:tc>
        <w:tc>
          <w:tcPr>
            <w:tcW w:type="dxa" w:w="1400"/>
            <w:shd w:fill="F2F5FA" w:color="auto" w:val="clear"/>
            <w:vAlign w:val="center"/>
          </w:tcPr>
          <w:p>
            <w:pPr>
              <w:spacing w:after="30" w:before="30" w:line="230"/>
              <w:jc w:val="left"/>
            </w:pPr>
            <w:r>
              <w:rPr>
                <w:rFonts w:ascii="Consolas" w:cs="Consolas" w:eastAsia="Consolas" w:hAnsi="Consolas"/>
                <w:b/>
                <w:bCs/>
                <w:sz w:val="16"/>
                <w:szCs w:val="16"/>
              </w:rPr>
              <w:t xml:space="preserve">I = B_Haupt</w:t>
            </w:r>
            <w:r>
              <w:rPr>
                <w:sz w:val="16"/>
                <w:szCs w:val="16"/>
              </w:rPr>
              <w:t xml:space="preserve"> | </w:t>
            </w:r>
            <w:r>
              <w:rPr>
                <w:rFonts w:ascii="Consolas" w:cs="Consolas" w:eastAsia="Consolas" w:hAnsi="Consolas"/>
                <w:b/>
                <w:bCs/>
                <w:sz w:val="16"/>
                <w:szCs w:val="16"/>
              </w:rPr>
              <w:t xml:space="preserve">G</w:t>
            </w:r>
            <w:r>
              <w:rPr>
                <w:sz w:val="16"/>
                <w:szCs w:val="16"/>
              </w:rPr>
              <w:t xml:space="preserve"> | </w:t>
            </w:r>
            <w:r>
              <w:rPr>
                <w:rFonts w:ascii="Consolas" w:cs="Consolas" w:eastAsia="Consolas" w:hAnsi="Consolas"/>
                <w:b/>
                <w:bCs/>
                <w:sz w:val="16"/>
                <w:szCs w:val="16"/>
              </w:rPr>
              <w:t xml:space="preserve">V_M = B_Mit</w:t>
            </w:r>
            <w:r>
              <w:rPr>
                <w:sz w:val="16"/>
                <w:szCs w:val="16"/>
              </w:rPr>
              <w:t xml:space="preserve">, 3 Parteien</w:t>
            </w:r>
          </w:p>
        </w:tc>
        <w:tc>
          <w:tcPr>
            <w:tcW w:type="dxa" w:w="1700"/>
            <w:shd w:fill="F2F5FA" w:color="auto" w:val="clear"/>
            <w:vAlign w:val="center"/>
          </w:tcPr>
          <w:p>
            <w:pPr>
              <w:spacing w:after="30" w:before="30" w:line="230"/>
              <w:jc w:val="left"/>
            </w:pPr>
            <w:r>
              <w:rPr>
                <w:sz w:val="16"/>
                <w:szCs w:val="16"/>
              </w:rPr>
              <w:t xml:space="preserve">Anteiliger Eigenverbrauch des Mitbetreibers (Mieter/Nachbar), Überschuss ins Netz</w:t>
            </w:r>
          </w:p>
        </w:tc>
        <w:tc>
          <w:tcPr>
            <w:tcW w:type="dxa" w:w="1850"/>
            <w:shd w:fill="F2F5FA" w:color="auto" w:val="clear"/>
            <w:vAlign w:val="center"/>
          </w:tcPr>
          <w:p>
            <w:pPr>
              <w:spacing w:after="30" w:before="30" w:line="230"/>
              <w:jc w:val="left"/>
            </w:pPr>
            <w:r>
              <w:rPr>
                <w:b/>
                <w:bCs/>
                <w:sz w:val="16"/>
                <w:szCs w:val="16"/>
              </w:rPr>
              <w:t xml:space="preserve">Pfad Ü</w:t>
            </w:r>
          </w:p>
        </w:tc>
        <w:tc>
          <w:tcPr>
            <w:tcW w:type="dxa" w:w="2600"/>
            <w:shd w:fill="F2F5FA" w:color="auto" w:val="clear"/>
            <w:vAlign w:val="center"/>
          </w:tcPr>
          <w:p>
            <w:pPr>
              <w:spacing w:after="30" w:before="30" w:line="230"/>
              <w:jc w:val="left"/>
            </w:pPr>
            <w:r>
              <w:rPr>
                <w:sz w:val="16"/>
                <w:szCs w:val="16"/>
              </w:rPr>
              <w:t xml:space="preserve">I=B_Haupt: Teilmietentgelt + Einspeisevergütung; G: Flächenentgelt – modellabhängig konfigurierbar; B_Mit=V_M: vermiedener Netzbezug</w:t>
            </w:r>
          </w:p>
        </w:tc>
        <w:tc>
          <w:tcPr>
            <w:tcW w:type="dxa" w:w="2200"/>
            <w:shd w:fill="F2F5FA" w:color="auto" w:val="clear"/>
            <w:vAlign w:val="center"/>
          </w:tcPr>
          <w:p>
            <w:pPr>
              <w:spacing w:after="30" w:before="30" w:line="230"/>
              <w:jc w:val="left"/>
            </w:pPr>
            <w:r>
              <w:rPr>
                <w:sz w:val="16"/>
                <w:szCs w:val="16"/>
              </w:rPr>
              <w:t xml:space="preserve">I=B_Haupt: Investition + Betriebskosten + Flächenentgelt an G; B_Mit: Teilmiete + Reststrom</w:t>
            </w:r>
          </w:p>
        </w:tc>
        <w:tc>
          <w:tcPr>
            <w:tcW w:type="dxa" w:w="3420"/>
            <w:shd w:fill="F2F5FA" w:color="auto" w:val="clear"/>
            <w:vAlign w:val="center"/>
          </w:tcPr>
          <w:p>
            <w:pPr>
              <w:spacing w:after="30" w:before="30" w:line="230"/>
              <w:jc w:val="left"/>
            </w:pPr>
            <w:r>
              <w:rPr>
                <w:sz w:val="16"/>
                <w:szCs w:val="16"/>
              </w:rPr>
              <w:t xml:space="preserve">wie Modell 1; drei Parteien; bei Belieferung eines Nachbargebäudes zusätzlich Netzdurchleitung und Kundenanlagenfrage prüfen</w:t>
            </w:r>
          </w:p>
        </w:tc>
      </w:tr>
      <w:tr>
        <w:tc>
          <w:tcPr>
            <w:tcW w:type="dxa" w:w="1400"/>
            <w:vAlign w:val="center"/>
          </w:tcPr>
          <w:p>
            <w:pPr>
              <w:spacing w:after="30" w:before="30" w:line="230"/>
              <w:jc w:val="left"/>
            </w:pPr>
            <w:r>
              <w:rPr>
                <w:b/>
                <w:bCs/>
                <w:sz w:val="16"/>
                <w:szCs w:val="16"/>
              </w:rPr>
              <w:t xml:space="preserve">PV-Teil-Mieten 3</w:t>
            </w:r>
          </w:p>
        </w:tc>
        <w:tc>
          <w:tcPr>
            <w:tcW w:type="dxa" w:w="1400"/>
            <w:vAlign w:val="center"/>
          </w:tcPr>
          <w:p>
            <w:pPr>
              <w:spacing w:after="30" w:before="30" w:line="230"/>
              <w:jc w:val="left"/>
            </w:pPr>
            <w:r>
              <w:rPr>
                <w:rFonts w:ascii="Consolas" w:cs="Consolas" w:eastAsia="Consolas" w:hAnsi="Consolas"/>
                <w:b/>
                <w:bCs/>
                <w:sz w:val="16"/>
                <w:szCs w:val="16"/>
              </w:rPr>
              <w:t xml:space="preserve">I = B_Haupt = G</w:t>
            </w:r>
            <w:r>
              <w:rPr>
                <w:sz w:val="16"/>
                <w:szCs w:val="16"/>
              </w:rPr>
              <w:t xml:space="preserve"> | </w:t>
            </w:r>
            <w:r>
              <w:rPr>
                <w:rFonts w:ascii="Consolas" w:cs="Consolas" w:eastAsia="Consolas" w:hAnsi="Consolas"/>
                <w:b/>
                <w:bCs/>
                <w:sz w:val="16"/>
                <w:szCs w:val="16"/>
              </w:rPr>
              <w:t xml:space="preserve">V_M = B_Mit</w:t>
            </w:r>
            <w:r>
              <w:rPr>
                <w:sz w:val="16"/>
                <w:szCs w:val="16"/>
              </w:rPr>
              <w:t xml:space="preserve">, 2 Parteien</w:t>
            </w:r>
          </w:p>
        </w:tc>
        <w:tc>
          <w:tcPr>
            <w:tcW w:type="dxa" w:w="1700"/>
            <w:vAlign w:val="center"/>
          </w:tcPr>
          <w:p>
            <w:pPr>
              <w:spacing w:after="30" w:before="30" w:line="230"/>
              <w:jc w:val="left"/>
            </w:pPr>
            <w:r>
              <w:rPr>
                <w:sz w:val="16"/>
                <w:szCs w:val="16"/>
              </w:rPr>
              <w:t xml:space="preserve">Anteiliger Eigenverbrauch des Mitbetreibers, Überschuss ins Netz</w:t>
            </w:r>
          </w:p>
        </w:tc>
        <w:tc>
          <w:tcPr>
            <w:tcW w:type="dxa" w:w="1850"/>
            <w:vAlign w:val="center"/>
          </w:tcPr>
          <w:p>
            <w:pPr>
              <w:spacing w:after="30" w:before="30" w:line="230"/>
              <w:jc w:val="left"/>
            </w:pPr>
            <w:r>
              <w:rPr>
                <w:b/>
                <w:bCs/>
                <w:sz w:val="16"/>
                <w:szCs w:val="16"/>
              </w:rPr>
              <w:t xml:space="preserve">Pfad Ü</w:t>
            </w:r>
          </w:p>
        </w:tc>
        <w:tc>
          <w:tcPr>
            <w:tcW w:type="dxa" w:w="2600"/>
            <w:vAlign w:val="center"/>
          </w:tcPr>
          <w:p>
            <w:pPr>
              <w:spacing w:after="30" w:before="30" w:line="230"/>
              <w:jc w:val="left"/>
            </w:pPr>
            <w:r>
              <w:rPr>
                <w:sz w:val="16"/>
                <w:szCs w:val="16"/>
              </w:rPr>
              <w:t xml:space="preserve">I=B_Haupt=G: Teilmietentgelt + Einspeisevergütung; B_Mit=V_M: vermiedener Netzbezug</w:t>
            </w:r>
          </w:p>
        </w:tc>
        <w:tc>
          <w:tcPr>
            <w:tcW w:type="dxa" w:w="2200"/>
            <w:vAlign w:val="center"/>
          </w:tcPr>
          <w:p>
            <w:pPr>
              <w:spacing w:after="30" w:before="30" w:line="230"/>
              <w:jc w:val="left"/>
            </w:pPr>
            <w:r>
              <w:rPr>
                <w:sz w:val="16"/>
                <w:szCs w:val="16"/>
              </w:rPr>
              <w:t xml:space="preserve">I=B_Haupt=G: Investition + Betriebskosten; B_Mit: Teilmiete + Reststrom</w:t>
            </w:r>
          </w:p>
        </w:tc>
        <w:tc>
          <w:tcPr>
            <w:tcW w:type="dxa" w:w="3420"/>
            <w:vAlign w:val="center"/>
          </w:tcPr>
          <w:p>
            <w:pPr>
              <w:spacing w:after="30" w:before="30" w:line="230"/>
              <w:jc w:val="left"/>
            </w:pPr>
            <w:r>
              <w:rPr>
                <w:sz w:val="16"/>
                <w:szCs w:val="16"/>
              </w:rPr>
              <w:t xml:space="preserve">wie Modell 1; Investor stellt die eigene Fläche – schlankste Variante der Familie</w:t>
            </w:r>
          </w:p>
        </w:tc>
      </w:tr>
      <w:tr>
        <w:tc>
          <w:tcPr>
            <w:tcW w:type="dxa" w:w="1400"/>
            <w:shd w:fill="F2F5FA" w:color="auto" w:val="clear"/>
            <w:vAlign w:val="center"/>
          </w:tcPr>
          <w:p>
            <w:pPr>
              <w:spacing w:after="30" w:before="30" w:line="230"/>
              <w:jc w:val="left"/>
            </w:pPr>
            <w:r>
              <w:rPr>
                <w:b/>
                <w:bCs/>
                <w:sz w:val="16"/>
                <w:szCs w:val="16"/>
              </w:rPr>
              <w:t xml:space="preserve">PV-Teil-Mieten 4</w:t>
            </w:r>
          </w:p>
        </w:tc>
        <w:tc>
          <w:tcPr>
            <w:tcW w:type="dxa" w:w="1400"/>
            <w:shd w:fill="F2F5FA" w:color="auto" w:val="clear"/>
            <w:vAlign w:val="center"/>
          </w:tcPr>
          <w:p>
            <w:pPr>
              <w:spacing w:after="30" w:before="30" w:line="230"/>
              <w:jc w:val="left"/>
            </w:pPr>
            <w:r>
              <w:rPr>
                <w:rFonts w:ascii="Consolas" w:cs="Consolas" w:eastAsia="Consolas" w:hAnsi="Consolas"/>
                <w:b/>
                <w:bCs/>
                <w:sz w:val="16"/>
                <w:szCs w:val="16"/>
              </w:rPr>
              <w:t xml:space="preserve">I = B_Haupt = G = V_G</w:t>
            </w:r>
            <w:r>
              <w:rPr>
                <w:sz w:val="16"/>
                <w:szCs w:val="16"/>
              </w:rPr>
              <w:t xml:space="preserve"> | </w:t>
            </w:r>
            <w:r>
              <w:rPr>
                <w:rFonts w:ascii="Consolas" w:cs="Consolas" w:eastAsia="Consolas" w:hAnsi="Consolas"/>
                <w:b/>
                <w:bCs/>
                <w:sz w:val="16"/>
                <w:szCs w:val="16"/>
              </w:rPr>
              <w:t xml:space="preserve">V_M = B_Mit</w:t>
            </w:r>
            <w:r>
              <w:rPr>
                <w:sz w:val="16"/>
                <w:szCs w:val="16"/>
              </w:rPr>
              <w:t xml:space="preserve">, 2 Parteien</w:t>
            </w:r>
          </w:p>
        </w:tc>
        <w:tc>
          <w:tcPr>
            <w:tcW w:type="dxa" w:w="1700"/>
            <w:shd w:fill="F2F5FA" w:color="auto" w:val="clear"/>
            <w:vAlign w:val="center"/>
          </w:tcPr>
          <w:p>
            <w:pPr>
              <w:spacing w:after="30" w:before="30" w:line="230"/>
              <w:jc w:val="left"/>
            </w:pPr>
            <w:r>
              <w:rPr>
                <w:sz w:val="16"/>
                <w:szCs w:val="16"/>
              </w:rPr>
              <w:t xml:space="preserve">Eigenverbrauch des Investors </w:t>
            </w:r>
            <w:r>
              <w:rPr>
                <w:b/>
                <w:bCs/>
                <w:sz w:val="16"/>
                <w:szCs w:val="16"/>
              </w:rPr>
              <w:t xml:space="preserve">und</w:t>
            </w:r>
            <w:r>
              <w:rPr>
                <w:sz w:val="16"/>
                <w:szCs w:val="16"/>
              </w:rPr>
              <w:t xml:space="preserve"> anteiliger Eigenverbrauch des Mitbetreibers, Überschuss ins Netz</w:t>
            </w:r>
          </w:p>
        </w:tc>
        <w:tc>
          <w:tcPr>
            <w:tcW w:type="dxa" w:w="1850"/>
            <w:shd w:fill="F2F5FA" w:color="auto" w:val="clear"/>
            <w:vAlign w:val="center"/>
          </w:tcPr>
          <w:p>
            <w:pPr>
              <w:spacing w:after="30" w:before="30" w:line="230"/>
              <w:jc w:val="left"/>
            </w:pPr>
            <w:r>
              <w:rPr>
                <w:b/>
                <w:bCs/>
                <w:sz w:val="16"/>
                <w:szCs w:val="16"/>
              </w:rPr>
              <w:t xml:space="preserve">Pfad Ü</w:t>
            </w:r>
          </w:p>
        </w:tc>
        <w:tc>
          <w:tcPr>
            <w:tcW w:type="dxa" w:w="2600"/>
            <w:shd w:fill="F2F5FA" w:color="auto" w:val="clear"/>
            <w:vAlign w:val="center"/>
          </w:tcPr>
          <w:p>
            <w:pPr>
              <w:spacing w:after="30" w:before="30" w:line="230"/>
              <w:jc w:val="left"/>
            </w:pPr>
            <w:r>
              <w:rPr>
                <w:sz w:val="16"/>
                <w:szCs w:val="16"/>
              </w:rPr>
              <w:t xml:space="preserve">I=B_Haupt=G=V_G: vermiedener Netzbezug + Teilmietentgelt + Einspeisevergütung; B_Mit=V_M: vermiedener Netzbezug</w:t>
            </w:r>
          </w:p>
        </w:tc>
        <w:tc>
          <w:tcPr>
            <w:tcW w:type="dxa" w:w="2200"/>
            <w:shd w:fill="F2F5FA" w:color="auto" w:val="clear"/>
            <w:vAlign w:val="center"/>
          </w:tcPr>
          <w:p>
            <w:pPr>
              <w:spacing w:after="30" w:before="30" w:line="230"/>
              <w:jc w:val="left"/>
            </w:pPr>
            <w:r>
              <w:rPr>
                <w:sz w:val="16"/>
                <w:szCs w:val="16"/>
              </w:rPr>
              <w:t xml:space="preserve">I=B_Haupt=G=V_G: Investition + Betriebskosten + Reststrom; B_Mit: Teilmiete + Reststrom</w:t>
            </w:r>
          </w:p>
        </w:tc>
        <w:tc>
          <w:tcPr>
            <w:tcW w:type="dxa" w:w="3420"/>
            <w:shd w:fill="F2F5FA" w:color="auto" w:val="clear"/>
            <w:vAlign w:val="center"/>
          </w:tcPr>
          <w:p>
            <w:pPr>
              <w:spacing w:after="30" w:before="30" w:line="230"/>
              <w:jc w:val="left"/>
            </w:pPr>
            <w:r>
              <w:rPr>
                <w:sz w:val="16"/>
                <w:szCs w:val="16"/>
              </w:rPr>
              <w:t xml:space="preserve">wie Modell 1; zwei Eigenverbrauchsströme aus einer Anlage – die Aufteilung in Schritt 2 der Rechenlogik ist hier der kritische Punkt</w:t>
            </w:r>
          </w:p>
        </w:tc>
      </w:tr>
      <w:tr>
        <w:tc>
          <w:tcPr>
            <w:tcW w:type="dxa" w:w="1400"/>
            <w:vAlign w:val="center"/>
          </w:tcPr>
          <w:p>
            <w:pPr>
              <w:spacing w:after="30" w:before="30" w:line="230"/>
              <w:jc w:val="left"/>
            </w:pPr>
            <w:r>
              <w:rPr>
                <w:b/>
                <w:bCs/>
                <w:sz w:val="16"/>
                <w:szCs w:val="16"/>
              </w:rPr>
              <w:t xml:space="preserve">PV-Teil-Mieten 5</w:t>
            </w:r>
          </w:p>
        </w:tc>
        <w:tc>
          <w:tcPr>
            <w:tcW w:type="dxa" w:w="1400"/>
            <w:vAlign w:val="center"/>
          </w:tcPr>
          <w:p>
            <w:pPr>
              <w:spacing w:after="30" w:before="30" w:line="230"/>
              <w:jc w:val="left"/>
            </w:pPr>
            <w:r>
              <w:rPr>
                <w:rFonts w:ascii="Consolas" w:cs="Consolas" w:eastAsia="Consolas" w:hAnsi="Consolas"/>
                <w:b/>
                <w:bCs/>
                <w:sz w:val="16"/>
                <w:szCs w:val="16"/>
              </w:rPr>
              <w:t xml:space="preserve">I = B_Haupt</w:t>
            </w:r>
            <w:r>
              <w:rPr>
                <w:sz w:val="16"/>
                <w:szCs w:val="16"/>
              </w:rPr>
              <w:t xml:space="preserve"> | </w:t>
            </w:r>
            <w:r>
              <w:rPr>
                <w:rFonts w:ascii="Consolas" w:cs="Consolas" w:eastAsia="Consolas" w:hAnsi="Consolas"/>
                <w:b/>
                <w:bCs/>
                <w:sz w:val="16"/>
                <w:szCs w:val="16"/>
              </w:rPr>
              <w:t xml:space="preserve">G = V_G = B_Mit</w:t>
            </w:r>
            <w:r>
              <w:rPr>
                <w:sz w:val="16"/>
                <w:szCs w:val="16"/>
              </w:rPr>
              <w:t xml:space="preserve"> | </w:t>
            </w:r>
            <w:r>
              <w:rPr>
                <w:rFonts w:ascii="Consolas" w:cs="Consolas" w:eastAsia="Consolas" w:hAnsi="Consolas"/>
                <w:b/>
                <w:bCs/>
                <w:sz w:val="16"/>
                <w:szCs w:val="16"/>
              </w:rPr>
              <w:t xml:space="preserve">V_M = B_Mit</w:t>
            </w:r>
            <w:r>
              <w:rPr>
                <w:sz w:val="16"/>
                <w:szCs w:val="16"/>
              </w:rPr>
              <w:t xml:space="preserve">, 3 Parteien mit </w:t>
            </w:r>
            <w:r>
              <w:rPr>
                <w:b/>
                <w:bCs/>
                <w:sz w:val="16"/>
                <w:szCs w:val="16"/>
              </w:rPr>
              <w:t xml:space="preserve">zwei Mitbetreibern</w:t>
            </w:r>
          </w:p>
        </w:tc>
        <w:tc>
          <w:tcPr>
            <w:tcW w:type="dxa" w:w="1700"/>
            <w:vAlign w:val="center"/>
          </w:tcPr>
          <w:p>
            <w:pPr>
              <w:spacing w:after="30" w:before="30" w:line="230"/>
              <w:jc w:val="left"/>
            </w:pPr>
            <w:r>
              <w:rPr>
                <w:sz w:val="16"/>
                <w:szCs w:val="16"/>
              </w:rPr>
              <w:t xml:space="preserve">Anteiliger Eigenverbrauch </w:t>
            </w:r>
            <w:r>
              <w:rPr>
                <w:b/>
                <w:bCs/>
                <w:sz w:val="16"/>
                <w:szCs w:val="16"/>
              </w:rPr>
              <w:t xml:space="preserve">zweier</w:t>
            </w:r>
            <w:r>
              <w:rPr>
                <w:sz w:val="16"/>
                <w:szCs w:val="16"/>
              </w:rPr>
              <w:t xml:space="preserve"> Mitbetreiber, Überschuss ins Netz durch den Hauptbetreiber</w:t>
            </w:r>
          </w:p>
        </w:tc>
        <w:tc>
          <w:tcPr>
            <w:tcW w:type="dxa" w:w="1850"/>
            <w:vAlign w:val="center"/>
          </w:tcPr>
          <w:p>
            <w:pPr>
              <w:spacing w:after="30" w:before="30" w:line="230"/>
              <w:jc w:val="left"/>
            </w:pPr>
            <w:r>
              <w:rPr>
                <w:b/>
                <w:bCs/>
                <w:sz w:val="16"/>
                <w:szCs w:val="16"/>
              </w:rPr>
              <w:t xml:space="preserve">Pfad Ü</w:t>
            </w:r>
          </w:p>
        </w:tc>
        <w:tc>
          <w:tcPr>
            <w:tcW w:type="dxa" w:w="2600"/>
            <w:vAlign w:val="center"/>
          </w:tcPr>
          <w:p>
            <w:pPr>
              <w:spacing w:after="30" w:before="30" w:line="230"/>
              <w:jc w:val="left"/>
            </w:pPr>
            <w:r>
              <w:rPr>
                <w:sz w:val="16"/>
                <w:szCs w:val="16"/>
              </w:rPr>
              <w:t xml:space="preserve">I=B_Haupt: Teilmietentgelte beider Mitbetreiber + Einspeisevergütung; beide B_Mit: jeweils vermiedener Netzbezug; G=V_G zusätzlich Flächengestattung – modellabhängig konfigurierbar</w:t>
            </w:r>
          </w:p>
        </w:tc>
        <w:tc>
          <w:tcPr>
            <w:tcW w:type="dxa" w:w="2200"/>
            <w:vAlign w:val="center"/>
          </w:tcPr>
          <w:p>
            <w:pPr>
              <w:spacing w:after="30" w:before="30" w:line="230"/>
              <w:jc w:val="left"/>
            </w:pPr>
            <w:r>
              <w:rPr>
                <w:sz w:val="16"/>
                <w:szCs w:val="16"/>
              </w:rPr>
              <w:t xml:space="preserve">I=B_Haupt: Investition + Betriebskosten; beide B_Mit: jeweils Teilmiete + Reststrom</w:t>
            </w:r>
          </w:p>
        </w:tc>
        <w:tc>
          <w:tcPr>
            <w:tcW w:type="dxa" w:w="3420"/>
            <w:vAlign w:val="center"/>
          </w:tcPr>
          <w:p>
            <w:pPr>
              <w:spacing w:after="30" w:before="30" w:line="230"/>
              <w:jc w:val="left"/>
            </w:pPr>
            <w:r>
              <w:rPr>
                <w:sz w:val="16"/>
                <w:szCs w:val="16"/>
              </w:rPr>
              <w:t xml:space="preserve">wie Modell 1; </w:t>
            </w:r>
            <w:r>
              <w:rPr>
                <w:b/>
                <w:bCs/>
                <w:sz w:val="16"/>
                <w:szCs w:val="16"/>
              </w:rPr>
              <w:t xml:space="preserve">komplexeste Konstellation des Katalogs</w:t>
            </w:r>
            <w:r>
              <w:rPr>
                <w:sz w:val="16"/>
                <w:szCs w:val="16"/>
              </w:rPr>
              <w:t xml:space="preserve">: drei Anteilsgruppen an einer Anlage, entsprechend anspruchsvolles Messkonzept (virtuelle Zählpunkte, Kaskade oder virtuelles Summenzählermodell, siehe A3)</w:t>
            </w:r>
          </w:p>
        </w:tc>
      </w:tr>
    </w:tbl>
    <w:p>
      <w:pPr>
        <w:spacing w:after="100"/>
      </w:pPr>
      <w:r>
        <w:rPr>
          <w:sz w:val="8"/>
          <w:szCs w:val="8"/>
        </w:rPr>
        <w:t xml:space="preserve"/>
      </w:r>
    </w:p>
    <w:p>
      <w:pPr>
        <w:sectPr>
          <w:footerReference w:type="default" r:id="rId9"/>
          <w:pgSz w:w="16838" w:h="11906" w:orient="landscape"/>
          <w:pgMar w:top="1134" w:right="1134" w:bottom="1134" w:left="1134" w:header="567" w:footer="567" w:gutter="0"/>
          <w:pgNumType/>
          <w:docGrid w:linePitch="360"/>
        </w:sectPr>
      </w:pPr>
    </w:p>
    <w:p>
      <w:pPr>
        <w:pStyle w:val="Heading2"/>
      </w:pPr>
      <w:bookmarkStart w:id="900024" w:name="_Toc90000024"/>
      <w:r>
        <w:t xml:space="preserve">M3  Methodikprofile der fünf Familien</w:t>
      </w:r>
      <w:bookmarkEnd w:id="900024"/>
    </w:p>
    <w:p>
      <w:pPr>
        <w:spacing w:after="170" w:line="272"/>
      </w:pPr>
      <w:r>
        <w:rPr>
          <w:b/>
          <w:bCs/>
        </w:rPr>
        <w:t xml:space="preserve">PV-Netz-Einspeisung – reine Erzeugungsrendite.</w:t>
      </w:r>
      <w:r>
        <w:t xml:space="preserve"> Ökonomisch ist das die einfachste, aber auch die anspruchsvollste Konstruktion: Es gibt nur einen Erlösstrom, die Einspeisevergütung, und der Vergleichsmaßstab sind unmittelbar die Stromgestehungskosten. Die Rechnung ist gewonnen oder verloren an der Relation „Vergütungssatz gegenüber Gestehungskosten“ – ohne jeden ausgleichenden Eigenverbrauchseffekt. Das Vertragsgeflecht ist minimal (Modell 1 gar keines, Modell 2 nur der Flächenvertrag). Man wählt die Konstruktion, wenn kein Verbrauch am Standort existiert oder wenn der Volleinspeisungszuschlag nach § 48 Abs. 2a den Ausschlag gibt. </w:t>
      </w:r>
      <w:r>
        <w:rPr>
          <w:b/>
          <w:bCs/>
        </w:rPr>
        <w:t xml:space="preserve">Berechnungsbesonderheit in pv@now:</w:t>
      </w:r>
      <w:r>
        <w:t xml:space="preserve"> Es gibt keine Verbrauchssituation und damit auch keinen Konditionenvergleich – das Werkzeug meldet im Volleinspeisungsplan ausdrücklich, dass für dieses Betreibermodell keine Konditionen verfügbar sind, und weist folgerichtig keinen „Vorteil durch PV“ aus, sondern nur den Liquiditätsüberschuss (siehe C2/C4).</w:t>
      </w:r>
    </w:p>
    <w:p>
      <w:pPr>
        <w:spacing w:after="170" w:line="272"/>
      </w:pPr>
      <w:r>
        <w:rPr>
          <w:b/>
          <w:bCs/>
        </w:rPr>
        <w:t xml:space="preserve">PV-Überschuss-Einspeisung – der vermiedene Netzbezug dominiert.</w:t>
      </w:r>
      <w:r>
        <w:t xml:space="preserve"> Hier entstehen zwei Erlösströme, und der kleinere davon ist die Einspeisevergütung. Der wirtschaftliche Kern ist die Ersparnis beim Netzbezug, bewertet mit dem vollen Arbeitspreis samt Steigerungsrate. Im Fallbeispiel steht ein Laufzeitmittel von 45,83 ct/kWh vermiedenem Netzbezug einer Einspeisevergütung von 7,47 ct/kWh gegenüber – das Verhältnis von rund 6 : 1 erklärt das gesamte Ergebnis (siehe C4). Das Vertragsgeflecht ist schlank; Modell 2 ergänzt lediglich einen Dachmietvertrag. </w:t>
      </w:r>
      <w:r>
        <w:rPr>
          <w:b/>
          <w:bCs/>
        </w:rPr>
        <w:t xml:space="preserve">Berechnungsbesonderheit:</w:t>
      </w:r>
      <w:r>
        <w:t xml:space="preserve"> Die Qualität des Ergebnisses hängt vollständig an Schritt 2, also an der Lastprofilsimulation. Eigenverbrauchsquote und Autarkiegrad sind gemeinsam zu betrachten – im Fallbeispiel 83 % gegenüber 26 % – weil sie unterschiedliche Fragen beantworten.</w:t>
      </w:r>
    </w:p>
    <w:p>
      <w:pPr>
        <w:spacing w:after="170" w:line="272"/>
      </w:pPr>
      <w:r>
        <w:rPr>
          <w:b/>
          <w:bCs/>
        </w:rPr>
        <w:t xml:space="preserve">PV-Stromlieferung – der Betreiber wird Elektrizitätsversorger.</w:t>
      </w:r>
      <w:r>
        <w:t xml:space="preserve"> Sobald der Betreiber Strom an eine andere Partei abgibt, entsteht ein Lieferverhältnis mit allen Konsequenzen: Versorgerpflichten, Umsatzsteuer auf die Lieferung, Abrechnungs- und Messaufwand, bei Mieterstrom nach § 42a EnWG zusätzlich das Vollversorgungsgebot und der Preisdeckel von 90 % des Grundversorgungstarifs. Im Gegenzug ist dies die </w:t>
      </w:r>
      <w:r>
        <w:rPr>
          <w:b/>
          <w:bCs/>
        </w:rPr>
        <w:t xml:space="preserve">einzige Familie, in der der Mieterstromzuschlag nach § 48a EEG überhaupt in Betracht kommt</w:t>
      </w:r>
      <w:r>
        <w:t xml:space="preserve">. pv@now unterscheidet Ergänzungsversorgung (der Abnehmer beschafft den Reststrom selbst, getrennte Tarife) und Vollversorgung (der Betreiber liefert auch den Reststrom, Mischtarif); für die Preisfindung dient der Hilfsrechner Lieferpreis. </w:t>
      </w:r>
      <w:r>
        <w:rPr>
          <w:b/>
          <w:bCs/>
        </w:rPr>
        <w:t xml:space="preserve">Berechnungsbesonderheit:</w:t>
      </w:r>
      <w:r>
        <w:t xml:space="preserve"> Der Lieferpreis ist keine gesetzliche Größe, sondern das Verhandlungsergebnis zwischen zwei Akteuren – und beide Seiten werden in pv@now getrennt ausgewertet. Genau hier zeigt die rollengetrennte Rechnung ihren Wert: Ein Lieferpreis, der den Betreiber trägt, muss dem Verbraucher immer noch einen Vorteil gegenüber seinem Netzbezug lassen.</w:t>
      </w:r>
    </w:p>
    <w:p>
      <w:pPr>
        <w:spacing w:after="170" w:line="272"/>
      </w:pPr>
      <w:r>
        <w:rPr>
          <w:b/>
          <w:bCs/>
        </w:rPr>
        <w:t xml:space="preserve">PV-Mieten – der Rollentausch als Gestaltungsinstrument.</w:t>
      </w:r>
      <w:r>
        <w:t xml:space="preserve"> Die entscheidende Idee ist nicht die Miete, sondern der Rollentausch: </w:t>
      </w:r>
      <w:r>
        <w:rPr>
          <w:b/>
          <w:bCs/>
        </w:rPr>
        <w:t xml:space="preserve">Der Nutzer mietet die Anlage und wird dadurch selbst Anlagenbetreiber.</w:t>
      </w:r>
      <w:r>
        <w:t xml:space="preserve"> Sein Verbrauch ist damit Eigenverbrauch und keine Stromlieferung – es entstehen keine Versorgerpflichten, kein Mieterstromregime und kein 90-%-Deckel, und der EEG-Vergütungsanspruch für den Überschuss liegt bei ihm. Der Investor erhält im Gegenzug eine feste, kalkulierbare Miete (Hilfsrechner PV-Miete mit DGS-Franken-Vorschlagswert). Voraussetzung ist, dass die Betreibereigenschaft tatsächlich vorliegt – nach der Glossardefinition des Werkzeugs braucht der Mieter hinreichende Verfügungsgewalt über die Fahrweise der Anlage, muss das Betreiberrisiko tragen und die Abrechnung mit dem Netzbetreiber vornehmen (siehe D3). Die elf Varianten unterscheiden sich entlang zweier Achsen: </w:t>
      </w:r>
      <w:r>
        <w:rPr>
          <w:b/>
          <w:bCs/>
        </w:rPr>
        <w:t xml:space="preserve">Aufspaltung</w:t>
      </w:r>
      <w:r>
        <w:t xml:space="preserve"> der Rollen I, G, B und V auf zwei bis vier Parteien und </w:t>
      </w:r>
      <w:r>
        <w:rPr>
          <w:b/>
          <w:bCs/>
        </w:rPr>
        <w:t xml:space="preserve">Haupt-/Mitbetreiber-Teilung</w:t>
      </w:r>
      <w:r>
        <w:t xml:space="preserve"> (Modelle 5, 6, 8 und 10). Vier Varianten – 4, 7, 9 und 11 – enthalten zusätzlich eine echte Lieferung an Dritte und unterliegen insoweit wieder dem Liefermodell-Regime. </w:t>
      </w:r>
      <w:r>
        <w:rPr>
          <w:b/>
          <w:bCs/>
        </w:rPr>
        <w:t xml:space="preserve">Berechnungsbesonderheit:</w:t>
      </w:r>
      <w:r>
        <w:t xml:space="preserve"> Die Anlagenmiete ist der einzige Zahlungsstrom zwischen Investor und Betreiber; ihre Höhe entscheidet, wie der Gesamtvorteil zwischen beiden aufgeteilt wird, und ist deshalb der zentrale Stellhebel der Modellrechnung.</w:t>
      </w:r>
    </w:p>
    <w:p>
      <w:pPr>
        <w:spacing w:after="170" w:line="272"/>
      </w:pPr>
      <w:r>
        <w:rPr>
          <w:b/>
          <w:bCs/>
        </w:rPr>
        <w:t xml:space="preserve">PV-Teil-Mieten – ideelle Anteile statt Lieferung.</w:t>
      </w:r>
      <w:r>
        <w:t xml:space="preserve"> Der Hauptbetreiber betreibt die Anlage und vermietet </w:t>
      </w:r>
      <w:r>
        <w:rPr>
          <w:b/>
          <w:bCs/>
        </w:rPr>
        <w:t xml:space="preserve">Teile davon</w:t>
      </w:r>
      <w:r>
        <w:t xml:space="preserve"> an einen oder mehrere Mitbetreiber; jeder Mitbetreiber verbraucht seinen Anteil selbst. Wirtschaftlich ist das die Bruchteilslogik der DGS-Vertragstypen 2b und 3a: Mehrere Nutzungseinheiten partizipieren an einer Anlage, ohne dass zwischen ihnen ein Lieferverhältnis entsteht. Nach der Glossardefinition trägt auch der Teilmieter Betreiberrisiken; diese werden im Innenverhältnis über den Teilmietvertrag zur Risikoabsicherung auf den Hauptbetreiber übertragen (siehe D3). </w:t>
      </w:r>
      <w:r>
        <w:rPr>
          <w:b/>
          <w:bCs/>
        </w:rPr>
        <w:t xml:space="preserve">Berechnungsbesonderheit und größte Praxishürde:</w:t>
      </w:r>
      <w:r>
        <w:t xml:space="preserve"> die eindeutige messtechnische Zuordnung von Erzeugungsanteil und Verbrauch je Mitbetreiber. Hier greifen die zehn DGS-Messkonzepte (virtuelle Zählpunkte, Kaskade, virtuelles Summenzählermodell – siehe A3), und hier ist die BGH-Entscheidung vom 13.05.2025 zur Kundenanlage vor Vertragsabschluss zu prüfen.</w:t>
      </w:r>
    </w:p>
    <w:p>
      <w:pPr>
        <w:spacing w:after="170" w:line="272"/>
      </w:pPr>
      <w:r>
        <w:rPr>
          <w:b/>
          <w:bCs/>
        </w:rPr>
        <w:t xml:space="preserve">Modellwechsel als methodisches Instrument.</w:t>
      </w:r>
      <w:r>
        <w:t xml:space="preserve"> Über alle Familien hinweg gilt: Je Plan lassen sich bis zu vier Betreibermodelle zeitlich nacheinander abbilden – ersetzend oder zeitlich vor- beziehungsweise nachgelagert. Der Hilfetext des Werkzeugs nennt dafür den steuerlich motivierten Standardfall: Bei der Kombination der PV-Miete mit Investitionsabzugsbetrag und Sonderabschreibung beginnt man üblicherweise mit dem Betreibermodell Volleinspeisung und wechselt zu Beginn des dritten Kalenderjahres in das Modell PV-Miete [29]. Methodisch bedeutet ein Modellwechsel, dass die Schritte 2, 5 und 6 abschnittsweise mit unterschiedlichen Regeln gerechnet werden, während die Anlagendaten aus Schritt 1 unverändert bleiben.</w:t>
      </w:r>
    </w:p>
    <w:p>
      <w:pPr>
        <w:pStyle w:val="Heading2"/>
      </w:pPr>
      <w:bookmarkStart w:id="900025" w:name="_Toc90000025"/>
      <w:r>
        <w:t xml:space="preserve">M4  Aktuelle Rahmenbedingungen als Rechen-Einflüsse</w:t>
      </w:r>
      <w:bookmarkEnd w:id="900025"/>
    </w:p>
    <w:p>
      <w:r>
        <w:t xml:space="preserve">Die folgende Checkliste übersetzt den Rechtsrahmen aus B3 in konkrete Eingriffe in die Rechnung. Die rechtlichen Details stehen dort und werden hier nicht wiederholt.</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900"/>
        <w:gridCol w:w="4400"/>
        <w:gridCol w:w="2338"/>
      </w:tblGrid>
      <w:tr>
        <w:trPr>
          <w:tblHeader/>
        </w:trPr>
        <w:tc>
          <w:tcPr>
            <w:tcW w:type="dxa" w:w="2900"/>
            <w:shd w:fill="1F3864" w:color="auto" w:val="clear"/>
            <w:vAlign w:val="center"/>
          </w:tcPr>
          <w:p>
            <w:pPr>
              <w:spacing w:after="30" w:before="30" w:line="230"/>
              <w:jc w:val="left"/>
            </w:pPr>
            <w:r>
              <w:rPr>
                <w:b/>
                <w:bCs/>
                <w:color w:val="FFFFFF"/>
                <w:sz w:val="17"/>
                <w:szCs w:val="17"/>
              </w:rPr>
              <w:t xml:space="preserve">Rahmenbedingung</w:t>
            </w:r>
          </w:p>
        </w:tc>
        <w:tc>
          <w:tcPr>
            <w:tcW w:type="dxa" w:w="4400"/>
            <w:shd w:fill="1F3864" w:color="auto" w:val="clear"/>
            <w:vAlign w:val="center"/>
          </w:tcPr>
          <w:p>
            <w:pPr>
              <w:spacing w:after="30" w:before="30" w:line="230"/>
              <w:jc w:val="left"/>
            </w:pPr>
            <w:r>
              <w:rPr>
                <w:b/>
                <w:bCs/>
                <w:color w:val="FFFFFF"/>
                <w:sz w:val="17"/>
                <w:szCs w:val="17"/>
              </w:rPr>
              <w:t xml:space="preserve">Wirkung in der Rechnung</w:t>
            </w:r>
          </w:p>
        </w:tc>
        <w:tc>
          <w:tcPr>
            <w:tcW w:type="dxa" w:w="2338"/>
            <w:shd w:fill="1F3864" w:color="auto" w:val="clear"/>
            <w:vAlign w:val="center"/>
          </w:tcPr>
          <w:p>
            <w:pPr>
              <w:spacing w:after="30" w:before="30" w:line="230"/>
              <w:jc w:val="left"/>
            </w:pPr>
            <w:r>
              <w:rPr>
                <w:b/>
                <w:bCs/>
                <w:color w:val="FFFFFF"/>
                <w:sz w:val="17"/>
                <w:szCs w:val="17"/>
              </w:rPr>
              <w:t xml:space="preserve">Besonders betroffen</w:t>
            </w:r>
          </w:p>
        </w:tc>
      </w:tr>
      <w:tr>
        <w:tc>
          <w:tcPr>
            <w:tcW w:type="dxa" w:w="2900"/>
            <w:vAlign w:val="center"/>
          </w:tcPr>
          <w:p>
            <w:pPr>
              <w:spacing w:after="30" w:before="30" w:line="230"/>
              <w:jc w:val="left"/>
            </w:pPr>
            <w:r>
              <w:rPr>
                <w:b/>
                <w:bCs/>
                <w:sz w:val="17"/>
                <w:szCs w:val="17"/>
              </w:rPr>
              <w:t xml:space="preserve">§ 51 / § 51a – anzulegender Wert null bei negativen Preisen, Nachholung mit Faktor 0,5</w:t>
            </w:r>
          </w:p>
        </w:tc>
        <w:tc>
          <w:tcPr>
            <w:tcW w:type="dxa" w:w="4400"/>
            <w:vAlign w:val="center"/>
          </w:tcPr>
          <w:p>
            <w:pPr>
              <w:spacing w:after="30" w:before="30" w:line="230"/>
              <w:jc w:val="left"/>
            </w:pPr>
            <w:r>
              <w:rPr>
                <w:b w:val="false"/>
                <w:bCs w:val="false"/>
                <w:sz w:val="17"/>
                <w:szCs w:val="17"/>
              </w:rPr>
              <w:t xml:space="preserve">Abschlag in der Ertragsprognose für die vergütete Menge; die Nachholung verlängert die Vergütungsdauer ertragsgewichtet, ersetzt den Ausfall aber nicht eins zu eins</w:t>
            </w:r>
          </w:p>
        </w:tc>
        <w:tc>
          <w:tcPr>
            <w:tcW w:type="dxa" w:w="2338"/>
            <w:vAlign w:val="center"/>
          </w:tcPr>
          <w:p>
            <w:pPr>
              <w:spacing w:after="30" w:before="30" w:line="230"/>
              <w:jc w:val="left"/>
            </w:pPr>
            <w:r>
              <w:rPr>
                <w:b w:val="false"/>
                <w:bCs w:val="false"/>
                <w:sz w:val="17"/>
                <w:szCs w:val="17"/>
              </w:rPr>
              <w:t xml:space="preserve">alle Modelle mit EEG-Vergütung, besonders Volleinspeisung und Marktprämienmodelle</w:t>
            </w:r>
          </w:p>
        </w:tc>
      </w:tr>
      <w:tr>
        <w:tc>
          <w:tcPr>
            <w:tcW w:type="dxa" w:w="2900"/>
            <w:shd w:fill="F2F5FA" w:color="auto" w:val="clear"/>
            <w:vAlign w:val="center"/>
          </w:tcPr>
          <w:p>
            <w:pPr>
              <w:spacing w:after="30" w:before="30" w:line="230"/>
              <w:jc w:val="left"/>
            </w:pPr>
            <w:r>
              <w:rPr>
                <w:b/>
                <w:bCs/>
                <w:sz w:val="17"/>
                <w:szCs w:val="17"/>
              </w:rPr>
              <w:t xml:space="preserve">§ 9 Abs. 2 – 60-%-Kappung bei fester Einspeisevergütung ohne intelligentes Messsystem</w:t>
            </w:r>
          </w:p>
        </w:tc>
        <w:tc>
          <w:tcPr>
            <w:tcW w:type="dxa" w:w="4400"/>
            <w:shd w:fill="F2F5FA" w:color="auto" w:val="clear"/>
            <w:vAlign w:val="center"/>
          </w:tcPr>
          <w:p>
            <w:pPr>
              <w:spacing w:after="30" w:before="30" w:line="230"/>
              <w:jc w:val="left"/>
            </w:pPr>
            <w:r>
              <w:rPr>
                <w:b w:val="false"/>
                <w:bCs w:val="false"/>
                <w:sz w:val="17"/>
                <w:szCs w:val="17"/>
              </w:rPr>
              <w:t xml:space="preserve">Reduziert die einspeisbare Menge in der Ertragsrechnung; in der Direktvermarktung entfällt die Kappung</w:t>
            </w:r>
          </w:p>
        </w:tc>
        <w:tc>
          <w:tcPr>
            <w:tcW w:type="dxa" w:w="2338"/>
            <w:shd w:fill="F2F5FA" w:color="auto" w:val="clear"/>
            <w:vAlign w:val="center"/>
          </w:tcPr>
          <w:p>
            <w:pPr>
              <w:spacing w:after="30" w:before="30" w:line="230"/>
              <w:jc w:val="left"/>
            </w:pPr>
            <w:r>
              <w:rPr>
                <w:b w:val="false"/>
                <w:bCs w:val="false"/>
                <w:sz w:val="17"/>
                <w:szCs w:val="17"/>
              </w:rPr>
              <w:t xml:space="preserve">Anlagen &lt; 100 kWp mit fester Einspeisevergütung sowie Mieterstrommodelle</w:t>
            </w:r>
          </w:p>
        </w:tc>
      </w:tr>
      <w:tr>
        <w:tc>
          <w:tcPr>
            <w:tcW w:type="dxa" w:w="2900"/>
            <w:vAlign w:val="center"/>
          </w:tcPr>
          <w:p>
            <w:pPr>
              <w:spacing w:after="30" w:before="30" w:line="230"/>
              <w:jc w:val="left"/>
            </w:pPr>
            <w:r>
              <w:rPr>
                <w:b/>
                <w:bCs/>
                <w:sz w:val="17"/>
                <w:szCs w:val="17"/>
              </w:rPr>
              <w:t xml:space="preserve">Direktvermarktungspflicht &gt; 100 kWp</w:t>
            </w:r>
          </w:p>
        </w:tc>
        <w:tc>
          <w:tcPr>
            <w:tcW w:type="dxa" w:w="4400"/>
            <w:vAlign w:val="center"/>
          </w:tcPr>
          <w:p>
            <w:pPr>
              <w:spacing w:after="30" w:before="30" w:line="230"/>
              <w:jc w:val="left"/>
            </w:pPr>
            <w:r>
              <w:rPr>
                <w:b w:val="false"/>
                <w:bCs w:val="false"/>
                <w:sz w:val="17"/>
                <w:szCs w:val="17"/>
              </w:rPr>
              <w:t xml:space="preserve">Wechsel vom Pfad „feste Einspeisevergütung“ zum anzulegenden Wert; Vermarktungskosten sind </w:t>
            </w:r>
            <w:r>
              <w:rPr>
                <w:b/>
                <w:bCs/>
                <w:sz w:val="17"/>
                <w:szCs w:val="17"/>
              </w:rPr>
              <w:t xml:space="preserve">zusätzlich</w:t>
            </w:r>
            <w:r>
              <w:rPr>
                <w:b w:val="false"/>
                <w:bCs w:val="false"/>
                <w:sz w:val="17"/>
                <w:szCs w:val="17"/>
              </w:rPr>
              <w:t xml:space="preserve"> anzusetzen – die 0,40 ct/kWh sind bereits im Abschlag der festen Vergütung enthalten, in der Direktvermarktung dagegen vertraglich zu vereinbaren</w:t>
            </w:r>
          </w:p>
        </w:tc>
        <w:tc>
          <w:tcPr>
            <w:tcW w:type="dxa" w:w="2338"/>
            <w:vAlign w:val="center"/>
          </w:tcPr>
          <w:p>
            <w:pPr>
              <w:spacing w:after="30" w:before="30" w:line="230"/>
              <w:jc w:val="left"/>
            </w:pPr>
            <w:r>
              <w:rPr>
                <w:b w:val="false"/>
                <w:bCs w:val="false"/>
                <w:sz w:val="17"/>
                <w:szCs w:val="17"/>
              </w:rPr>
              <w:t xml:space="preserve">alle Familien ab 100 kWp</w:t>
            </w:r>
          </w:p>
        </w:tc>
      </w:tr>
      <w:tr>
        <w:tc>
          <w:tcPr>
            <w:tcW w:type="dxa" w:w="2900"/>
            <w:shd w:fill="F2F5FA" w:color="auto" w:val="clear"/>
            <w:vAlign w:val="center"/>
          </w:tcPr>
          <w:p>
            <w:pPr>
              <w:spacing w:after="30" w:before="30" w:line="230"/>
              <w:jc w:val="left"/>
            </w:pPr>
            <w:r>
              <w:rPr>
                <w:b/>
                <w:bCs/>
                <w:sz w:val="17"/>
                <w:szCs w:val="17"/>
              </w:rPr>
              <w:t xml:space="preserve">Umsatzsteuerwahl: Nullsteuersatz § 12 Abs. 3 UStG (Kauf ≤ 30 kWp) gegenüber Regelbesteuerung mit Vorsteuerabzug</w:t>
            </w:r>
          </w:p>
        </w:tc>
        <w:tc>
          <w:tcPr>
            <w:tcW w:type="dxa" w:w="4400"/>
            <w:shd w:fill="F2F5FA" w:color="auto" w:val="clear"/>
            <w:vAlign w:val="center"/>
          </w:tcPr>
          <w:p>
            <w:pPr>
              <w:spacing w:after="30" w:before="30" w:line="230"/>
              <w:jc w:val="left"/>
            </w:pPr>
            <w:r>
              <w:rPr>
                <w:b w:val="false"/>
                <w:bCs w:val="false"/>
                <w:sz w:val="17"/>
                <w:szCs w:val="17"/>
              </w:rPr>
              <w:t xml:space="preserve">Verändert die Bemessungsgrundlage der Investition </w:t>
            </w:r>
            <w:r>
              <w:rPr>
                <w:b/>
                <w:bCs/>
                <w:sz w:val="17"/>
                <w:szCs w:val="17"/>
              </w:rPr>
              <w:t xml:space="preserve">und</w:t>
            </w:r>
            <w:r>
              <w:rPr>
                <w:b w:val="false"/>
                <w:bCs w:val="false"/>
                <w:sz w:val="17"/>
                <w:szCs w:val="17"/>
              </w:rPr>
              <w:t xml:space="preserve"> die Bewertung des Eigenverbrauchs; wirkt damit auf Gestehungskosten und Kapitalwert zugleich</w:t>
            </w:r>
          </w:p>
        </w:tc>
        <w:tc>
          <w:tcPr>
            <w:tcW w:type="dxa" w:w="2338"/>
            <w:shd w:fill="F2F5FA" w:color="auto" w:val="clear"/>
            <w:vAlign w:val="center"/>
          </w:tcPr>
          <w:p>
            <w:pPr>
              <w:spacing w:after="30" w:before="30" w:line="230"/>
              <w:jc w:val="left"/>
            </w:pPr>
            <w:r>
              <w:rPr>
                <w:b w:val="false"/>
                <w:bCs w:val="false"/>
                <w:sz w:val="17"/>
                <w:szCs w:val="17"/>
              </w:rPr>
              <w:t xml:space="preserve">alle Modelle, besonders Eigenverbrauchs- und Mietmodelle</w:t>
            </w:r>
          </w:p>
        </w:tc>
      </w:tr>
      <w:tr>
        <w:tc>
          <w:tcPr>
            <w:tcW w:type="dxa" w:w="2900"/>
            <w:vAlign w:val="center"/>
          </w:tcPr>
          <w:p>
            <w:pPr>
              <w:spacing w:after="30" w:before="30" w:line="230"/>
              <w:jc w:val="left"/>
            </w:pPr>
            <w:r>
              <w:rPr>
                <w:b/>
                <w:bCs/>
                <w:sz w:val="17"/>
                <w:szCs w:val="17"/>
              </w:rPr>
              <w:t xml:space="preserve">Mieterstromzuschlag § 48a EEG / § 42a EnWG</w:t>
            </w:r>
          </w:p>
        </w:tc>
        <w:tc>
          <w:tcPr>
            <w:tcW w:type="dxa" w:w="4400"/>
            <w:vAlign w:val="center"/>
          </w:tcPr>
          <w:p>
            <w:pPr>
              <w:spacing w:after="30" w:before="30" w:line="230"/>
              <w:jc w:val="left"/>
            </w:pPr>
            <w:r>
              <w:rPr>
                <w:b w:val="false"/>
                <w:bCs w:val="false"/>
                <w:sz w:val="17"/>
                <w:szCs w:val="17"/>
              </w:rPr>
              <w:t xml:space="preserve">Zusätzlicher Erlös nur für die </w:t>
            </w:r>
            <w:r>
              <w:rPr>
                <w:b/>
                <w:bCs/>
                <w:sz w:val="17"/>
                <w:szCs w:val="17"/>
              </w:rPr>
              <w:t xml:space="preserve">gelieferte</w:t>
            </w:r>
            <w:r>
              <w:rPr>
                <w:b w:val="false"/>
                <w:bCs w:val="false"/>
                <w:sz w:val="17"/>
                <w:szCs w:val="17"/>
              </w:rPr>
              <w:t xml:space="preserve"> Menge; im Gegenzug Vollversorgungsgebot und Preisdeckel von 90 % des Grundversorgungstarifs</w:t>
            </w:r>
          </w:p>
        </w:tc>
        <w:tc>
          <w:tcPr>
            <w:tcW w:type="dxa" w:w="2338"/>
            <w:vAlign w:val="center"/>
          </w:tcPr>
          <w:p>
            <w:pPr>
              <w:spacing w:after="30" w:before="30" w:line="230"/>
              <w:jc w:val="left"/>
            </w:pPr>
            <w:r>
              <w:rPr>
                <w:b w:val="false"/>
                <w:bCs w:val="false"/>
                <w:sz w:val="17"/>
                <w:szCs w:val="17"/>
              </w:rPr>
              <w:t xml:space="preserve">ausschließlich Liefermodelle (PV-Stromlieferung 1–5; PV-Mieten 4, 7, 9, 11)</w:t>
            </w:r>
          </w:p>
        </w:tc>
      </w:tr>
      <w:tr>
        <w:tc>
          <w:tcPr>
            <w:tcW w:type="dxa" w:w="2900"/>
            <w:shd w:fill="F2F5FA" w:color="auto" w:val="clear"/>
            <w:vAlign w:val="center"/>
          </w:tcPr>
          <w:p>
            <w:pPr>
              <w:spacing w:after="30" w:before="30" w:line="230"/>
              <w:jc w:val="left"/>
            </w:pPr>
            <w:r>
              <w:rPr>
                <w:b/>
                <w:bCs/>
                <w:sz w:val="17"/>
                <w:szCs w:val="17"/>
              </w:rPr>
              <w:t xml:space="preserve">Gemeinschaftliche Gebäudeversorgung § 42b EnWG und Energy Sharing § 42c EnWG (anwendbar seit 01.06.2026)</w:t>
            </w:r>
          </w:p>
        </w:tc>
        <w:tc>
          <w:tcPr>
            <w:tcW w:type="dxa" w:w="4400"/>
            <w:shd w:fill="F2F5FA" w:color="auto" w:val="clear"/>
            <w:vAlign w:val="center"/>
          </w:tcPr>
          <w:p>
            <w:pPr>
              <w:spacing w:after="30" w:before="30" w:line="230"/>
              <w:jc w:val="left"/>
            </w:pPr>
            <w:r>
              <w:rPr>
                <w:b w:val="false"/>
                <w:bCs w:val="false"/>
                <w:sz w:val="17"/>
                <w:szCs w:val="17"/>
              </w:rPr>
              <w:t xml:space="preserve">Vereinfachte Alternativen zum Mieterstrom: kein Zuschlag, dafür reduzierte Pflichten – in der Rechnung weniger Erlös, aber auch weniger Abrechnungskosten</w:t>
            </w:r>
          </w:p>
        </w:tc>
        <w:tc>
          <w:tcPr>
            <w:tcW w:type="dxa" w:w="2338"/>
            <w:shd w:fill="F2F5FA" w:color="auto" w:val="clear"/>
            <w:vAlign w:val="center"/>
          </w:tcPr>
          <w:p>
            <w:pPr>
              <w:spacing w:after="30" w:before="30" w:line="230"/>
              <w:jc w:val="left"/>
            </w:pPr>
            <w:r>
              <w:rPr>
                <w:b w:val="false"/>
                <w:bCs w:val="false"/>
                <w:sz w:val="17"/>
                <w:szCs w:val="17"/>
              </w:rPr>
              <w:t xml:space="preserve">Liefermodelle als Alternativprüfung</w:t>
            </w:r>
          </w:p>
        </w:tc>
      </w:tr>
      <w:tr>
        <w:tc>
          <w:tcPr>
            <w:tcW w:type="dxa" w:w="2900"/>
            <w:vAlign w:val="center"/>
          </w:tcPr>
          <w:p>
            <w:pPr>
              <w:spacing w:after="30" w:before="30" w:line="230"/>
              <w:jc w:val="left"/>
            </w:pPr>
            <w:r>
              <w:rPr>
                <w:b/>
                <w:bCs/>
                <w:sz w:val="17"/>
                <w:szCs w:val="17"/>
              </w:rPr>
              <w:t xml:space="preserve">Eigenverbrauch ist keine Lieferung</w:t>
            </w:r>
          </w:p>
        </w:tc>
        <w:tc>
          <w:tcPr>
            <w:tcW w:type="dxa" w:w="4400"/>
            <w:vAlign w:val="center"/>
          </w:tcPr>
          <w:p>
            <w:pPr>
              <w:spacing w:after="30" w:before="30" w:line="230"/>
              <w:jc w:val="left"/>
            </w:pPr>
            <w:r>
              <w:rPr>
                <w:b w:val="false"/>
                <w:bCs w:val="false"/>
                <w:sz w:val="17"/>
                <w:szCs w:val="17"/>
              </w:rPr>
              <w:t xml:space="preserve">Entfallen von Versorgerpflichten, Umsatzsteuer auf die Lieferung und Mieterstromregime; kein Zuschlag, dafür Bewertung zum vollen vermiedenen Netzbezug</w:t>
            </w:r>
          </w:p>
        </w:tc>
        <w:tc>
          <w:tcPr>
            <w:tcW w:type="dxa" w:w="2338"/>
            <w:vAlign w:val="center"/>
          </w:tcPr>
          <w:p>
            <w:pPr>
              <w:spacing w:after="30" w:before="30" w:line="230"/>
              <w:jc w:val="left"/>
            </w:pPr>
            <w:r>
              <w:rPr>
                <w:b/>
                <w:bCs/>
                <w:sz w:val="17"/>
                <w:szCs w:val="17"/>
              </w:rPr>
              <w:t xml:space="preserve">Kernvorteil der Mieten- und Teil-Mieten-Modelle</w:t>
            </w:r>
          </w:p>
        </w:tc>
      </w:tr>
      <w:tr>
        <w:tc>
          <w:tcPr>
            <w:tcW w:type="dxa" w:w="2900"/>
            <w:shd w:fill="F2F5FA" w:color="auto" w:val="clear"/>
            <w:vAlign w:val="center"/>
          </w:tcPr>
          <w:p>
            <w:pPr>
              <w:spacing w:after="30" w:before="30" w:line="230"/>
              <w:jc w:val="left"/>
            </w:pPr>
            <w:r>
              <w:rPr>
                <w:b/>
                <w:bCs/>
                <w:sz w:val="17"/>
                <w:szCs w:val="17"/>
              </w:rPr>
              <w:t xml:space="preserve">EEG-Novelle 2027 – Regierungsentwurf (Kabinett 29.07.2026): Wegfall der festen Einspeisevergütung, Direktvermarktungspflicht, 50-%-Einspeisekappung bei Dachanlagen</w:t>
            </w:r>
          </w:p>
        </w:tc>
        <w:tc>
          <w:tcPr>
            <w:tcW w:type="dxa" w:w="4400"/>
            <w:shd w:fill="F2F5FA" w:color="auto" w:val="clear"/>
            <w:vAlign w:val="center"/>
          </w:tcPr>
          <w:p>
            <w:pPr>
              <w:spacing w:after="30" w:before="30" w:line="230"/>
              <w:jc w:val="left"/>
            </w:pPr>
            <w:r>
              <w:rPr>
                <w:b w:val="false"/>
                <w:bCs w:val="false"/>
                <w:sz w:val="17"/>
                <w:szCs w:val="17"/>
              </w:rPr>
              <w:t xml:space="preserve">Sensitivitätsbetrachtung: Modelle mit hohem Vor-Ort-Verwertungsanteil (Überschuss, Lieferung, Miete, Teilmiete) sind gegenüber dem Entwurf deutlich robuster als reine Volleinspeisung</w:t>
            </w:r>
          </w:p>
        </w:tc>
        <w:tc>
          <w:tcPr>
            <w:tcW w:type="dxa" w:w="2338"/>
            <w:shd w:fill="F2F5FA" w:color="auto" w:val="clear"/>
            <w:vAlign w:val="center"/>
          </w:tcPr>
          <w:p>
            <w:pPr>
              <w:spacing w:after="30" w:before="30" w:line="230"/>
              <w:jc w:val="left"/>
            </w:pPr>
            <w:r>
              <w:rPr>
                <w:b w:val="false"/>
                <w:bCs w:val="false"/>
                <w:sz w:val="17"/>
                <w:szCs w:val="17"/>
              </w:rPr>
              <w:t xml:space="preserve">alle Modelle für Inbetriebnahmen ab 2027</w:t>
            </w:r>
          </w:p>
        </w:tc>
      </w:tr>
      <w:tr>
        <w:tc>
          <w:tcPr>
            <w:tcW w:type="dxa" w:w="2900"/>
            <w:vAlign w:val="center"/>
          </w:tcPr>
          <w:p>
            <w:pPr>
              <w:spacing w:after="30" w:before="30" w:line="230"/>
              <w:jc w:val="left"/>
            </w:pPr>
            <w:r>
              <w:rPr>
                <w:b/>
                <w:bCs/>
                <w:sz w:val="17"/>
                <w:szCs w:val="17"/>
              </w:rPr>
              <w:t xml:space="preserve">§ 25 EEG – Bestandsschutz bei Inbetriebnahme bis 31.12.2026</w:t>
            </w:r>
          </w:p>
        </w:tc>
        <w:tc>
          <w:tcPr>
            <w:tcW w:type="dxa" w:w="4400"/>
            <w:vAlign w:val="center"/>
          </w:tcPr>
          <w:p>
            <w:pPr>
              <w:spacing w:after="30" w:before="30" w:line="230"/>
              <w:jc w:val="left"/>
            </w:pPr>
            <w:r>
              <w:rPr>
                <w:b w:val="false"/>
                <w:bCs w:val="false"/>
                <w:sz w:val="17"/>
                <w:szCs w:val="17"/>
              </w:rPr>
              <w:t xml:space="preserve">Sichert die heutigen Sätze über die volle Förderdauer; derzeit der stärkste Terminhebel in der Beratung</w:t>
            </w:r>
          </w:p>
        </w:tc>
        <w:tc>
          <w:tcPr>
            <w:tcW w:type="dxa" w:w="2338"/>
            <w:vAlign w:val="center"/>
          </w:tcPr>
          <w:p>
            <w:pPr>
              <w:spacing w:after="30" w:before="30" w:line="230"/>
              <w:jc w:val="left"/>
            </w:pPr>
            <w:r>
              <w:rPr>
                <w:b w:val="false"/>
                <w:bCs w:val="false"/>
                <w:sz w:val="17"/>
                <w:szCs w:val="17"/>
              </w:rPr>
              <w:t xml:space="preserve">alle Modelle</w:t>
            </w:r>
          </w:p>
        </w:tc>
      </w:tr>
    </w:tbl>
    <w:p>
      <w:pPr>
        <w:spacing w:after="100"/>
      </w:pPr>
      <w:r>
        <w:rPr>
          <w:sz w:val="8"/>
          <w:szCs w:val="8"/>
        </w:rPr>
        <w:t xml:space="preserve"/>
      </w:r>
    </w:p>
    <w:p>
      <w:pPr>
        <w:pStyle w:val="Heading1"/>
      </w:pPr>
      <w:bookmarkStart w:id="900026" w:name="_Toc90000026"/>
      <w:r>
        <w:t xml:space="preserve">K  Wirtschaftlichkeitsberechnung: von der Modellwahl zur Kennzahl</w:t>
      </w:r>
      <w:bookmarkEnd w:id="900026"/>
    </w:p>
    <w:p>
      <w:r>
        <w:t xml:space="preserve">Teil M zeigt, </w:t>
      </w:r>
      <w:r>
        <w:rPr>
          <w:b/>
          <w:bCs/>
        </w:rPr>
        <w:t xml:space="preserve">welche</w:t>
      </w:r>
      <w:r>
        <w:t xml:space="preserve"> Zahlungsströme ein Betreibermodell erzeugt. Dieser Teil zeigt, </w:t>
      </w:r>
      <w:r>
        <w:rPr>
          <w:b/>
          <w:bCs/>
        </w:rPr>
        <w:t xml:space="preserve">wie daraus eine Kennzahl wird</w:t>
      </w:r>
      <w:r>
        <w:t xml:space="preserve"> – so, dass ein Leser jede Zahl des Fallbeispiels mit einem Tabellenkalkulationsblatt nachrechnen kann. Der Aufbau folgt dem Weg der Rechnung: K1 übersetzt die Modellwahl in einen Katalog von Zahlungsstrom-Bausteinen, K2 stellt die Formeln je Kennzahl bereit, K3 rechnet beide Pläne des Fallbeispiels Zeile für Zeile durch und prüft das Ergebnis gegen die Werte des Werkzeugs, K4 zeigt, in welche Richtung sich die Kennzahlen bewegen, wenn dieselbe Anlage in eine andere Modellfamilie überführt wird. Teil C bleibt die Beschreibung des Projekts und seiner Ergebnisse; die </w:t>
      </w:r>
      <w:r>
        <w:rPr>
          <w:b/>
          <w:bCs/>
        </w:rPr>
        <w:t xml:space="preserve">Herleitung</w:t>
      </w:r>
      <w:r>
        <w:t xml:space="preserve"> dieser Ergebnisse steht hier.</w:t>
      </w:r>
    </w:p>
    <w:p>
      <w:pPr>
        <w:pStyle w:val="Heading2"/>
      </w:pPr>
      <w:bookmarkStart w:id="900027" w:name="_Toc90000027"/>
      <w:r>
        <w:t xml:space="preserve">K1  Von der Modellwahl zum Zahlungsstrom</w:t>
      </w:r>
      <w:bookmarkEnd w:id="900027"/>
    </w:p>
    <w:p>
      <w:r>
        <w:t xml:space="preserve">Ein Betreibermodell verteilt die vier Rollen I, B, G und V auf bis zu vier Akteure (siehe A1). Rechnerisch bedeutet das: </w:t>
      </w:r>
      <w:r>
        <w:rPr>
          <w:b/>
          <w:bCs/>
        </w:rPr>
        <w:t xml:space="preserve">Das Modell entscheidet, welche Zahlungsstrom-Bausteine überhaupt auftreten und bei welchem Akteur sie mit welchem Vorzeichen gebucht werden.</w:t>
      </w:r>
      <w:r>
        <w:t xml:space="preserve"> Die Anlagentechnik – Schritt 1 der Rechenlogik aus M1 – bleibt davon unberührt.</w:t>
      </w:r>
    </w:p>
    <w:p>
      <w:r>
        <w:rPr>
          <w:b/>
          <w:bCs/>
        </w:rPr>
        <w:t xml:space="preserve">Bausteinkatalog.</w:t>
      </w:r>
      <w:r>
        <w:t xml:space="preserve"> Fünfzehn Bausteine genügen, um alle 25 Modelle des Katalogs abzubilden: zehn Einnahmenbausteine (E) und fünf Ausgabenbausteine (A).</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900"/>
        <w:gridCol w:w="2250"/>
        <w:gridCol w:w="3600"/>
        <w:gridCol w:w="2888"/>
      </w:tblGrid>
      <w:tr>
        <w:trPr>
          <w:tblHeader/>
        </w:trPr>
        <w:tc>
          <w:tcPr>
            <w:tcW w:type="dxa" w:w="900"/>
            <w:shd w:fill="1F3864" w:color="auto" w:val="clear"/>
            <w:vAlign w:val="center"/>
          </w:tcPr>
          <w:p>
            <w:pPr>
              <w:spacing w:after="30" w:before="30" w:line="230"/>
              <w:jc w:val="center"/>
            </w:pPr>
            <w:r>
              <w:rPr>
                <w:b/>
                <w:bCs/>
                <w:color w:val="FFFFFF"/>
                <w:sz w:val="17"/>
                <w:szCs w:val="17"/>
              </w:rPr>
              <w:t xml:space="preserve">Kürzel</w:t>
            </w:r>
          </w:p>
        </w:tc>
        <w:tc>
          <w:tcPr>
            <w:tcW w:type="dxa" w:w="2250"/>
            <w:shd w:fill="1F3864" w:color="auto" w:val="clear"/>
            <w:vAlign w:val="center"/>
          </w:tcPr>
          <w:p>
            <w:pPr>
              <w:spacing w:after="30" w:before="30" w:line="230"/>
              <w:jc w:val="left"/>
            </w:pPr>
            <w:r>
              <w:rPr>
                <w:b/>
                <w:bCs/>
                <w:color w:val="FFFFFF"/>
                <w:sz w:val="17"/>
                <w:szCs w:val="17"/>
              </w:rPr>
              <w:t xml:space="preserve">Baustein</w:t>
            </w:r>
          </w:p>
        </w:tc>
        <w:tc>
          <w:tcPr>
            <w:tcW w:type="dxa" w:w="3600"/>
            <w:shd w:fill="1F3864" w:color="auto" w:val="clear"/>
            <w:vAlign w:val="center"/>
          </w:tcPr>
          <w:p>
            <w:pPr>
              <w:spacing w:after="30" w:before="30" w:line="230"/>
              <w:jc w:val="left"/>
            </w:pPr>
            <w:r>
              <w:rPr>
                <w:b/>
                <w:bCs/>
                <w:color w:val="FFFFFF"/>
                <w:sz w:val="17"/>
                <w:szCs w:val="17"/>
              </w:rPr>
              <w:t xml:space="preserve">Bemessungsgrundlage</w:t>
            </w:r>
          </w:p>
        </w:tc>
        <w:tc>
          <w:tcPr>
            <w:tcW w:type="dxa" w:w="2888"/>
            <w:shd w:fill="1F3864" w:color="auto" w:val="clear"/>
            <w:vAlign w:val="center"/>
          </w:tcPr>
          <w:p>
            <w:pPr>
              <w:spacing w:after="30" w:before="30" w:line="230"/>
              <w:jc w:val="left"/>
            </w:pPr>
            <w:r>
              <w:rPr>
                <w:b/>
                <w:bCs/>
                <w:color w:val="FFFFFF"/>
                <w:sz w:val="17"/>
                <w:szCs w:val="17"/>
              </w:rPr>
              <w:t xml:space="preserve">Vorzeichen und Akteur</w:t>
            </w:r>
          </w:p>
        </w:tc>
      </w:tr>
      <w:tr>
        <w:trPr>
          <w:cantSplit/>
        </w:trPr>
        <w:tc>
          <w:tcPr>
            <w:tcW w:type="dxa" w:w="900"/>
            <w:vAlign w:val="center"/>
          </w:tcPr>
          <w:p>
            <w:pPr>
              <w:spacing w:after="30" w:before="30" w:line="230"/>
              <w:jc w:val="center"/>
            </w:pPr>
            <w:r>
              <w:rPr>
                <w:b/>
                <w:bCs/>
                <w:sz w:val="17"/>
                <w:szCs w:val="17"/>
              </w:rPr>
              <w:t xml:space="preserve">E1</w:t>
            </w:r>
          </w:p>
        </w:tc>
        <w:tc>
          <w:tcPr>
            <w:tcW w:type="dxa" w:w="2250"/>
            <w:vAlign w:val="center"/>
          </w:tcPr>
          <w:p>
            <w:pPr>
              <w:spacing w:after="30" w:before="30" w:line="230"/>
              <w:jc w:val="left"/>
            </w:pPr>
            <w:r>
              <w:rPr>
                <w:sz w:val="17"/>
                <w:szCs w:val="17"/>
              </w:rPr>
              <w:t xml:space="preserve">EEG-Einspeisevergütung</w:t>
            </w:r>
          </w:p>
        </w:tc>
        <w:tc>
          <w:tcPr>
            <w:tcW w:type="dxa" w:w="3600"/>
            <w:vAlign w:val="center"/>
          </w:tcPr>
          <w:p>
            <w:pPr>
              <w:spacing w:after="30" w:before="30" w:line="230"/>
              <w:jc w:val="left"/>
            </w:pPr>
            <w:r>
              <w:rPr>
                <w:sz w:val="17"/>
                <w:szCs w:val="17"/>
              </w:rPr>
              <w:t xml:space="preserve">eingespeiste Menge × fester Satz (§ 48, zuzüglich Zuschlag § 48 Abs. 2a bei Volleinspeisung)</w:t>
            </w:r>
          </w:p>
        </w:tc>
        <w:tc>
          <w:tcPr>
            <w:tcW w:type="dxa" w:w="2888"/>
            <w:vAlign w:val="center"/>
          </w:tcPr>
          <w:p>
            <w:pPr>
              <w:spacing w:after="30" w:before="30" w:line="230"/>
              <w:jc w:val="left"/>
            </w:pPr>
            <w:r>
              <w:rPr>
                <w:b/>
                <w:bCs/>
                <w:sz w:val="17"/>
                <w:szCs w:val="17"/>
              </w:rPr>
              <w:t xml:space="preserve">+</w:t>
            </w:r>
            <w:r>
              <w:rPr>
                <w:sz w:val="17"/>
                <w:szCs w:val="17"/>
              </w:rPr>
              <w:t xml:space="preserve"> beim Betreiber </w:t>
            </w:r>
            <w:r>
              <w:rPr>
                <w:rFonts w:ascii="Consolas" w:cs="Consolas" w:eastAsia="Consolas" w:hAnsi="Consolas"/>
                <w:b/>
                <w:bCs/>
                <w:sz w:val="17"/>
                <w:szCs w:val="17"/>
              </w:rPr>
              <w:t xml:space="preserve">B</w:t>
            </w:r>
          </w:p>
        </w:tc>
      </w:tr>
      <w:tr>
        <w:trPr>
          <w:cantSplit/>
        </w:trPr>
        <w:tc>
          <w:tcPr>
            <w:tcW w:type="dxa" w:w="900"/>
            <w:shd w:fill="F2F5FA" w:color="auto" w:val="clear"/>
            <w:vAlign w:val="center"/>
          </w:tcPr>
          <w:p>
            <w:pPr>
              <w:spacing w:after="30" w:before="30" w:line="230"/>
              <w:jc w:val="center"/>
            </w:pPr>
            <w:r>
              <w:rPr>
                <w:b/>
                <w:bCs/>
                <w:sz w:val="17"/>
                <w:szCs w:val="17"/>
              </w:rPr>
              <w:t xml:space="preserve">E2</w:t>
            </w:r>
          </w:p>
        </w:tc>
        <w:tc>
          <w:tcPr>
            <w:tcW w:type="dxa" w:w="2250"/>
            <w:shd w:fill="F2F5FA" w:color="auto" w:val="clear"/>
            <w:vAlign w:val="center"/>
          </w:tcPr>
          <w:p>
            <w:pPr>
              <w:spacing w:after="30" w:before="30" w:line="230"/>
              <w:jc w:val="left"/>
            </w:pPr>
            <w:r>
              <w:rPr>
                <w:sz w:val="17"/>
                <w:szCs w:val="17"/>
              </w:rPr>
              <w:t xml:space="preserve">Marktprämie und Spotvermarktung</w:t>
            </w:r>
          </w:p>
        </w:tc>
        <w:tc>
          <w:tcPr>
            <w:tcW w:type="dxa" w:w="3600"/>
            <w:shd w:fill="F2F5FA" w:color="auto" w:val="clear"/>
            <w:vAlign w:val="center"/>
          </w:tcPr>
          <w:p>
            <w:pPr>
              <w:spacing w:after="30" w:before="30" w:line="230"/>
              <w:jc w:val="left"/>
            </w:pPr>
            <w:r>
              <w:rPr>
                <w:sz w:val="17"/>
                <w:szCs w:val="17"/>
              </w:rPr>
              <w:t xml:space="preserve">eingespeiste Menge × (anzulegender Wert − Jahresmarktwert Solar) zuzüglich Spoterlös, abzüglich Vermarktungspauschale</w:t>
            </w:r>
          </w:p>
        </w:tc>
        <w:tc>
          <w:tcPr>
            <w:tcW w:type="dxa" w:w="2888"/>
            <w:shd w:fill="F2F5FA" w:color="auto" w:val="clear"/>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B</w:t>
            </w:r>
            <w:r>
              <w:rPr>
                <w:sz w:val="17"/>
                <w:szCs w:val="17"/>
              </w:rPr>
              <w:t xml:space="preserve">, Pauschale </w:t>
            </w:r>
            <w:r>
              <w:rPr>
                <w:b/>
                <w:bCs/>
                <w:sz w:val="17"/>
                <w:szCs w:val="17"/>
              </w:rPr>
              <w:t xml:space="preserve">−</w:t>
            </w:r>
            <w:r>
              <w:rPr>
                <w:sz w:val="17"/>
                <w:szCs w:val="17"/>
              </w:rPr>
              <w:t xml:space="preserve"> beim </w:t>
            </w:r>
            <w:r>
              <w:rPr>
                <w:rFonts w:ascii="Consolas" w:cs="Consolas" w:eastAsia="Consolas" w:hAnsi="Consolas"/>
                <w:b/>
                <w:bCs/>
                <w:sz w:val="17"/>
                <w:szCs w:val="17"/>
              </w:rPr>
              <w:t xml:space="preserve">B</w:t>
            </w:r>
          </w:p>
        </w:tc>
      </w:tr>
      <w:tr>
        <w:trPr>
          <w:cantSplit/>
        </w:trPr>
        <w:tc>
          <w:tcPr>
            <w:tcW w:type="dxa" w:w="900"/>
            <w:vAlign w:val="center"/>
          </w:tcPr>
          <w:p>
            <w:pPr>
              <w:spacing w:after="30" w:before="30" w:line="230"/>
              <w:jc w:val="center"/>
            </w:pPr>
            <w:r>
              <w:rPr>
                <w:b/>
                <w:bCs/>
                <w:sz w:val="17"/>
                <w:szCs w:val="17"/>
              </w:rPr>
              <w:t xml:space="preserve">E3</w:t>
            </w:r>
          </w:p>
        </w:tc>
        <w:tc>
          <w:tcPr>
            <w:tcW w:type="dxa" w:w="2250"/>
            <w:vAlign w:val="center"/>
          </w:tcPr>
          <w:p>
            <w:pPr>
              <w:spacing w:after="30" w:before="30" w:line="230"/>
              <w:jc w:val="left"/>
            </w:pPr>
            <w:r>
              <w:rPr>
                <w:sz w:val="17"/>
                <w:szCs w:val="17"/>
              </w:rPr>
              <w:t xml:space="preserve">Ausfallvergütung</w:t>
            </w:r>
          </w:p>
        </w:tc>
        <w:tc>
          <w:tcPr>
            <w:tcW w:type="dxa" w:w="3600"/>
            <w:vAlign w:val="center"/>
          </w:tcPr>
          <w:p>
            <w:pPr>
              <w:spacing w:after="30" w:before="30" w:line="230"/>
              <w:jc w:val="left"/>
            </w:pPr>
            <w:r>
              <w:rPr>
                <w:sz w:val="17"/>
                <w:szCs w:val="17"/>
              </w:rPr>
              <w:t xml:space="preserve">eingespeiste Menge × 80 % des anzulegenden Wertes</w:t>
            </w:r>
          </w:p>
        </w:tc>
        <w:tc>
          <w:tcPr>
            <w:tcW w:type="dxa" w:w="2888"/>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B</w:t>
            </w:r>
            <w:r>
              <w:rPr>
                <w:sz w:val="17"/>
                <w:szCs w:val="17"/>
              </w:rPr>
              <w:t xml:space="preserve"> (nur Anlagen &gt; 100 kW)</w:t>
            </w:r>
          </w:p>
        </w:tc>
      </w:tr>
      <w:tr>
        <w:trPr>
          <w:cantSplit/>
        </w:trPr>
        <w:tc>
          <w:tcPr>
            <w:tcW w:type="dxa" w:w="900"/>
            <w:shd w:fill="F2F5FA" w:color="auto" w:val="clear"/>
            <w:vAlign w:val="center"/>
          </w:tcPr>
          <w:p>
            <w:pPr>
              <w:spacing w:after="30" w:before="30" w:line="230"/>
              <w:jc w:val="center"/>
            </w:pPr>
            <w:r>
              <w:rPr>
                <w:b/>
                <w:bCs/>
                <w:sz w:val="17"/>
                <w:szCs w:val="17"/>
              </w:rPr>
              <w:t xml:space="preserve">E4</w:t>
            </w:r>
          </w:p>
        </w:tc>
        <w:tc>
          <w:tcPr>
            <w:tcW w:type="dxa" w:w="2250"/>
            <w:shd w:fill="F2F5FA" w:color="auto" w:val="clear"/>
            <w:vAlign w:val="center"/>
          </w:tcPr>
          <w:p>
            <w:pPr>
              <w:spacing w:after="30" w:before="30" w:line="230"/>
              <w:jc w:val="left"/>
            </w:pPr>
            <w:r>
              <w:rPr>
                <w:sz w:val="17"/>
                <w:szCs w:val="17"/>
              </w:rPr>
              <w:t xml:space="preserve">Mieterstromzuschlag § 48a</w:t>
            </w:r>
          </w:p>
        </w:tc>
        <w:tc>
          <w:tcPr>
            <w:tcW w:type="dxa" w:w="3600"/>
            <w:shd w:fill="F2F5FA" w:color="auto" w:val="clear"/>
            <w:vAlign w:val="center"/>
          </w:tcPr>
          <w:p>
            <w:pPr>
              <w:spacing w:after="30" w:before="30" w:line="230"/>
              <w:jc w:val="left"/>
            </w:pPr>
            <w:r>
              <w:rPr>
                <w:b/>
                <w:bCs/>
                <w:sz w:val="17"/>
                <w:szCs w:val="17"/>
              </w:rPr>
              <w:t xml:space="preserve">gelieferte</w:t>
            </w:r>
            <w:r>
              <w:rPr>
                <w:sz w:val="17"/>
                <w:szCs w:val="17"/>
              </w:rPr>
              <w:t xml:space="preserve"> Menge × Zuschlagssatz</w:t>
            </w:r>
          </w:p>
        </w:tc>
        <w:tc>
          <w:tcPr>
            <w:tcW w:type="dxa" w:w="2888"/>
            <w:shd w:fill="F2F5FA" w:color="auto" w:val="clear"/>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B</w:t>
            </w:r>
            <w:r>
              <w:rPr>
                <w:sz w:val="17"/>
                <w:szCs w:val="17"/>
              </w:rPr>
              <w:t xml:space="preserve"> (nur bei Lieferung)</w:t>
            </w:r>
          </w:p>
        </w:tc>
      </w:tr>
      <w:tr>
        <w:trPr>
          <w:cantSplit/>
        </w:trPr>
        <w:tc>
          <w:tcPr>
            <w:tcW w:type="dxa" w:w="900"/>
            <w:vAlign w:val="center"/>
          </w:tcPr>
          <w:p>
            <w:pPr>
              <w:spacing w:after="30" w:before="30" w:line="230"/>
              <w:jc w:val="center"/>
            </w:pPr>
            <w:r>
              <w:rPr>
                <w:b/>
                <w:bCs/>
                <w:sz w:val="17"/>
                <w:szCs w:val="17"/>
              </w:rPr>
              <w:t xml:space="preserve">E5</w:t>
            </w:r>
          </w:p>
        </w:tc>
        <w:tc>
          <w:tcPr>
            <w:tcW w:type="dxa" w:w="2250"/>
            <w:vAlign w:val="center"/>
          </w:tcPr>
          <w:p>
            <w:pPr>
              <w:spacing w:after="30" w:before="30" w:line="230"/>
              <w:jc w:val="left"/>
            </w:pPr>
            <w:r>
              <w:rPr>
                <w:sz w:val="17"/>
                <w:szCs w:val="17"/>
              </w:rPr>
              <w:t xml:space="preserve">Stromlieferentgelt</w:t>
            </w:r>
          </w:p>
        </w:tc>
        <w:tc>
          <w:tcPr>
            <w:tcW w:type="dxa" w:w="3600"/>
            <w:vAlign w:val="center"/>
          </w:tcPr>
          <w:p>
            <w:pPr>
              <w:spacing w:after="30" w:before="30" w:line="230"/>
              <w:jc w:val="left"/>
            </w:pPr>
            <w:r>
              <w:rPr>
                <w:sz w:val="17"/>
                <w:szCs w:val="17"/>
              </w:rPr>
              <w:t xml:space="preserve">gelieferte Menge × vereinbarter Lieferpreis</w:t>
            </w:r>
          </w:p>
        </w:tc>
        <w:tc>
          <w:tcPr>
            <w:tcW w:type="dxa" w:w="2888"/>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B</w:t>
            </w:r>
            <w:r>
              <w:rPr>
                <w:sz w:val="17"/>
                <w:szCs w:val="17"/>
              </w:rPr>
              <w:t xml:space="preserve">, </w:t>
            </w:r>
            <w:r>
              <w:rPr>
                <w:b/>
                <w:bCs/>
                <w:sz w:val="17"/>
                <w:szCs w:val="17"/>
              </w:rPr>
              <w:t xml:space="preserve">−</w:t>
            </w:r>
            <w:r>
              <w:rPr>
                <w:sz w:val="17"/>
                <w:szCs w:val="17"/>
              </w:rPr>
              <w:t xml:space="preserve"> beim </w:t>
            </w:r>
            <w:r>
              <w:rPr>
                <w:rFonts w:ascii="Consolas" w:cs="Consolas" w:eastAsia="Consolas" w:hAnsi="Consolas"/>
                <w:b/>
                <w:bCs/>
                <w:sz w:val="17"/>
                <w:szCs w:val="17"/>
              </w:rPr>
              <w:t xml:space="preserve">V</w:t>
            </w:r>
          </w:p>
        </w:tc>
      </w:tr>
      <w:tr>
        <w:trPr>
          <w:cantSplit/>
        </w:trPr>
        <w:tc>
          <w:tcPr>
            <w:tcW w:type="dxa" w:w="900"/>
            <w:shd w:fill="F2F5FA" w:color="auto" w:val="clear"/>
            <w:vAlign w:val="center"/>
          </w:tcPr>
          <w:p>
            <w:pPr>
              <w:spacing w:after="30" w:before="30" w:line="230"/>
              <w:jc w:val="center"/>
            </w:pPr>
            <w:r>
              <w:rPr>
                <w:b/>
                <w:bCs/>
                <w:sz w:val="17"/>
                <w:szCs w:val="17"/>
              </w:rPr>
              <w:t xml:space="preserve">E6</w:t>
            </w:r>
          </w:p>
        </w:tc>
        <w:tc>
          <w:tcPr>
            <w:tcW w:type="dxa" w:w="2250"/>
            <w:shd w:fill="F2F5FA" w:color="auto" w:val="clear"/>
            <w:vAlign w:val="center"/>
          </w:tcPr>
          <w:p>
            <w:pPr>
              <w:spacing w:after="30" w:before="30" w:line="230"/>
              <w:jc w:val="left"/>
            </w:pPr>
            <w:r>
              <w:rPr>
                <w:sz w:val="17"/>
                <w:szCs w:val="17"/>
              </w:rPr>
              <w:t xml:space="preserve">vermiedener Netzbezug (kalkulatorisch)</w:t>
            </w:r>
          </w:p>
        </w:tc>
        <w:tc>
          <w:tcPr>
            <w:tcW w:type="dxa" w:w="3600"/>
            <w:shd w:fill="F2F5FA" w:color="auto" w:val="clear"/>
            <w:vAlign w:val="center"/>
          </w:tcPr>
          <w:p>
            <w:pPr>
              <w:spacing w:after="30" w:before="30" w:line="230"/>
              <w:jc w:val="left"/>
            </w:pPr>
            <w:r>
              <w:rPr>
                <w:sz w:val="17"/>
                <w:szCs w:val="17"/>
              </w:rPr>
              <w:t xml:space="preserve">Eigenverbrauchsmenge × Netzstrompreis des jeweiligen Jahres</w:t>
            </w:r>
          </w:p>
        </w:tc>
        <w:tc>
          <w:tcPr>
            <w:tcW w:type="dxa" w:w="2888"/>
            <w:shd w:fill="F2F5FA" w:color="auto" w:val="clear"/>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V</w:t>
            </w:r>
            <w:r>
              <w:rPr>
                <w:sz w:val="17"/>
                <w:szCs w:val="17"/>
              </w:rPr>
              <w:t xml:space="preserve"> – wirkt nur, wenn </w:t>
            </w:r>
            <w:r>
              <w:rPr>
                <w:rFonts w:ascii="Consolas" w:cs="Consolas" w:eastAsia="Consolas" w:hAnsi="Consolas"/>
                <w:b/>
                <w:bCs/>
                <w:sz w:val="17"/>
                <w:szCs w:val="17"/>
              </w:rPr>
              <w:t xml:space="preserve">V</w:t>
            </w:r>
            <w:r>
              <w:rPr>
                <w:sz w:val="17"/>
                <w:szCs w:val="17"/>
              </w:rPr>
              <w:t xml:space="preserve"> mit </w:t>
            </w:r>
            <w:r>
              <w:rPr>
                <w:rFonts w:ascii="Consolas" w:cs="Consolas" w:eastAsia="Consolas" w:hAnsi="Consolas"/>
                <w:b/>
                <w:bCs/>
                <w:sz w:val="17"/>
                <w:szCs w:val="17"/>
              </w:rPr>
              <w:t xml:space="preserve">B</w:t>
            </w:r>
            <w:r>
              <w:rPr>
                <w:sz w:val="17"/>
                <w:szCs w:val="17"/>
              </w:rPr>
              <w:t xml:space="preserve"> oder </w:t>
            </w:r>
            <w:r>
              <w:rPr>
                <w:rFonts w:ascii="Consolas" w:cs="Consolas" w:eastAsia="Consolas" w:hAnsi="Consolas"/>
                <w:b/>
                <w:bCs/>
                <w:sz w:val="17"/>
                <w:szCs w:val="17"/>
              </w:rPr>
              <w:t xml:space="preserve">B_Mit</w:t>
            </w:r>
            <w:r>
              <w:rPr>
                <w:sz w:val="17"/>
                <w:szCs w:val="17"/>
              </w:rPr>
              <w:t xml:space="preserve"> personenidentisch ist</w:t>
            </w:r>
          </w:p>
        </w:tc>
      </w:tr>
      <w:tr>
        <w:trPr>
          <w:cantSplit/>
        </w:trPr>
        <w:tc>
          <w:tcPr>
            <w:tcW w:type="dxa" w:w="900"/>
            <w:vAlign w:val="center"/>
          </w:tcPr>
          <w:p>
            <w:pPr>
              <w:spacing w:after="30" w:before="30" w:line="230"/>
              <w:jc w:val="center"/>
            </w:pPr>
            <w:r>
              <w:rPr>
                <w:b/>
                <w:bCs/>
                <w:sz w:val="17"/>
                <w:szCs w:val="17"/>
              </w:rPr>
              <w:t xml:space="preserve">E7</w:t>
            </w:r>
          </w:p>
        </w:tc>
        <w:tc>
          <w:tcPr>
            <w:tcW w:type="dxa" w:w="2250"/>
            <w:vAlign w:val="center"/>
          </w:tcPr>
          <w:p>
            <w:pPr>
              <w:spacing w:after="30" w:before="30" w:line="230"/>
              <w:jc w:val="left"/>
            </w:pPr>
            <w:r>
              <w:rPr>
                <w:sz w:val="17"/>
                <w:szCs w:val="17"/>
              </w:rPr>
              <w:t xml:space="preserve">Anlagenmiete / Teilmiete</w:t>
            </w:r>
          </w:p>
        </w:tc>
        <w:tc>
          <w:tcPr>
            <w:tcW w:type="dxa" w:w="3600"/>
            <w:vAlign w:val="center"/>
          </w:tcPr>
          <w:p>
            <w:pPr>
              <w:spacing w:after="30" w:before="30" w:line="230"/>
              <w:jc w:val="left"/>
            </w:pPr>
            <w:r>
              <w:rPr>
                <w:sz w:val="17"/>
                <w:szCs w:val="17"/>
              </w:rPr>
              <w:t xml:space="preserve">vereinbarte Miete je Monat oder Jahr (Hilfsrechner PV-Miete)</w:t>
            </w:r>
          </w:p>
        </w:tc>
        <w:tc>
          <w:tcPr>
            <w:tcW w:type="dxa" w:w="2888"/>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I</w:t>
            </w:r>
            <w:r>
              <w:rPr>
                <w:sz w:val="17"/>
                <w:szCs w:val="17"/>
              </w:rPr>
              <w:t xml:space="preserve"> (Teilmiete: </w:t>
            </w:r>
            <w:r>
              <w:rPr>
                <w:b/>
                <w:bCs/>
                <w:sz w:val="17"/>
                <w:szCs w:val="17"/>
              </w:rPr>
              <w:t xml:space="preserve">+</w:t>
            </w:r>
            <w:r>
              <w:rPr>
                <w:sz w:val="17"/>
                <w:szCs w:val="17"/>
              </w:rPr>
              <w:t xml:space="preserve"> beim </w:t>
            </w:r>
            <w:r>
              <w:rPr>
                <w:rFonts w:ascii="Consolas" w:cs="Consolas" w:eastAsia="Consolas" w:hAnsi="Consolas"/>
                <w:b/>
                <w:bCs/>
                <w:sz w:val="17"/>
                <w:szCs w:val="17"/>
              </w:rPr>
              <w:t xml:space="preserve">B_Haupt</w:t>
            </w:r>
            <w:r>
              <w:rPr>
                <w:sz w:val="17"/>
                <w:szCs w:val="17"/>
              </w:rPr>
              <w:t xml:space="preserve">), </w:t>
            </w:r>
            <w:r>
              <w:rPr>
                <w:b/>
                <w:bCs/>
                <w:sz w:val="17"/>
                <w:szCs w:val="17"/>
              </w:rPr>
              <w:t xml:space="preserve">−</w:t>
            </w:r>
            <w:r>
              <w:rPr>
                <w:sz w:val="17"/>
                <w:szCs w:val="17"/>
              </w:rPr>
              <w:t xml:space="preserve"> beim </w:t>
            </w:r>
            <w:r>
              <w:rPr>
                <w:rFonts w:ascii="Consolas" w:cs="Consolas" w:eastAsia="Consolas" w:hAnsi="Consolas"/>
                <w:b/>
                <w:bCs/>
                <w:sz w:val="17"/>
                <w:szCs w:val="17"/>
              </w:rPr>
              <w:t xml:space="preserve">B</w:t>
            </w:r>
            <w:r>
              <w:rPr>
                <w:sz w:val="17"/>
                <w:szCs w:val="17"/>
              </w:rPr>
              <w:t xml:space="preserve"> bzw. </w:t>
            </w:r>
            <w:r>
              <w:rPr>
                <w:rFonts w:ascii="Consolas" w:cs="Consolas" w:eastAsia="Consolas" w:hAnsi="Consolas"/>
                <w:b/>
                <w:bCs/>
                <w:sz w:val="17"/>
                <w:szCs w:val="17"/>
              </w:rPr>
              <w:t xml:space="preserve">B_Mit</w:t>
            </w:r>
          </w:p>
        </w:tc>
      </w:tr>
      <w:tr>
        <w:trPr>
          <w:cantSplit/>
        </w:trPr>
        <w:tc>
          <w:tcPr>
            <w:tcW w:type="dxa" w:w="900"/>
            <w:shd w:fill="F2F5FA" w:color="auto" w:val="clear"/>
            <w:vAlign w:val="center"/>
          </w:tcPr>
          <w:p>
            <w:pPr>
              <w:spacing w:after="30" w:before="30" w:line="230"/>
              <w:jc w:val="center"/>
            </w:pPr>
            <w:r>
              <w:rPr>
                <w:b/>
                <w:bCs/>
                <w:sz w:val="17"/>
                <w:szCs w:val="17"/>
              </w:rPr>
              <w:t xml:space="preserve">E8</w:t>
            </w:r>
          </w:p>
        </w:tc>
        <w:tc>
          <w:tcPr>
            <w:tcW w:type="dxa" w:w="2250"/>
            <w:shd w:fill="F2F5FA" w:color="auto" w:val="clear"/>
            <w:vAlign w:val="center"/>
          </w:tcPr>
          <w:p>
            <w:pPr>
              <w:spacing w:after="30" w:before="30" w:line="230"/>
              <w:jc w:val="left"/>
            </w:pPr>
            <w:r>
              <w:rPr>
                <w:sz w:val="17"/>
                <w:szCs w:val="17"/>
              </w:rPr>
              <w:t xml:space="preserve">Dach-/Flächenpacht</w:t>
            </w:r>
          </w:p>
        </w:tc>
        <w:tc>
          <w:tcPr>
            <w:tcW w:type="dxa" w:w="3600"/>
            <w:shd w:fill="F2F5FA" w:color="auto" w:val="clear"/>
            <w:vAlign w:val="center"/>
          </w:tcPr>
          <w:p>
            <w:pPr>
              <w:spacing w:after="30" w:before="30" w:line="230"/>
              <w:jc w:val="left"/>
            </w:pPr>
            <w:r>
              <w:rPr>
                <w:sz w:val="17"/>
                <w:szCs w:val="17"/>
              </w:rPr>
              <w:t xml:space="preserve">vereinbartes Gestattungsentgelt</w:t>
            </w:r>
          </w:p>
        </w:tc>
        <w:tc>
          <w:tcPr>
            <w:tcW w:type="dxa" w:w="2888"/>
            <w:shd w:fill="F2F5FA" w:color="auto" w:val="clear"/>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G</w:t>
            </w:r>
            <w:r>
              <w:rPr>
                <w:sz w:val="17"/>
                <w:szCs w:val="17"/>
              </w:rPr>
              <w:t xml:space="preserve">, </w:t>
            </w:r>
            <w:r>
              <w:rPr>
                <w:b/>
                <w:bCs/>
                <w:sz w:val="17"/>
                <w:szCs w:val="17"/>
              </w:rPr>
              <w:t xml:space="preserve">−</w:t>
            </w:r>
            <w:r>
              <w:rPr>
                <w:sz w:val="17"/>
                <w:szCs w:val="17"/>
              </w:rPr>
              <w:t xml:space="preserve"> beim </w:t>
            </w:r>
            <w:r>
              <w:rPr>
                <w:rFonts w:ascii="Consolas" w:cs="Consolas" w:eastAsia="Consolas" w:hAnsi="Consolas"/>
                <w:b/>
                <w:bCs/>
                <w:sz w:val="17"/>
                <w:szCs w:val="17"/>
              </w:rPr>
              <w:t xml:space="preserve">I</w:t>
            </w:r>
            <w:r>
              <w:rPr>
                <w:sz w:val="17"/>
                <w:szCs w:val="17"/>
              </w:rPr>
              <w:t xml:space="preserve"> oder </w:t>
            </w:r>
            <w:r>
              <w:rPr>
                <w:rFonts w:ascii="Consolas" w:cs="Consolas" w:eastAsia="Consolas" w:hAnsi="Consolas"/>
                <w:b/>
                <w:bCs/>
                <w:sz w:val="17"/>
                <w:szCs w:val="17"/>
              </w:rPr>
              <w:t xml:space="preserve">B</w:t>
            </w:r>
          </w:p>
        </w:tc>
      </w:tr>
      <w:tr>
        <w:trPr>
          <w:cantSplit/>
        </w:trPr>
        <w:tc>
          <w:tcPr>
            <w:tcW w:type="dxa" w:w="900"/>
            <w:vAlign w:val="center"/>
          </w:tcPr>
          <w:p>
            <w:pPr>
              <w:spacing w:after="30" w:before="30" w:line="230"/>
              <w:jc w:val="center"/>
            </w:pPr>
            <w:r>
              <w:rPr>
                <w:b/>
                <w:bCs/>
                <w:sz w:val="17"/>
                <w:szCs w:val="17"/>
              </w:rPr>
              <w:t xml:space="preserve">E9</w:t>
            </w:r>
          </w:p>
        </w:tc>
        <w:tc>
          <w:tcPr>
            <w:tcW w:type="dxa" w:w="2250"/>
            <w:vAlign w:val="center"/>
          </w:tcPr>
          <w:p>
            <w:pPr>
              <w:spacing w:after="30" w:before="30" w:line="230"/>
              <w:jc w:val="left"/>
            </w:pPr>
            <w:r>
              <w:rPr>
                <w:sz w:val="17"/>
                <w:szCs w:val="17"/>
              </w:rPr>
              <w:t xml:space="preserve">Umsatzsteuer</w:t>
            </w:r>
          </w:p>
        </w:tc>
        <w:tc>
          <w:tcPr>
            <w:tcW w:type="dxa" w:w="3600"/>
            <w:vAlign w:val="center"/>
          </w:tcPr>
          <w:p>
            <w:pPr>
              <w:spacing w:after="30" w:before="30" w:line="230"/>
              <w:jc w:val="left"/>
            </w:pPr>
            <w:r>
              <w:rPr>
                <w:sz w:val="17"/>
                <w:szCs w:val="17"/>
              </w:rPr>
              <w:t xml:space="preserve">Vorsteuer auf Investition und Betriebskosten, Umsatzsteuer auf Lieferung und Einspeisung</w:t>
            </w:r>
          </w:p>
        </w:tc>
        <w:tc>
          <w:tcPr>
            <w:tcW w:type="dxa" w:w="2888"/>
            <w:vAlign w:val="center"/>
          </w:tcPr>
          <w:p>
            <w:pPr>
              <w:spacing w:after="30" w:before="30" w:line="230"/>
              <w:jc w:val="left"/>
            </w:pPr>
            <w:r>
              <w:rPr>
                <w:b/>
                <w:bCs/>
                <w:sz w:val="17"/>
                <w:szCs w:val="17"/>
              </w:rPr>
              <w:t xml:space="preserve">±</w:t>
            </w:r>
            <w:r>
              <w:rPr>
                <w:sz w:val="17"/>
                <w:szCs w:val="17"/>
              </w:rPr>
              <w:t xml:space="preserve"> je Akteur nach dessen Umsatzsteuerstatus</w:t>
            </w:r>
          </w:p>
        </w:tc>
      </w:tr>
      <w:tr>
        <w:trPr>
          <w:cantSplit/>
        </w:trPr>
        <w:tc>
          <w:tcPr>
            <w:tcW w:type="dxa" w:w="900"/>
            <w:shd w:fill="F2F5FA" w:color="auto" w:val="clear"/>
            <w:vAlign w:val="center"/>
          </w:tcPr>
          <w:p>
            <w:pPr>
              <w:spacing w:after="30" w:before="30" w:line="230"/>
              <w:jc w:val="center"/>
            </w:pPr>
            <w:r>
              <w:rPr>
                <w:b/>
                <w:bCs/>
                <w:sz w:val="17"/>
                <w:szCs w:val="17"/>
              </w:rPr>
              <w:t xml:space="preserve">E10</w:t>
            </w:r>
          </w:p>
        </w:tc>
        <w:tc>
          <w:tcPr>
            <w:tcW w:type="dxa" w:w="2250"/>
            <w:shd w:fill="F2F5FA" w:color="auto" w:val="clear"/>
            <w:vAlign w:val="center"/>
          </w:tcPr>
          <w:p>
            <w:pPr>
              <w:spacing w:after="30" w:before="30" w:line="230"/>
              <w:jc w:val="left"/>
            </w:pPr>
            <w:r>
              <w:rPr>
                <w:sz w:val="17"/>
                <w:szCs w:val="17"/>
              </w:rPr>
              <w:t xml:space="preserve">Ertragsteuereffekte</w:t>
            </w:r>
          </w:p>
        </w:tc>
        <w:tc>
          <w:tcPr>
            <w:tcW w:type="dxa" w:w="3600"/>
            <w:shd w:fill="F2F5FA" w:color="auto" w:val="clear"/>
            <w:vAlign w:val="center"/>
          </w:tcPr>
          <w:p>
            <w:pPr>
              <w:spacing w:after="30" w:before="30" w:line="230"/>
              <w:jc w:val="left"/>
            </w:pPr>
            <w:r>
              <w:rPr>
                <w:sz w:val="17"/>
                <w:szCs w:val="17"/>
              </w:rPr>
              <w:t xml:space="preserve">Abschreibung, Investitionsabzugsbetrag, Sonderabschreibung, Ertragsteuer auf das Betriebsergebnis</w:t>
            </w:r>
          </w:p>
        </w:tc>
        <w:tc>
          <w:tcPr>
            <w:tcW w:type="dxa" w:w="2888"/>
            <w:shd w:fill="F2F5FA" w:color="auto" w:val="clear"/>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I</w:t>
            </w:r>
            <w:r>
              <w:rPr>
                <w:sz w:val="17"/>
                <w:szCs w:val="17"/>
              </w:rPr>
              <w:t xml:space="preserve"> (nur bei aktiviertem Ertragsteuereinbezug)</w:t>
            </w:r>
          </w:p>
        </w:tc>
      </w:tr>
      <w:tr>
        <w:trPr>
          <w:cantSplit/>
        </w:trPr>
        <w:tc>
          <w:tcPr>
            <w:tcW w:type="dxa" w:w="900"/>
            <w:vAlign w:val="center"/>
          </w:tcPr>
          <w:p>
            <w:pPr>
              <w:spacing w:after="30" w:before="30" w:line="230"/>
              <w:jc w:val="center"/>
            </w:pPr>
            <w:r>
              <w:rPr>
                <w:b/>
                <w:bCs/>
                <w:sz w:val="17"/>
                <w:szCs w:val="17"/>
              </w:rPr>
              <w:t xml:space="preserve">A1</w:t>
            </w:r>
          </w:p>
        </w:tc>
        <w:tc>
          <w:tcPr>
            <w:tcW w:type="dxa" w:w="2250"/>
            <w:vAlign w:val="center"/>
          </w:tcPr>
          <w:p>
            <w:pPr>
              <w:spacing w:after="30" w:before="30" w:line="230"/>
              <w:jc w:val="left"/>
            </w:pPr>
            <w:r>
              <w:rPr>
                <w:sz w:val="17"/>
                <w:szCs w:val="17"/>
              </w:rPr>
              <w:t xml:space="preserve">Investition</w:t>
            </w:r>
          </w:p>
        </w:tc>
        <w:tc>
          <w:tcPr>
            <w:tcW w:type="dxa" w:w="3600"/>
            <w:vAlign w:val="center"/>
          </w:tcPr>
          <w:p>
            <w:pPr>
              <w:spacing w:after="30" w:before="30" w:line="230"/>
              <w:jc w:val="left"/>
            </w:pPr>
            <w:r>
              <w:rPr>
                <w:sz w:val="17"/>
                <w:szCs w:val="17"/>
              </w:rPr>
              <w:t xml:space="preserve">Anschaffungs- und Errichtungskosten, netto oder brutto, in t = 0</w:t>
            </w:r>
          </w:p>
        </w:tc>
        <w:tc>
          <w:tcPr>
            <w:tcW w:type="dxa" w:w="2888"/>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I</w:t>
            </w:r>
          </w:p>
        </w:tc>
      </w:tr>
      <w:tr>
        <w:trPr>
          <w:cantSplit/>
        </w:trPr>
        <w:tc>
          <w:tcPr>
            <w:tcW w:type="dxa" w:w="900"/>
            <w:shd w:fill="F2F5FA" w:color="auto" w:val="clear"/>
            <w:vAlign w:val="center"/>
          </w:tcPr>
          <w:p>
            <w:pPr>
              <w:spacing w:after="30" w:before="30" w:line="230"/>
              <w:jc w:val="center"/>
            </w:pPr>
            <w:r>
              <w:rPr>
                <w:b/>
                <w:bCs/>
                <w:sz w:val="17"/>
                <w:szCs w:val="17"/>
              </w:rPr>
              <w:t xml:space="preserve">A2</w:t>
            </w:r>
          </w:p>
        </w:tc>
        <w:tc>
          <w:tcPr>
            <w:tcW w:type="dxa" w:w="2250"/>
            <w:shd w:fill="F2F5FA" w:color="auto" w:val="clear"/>
            <w:vAlign w:val="center"/>
          </w:tcPr>
          <w:p>
            <w:pPr>
              <w:spacing w:after="30" w:before="30" w:line="230"/>
              <w:jc w:val="left"/>
            </w:pPr>
            <w:r>
              <w:rPr>
                <w:sz w:val="17"/>
                <w:szCs w:val="17"/>
              </w:rPr>
              <w:t xml:space="preserve">Betriebskosten</w:t>
            </w:r>
          </w:p>
        </w:tc>
        <w:tc>
          <w:tcPr>
            <w:tcW w:type="dxa" w:w="3600"/>
            <w:shd w:fill="F2F5FA" w:color="auto" w:val="clear"/>
            <w:vAlign w:val="center"/>
          </w:tcPr>
          <w:p>
            <w:pPr>
              <w:spacing w:after="30" w:before="30" w:line="230"/>
              <w:jc w:val="left"/>
            </w:pPr>
            <w:r>
              <w:rPr>
                <w:sz w:val="17"/>
                <w:szCs w:val="17"/>
              </w:rPr>
              <w:t xml:space="preserve">Wartung, Überwachung, Mess- und Abrechnungskosten, Versicherung, Verwaltung, Sonstiges</w:t>
            </w:r>
          </w:p>
        </w:tc>
        <w:tc>
          <w:tcPr>
            <w:tcW w:type="dxa" w:w="2888"/>
            <w:shd w:fill="F2F5FA" w:color="auto" w:val="clear"/>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I</w:t>
            </w:r>
            <w:r>
              <w:rPr>
                <w:sz w:val="17"/>
                <w:szCs w:val="17"/>
              </w:rPr>
              <w:t xml:space="preserve"> </w:t>
            </w:r>
            <w:r>
              <w:rPr>
                <w:b/>
                <w:bCs/>
                <w:sz w:val="17"/>
                <w:szCs w:val="17"/>
              </w:rPr>
              <w:t xml:space="preserve">oder</w:t>
            </w:r>
            <w:r>
              <w:rPr>
                <w:sz w:val="17"/>
                <w:szCs w:val="17"/>
              </w:rPr>
              <w:t xml:space="preserve"> </w:t>
            </w:r>
            <w:r>
              <w:rPr>
                <w:rFonts w:ascii="Consolas" w:cs="Consolas" w:eastAsia="Consolas" w:hAnsi="Consolas"/>
                <w:b/>
                <w:bCs/>
                <w:sz w:val="17"/>
                <w:szCs w:val="17"/>
              </w:rPr>
              <w:t xml:space="preserve">B</w:t>
            </w:r>
            <w:r>
              <w:rPr>
                <w:sz w:val="17"/>
                <w:szCs w:val="17"/>
              </w:rPr>
              <w:t xml:space="preserve"> – </w:t>
            </w:r>
            <w:r>
              <w:rPr>
                <w:b/>
                <w:bCs/>
                <w:sz w:val="17"/>
                <w:szCs w:val="17"/>
              </w:rPr>
              <w:t xml:space="preserve">Kostenträgerwahl im Werkzeug</w:t>
            </w:r>
          </w:p>
        </w:tc>
      </w:tr>
      <w:tr>
        <w:trPr>
          <w:cantSplit/>
        </w:trPr>
        <w:tc>
          <w:tcPr>
            <w:tcW w:type="dxa" w:w="900"/>
            <w:vAlign w:val="center"/>
          </w:tcPr>
          <w:p>
            <w:pPr>
              <w:spacing w:after="30" w:before="30" w:line="230"/>
              <w:jc w:val="center"/>
            </w:pPr>
            <w:r>
              <w:rPr>
                <w:b/>
                <w:bCs/>
                <w:sz w:val="17"/>
                <w:szCs w:val="17"/>
              </w:rPr>
              <w:t xml:space="preserve">A3</w:t>
            </w:r>
          </w:p>
        </w:tc>
        <w:tc>
          <w:tcPr>
            <w:tcW w:type="dxa" w:w="2250"/>
            <w:vAlign w:val="center"/>
          </w:tcPr>
          <w:p>
            <w:pPr>
              <w:spacing w:after="30" w:before="30" w:line="230"/>
              <w:jc w:val="left"/>
            </w:pPr>
            <w:r>
              <w:rPr>
                <w:sz w:val="17"/>
                <w:szCs w:val="17"/>
              </w:rPr>
              <w:t xml:space="preserve">Reststrombezug</w:t>
            </w:r>
          </w:p>
        </w:tc>
        <w:tc>
          <w:tcPr>
            <w:tcW w:type="dxa" w:w="3600"/>
            <w:vAlign w:val="center"/>
          </w:tcPr>
          <w:p>
            <w:pPr>
              <w:spacing w:after="30" w:before="30" w:line="230"/>
              <w:jc w:val="left"/>
            </w:pPr>
            <w:r>
              <w:rPr>
                <w:sz w:val="17"/>
                <w:szCs w:val="17"/>
              </w:rPr>
              <w:t xml:space="preserve">(Gesamtbedarf − Eigenverbrauch − gelieferte Menge) × Netzstrompreis</w:t>
            </w:r>
          </w:p>
        </w:tc>
        <w:tc>
          <w:tcPr>
            <w:tcW w:type="dxa" w:w="2888"/>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V</w:t>
            </w:r>
          </w:p>
        </w:tc>
      </w:tr>
      <w:tr>
        <w:trPr>
          <w:cantSplit/>
        </w:trPr>
        <w:tc>
          <w:tcPr>
            <w:tcW w:type="dxa" w:w="900"/>
            <w:shd w:fill="F2F5FA" w:color="auto" w:val="clear"/>
            <w:vAlign w:val="center"/>
          </w:tcPr>
          <w:p>
            <w:pPr>
              <w:spacing w:after="30" w:before="30" w:line="230"/>
              <w:jc w:val="center"/>
            </w:pPr>
            <w:r>
              <w:rPr>
                <w:b/>
                <w:bCs/>
                <w:sz w:val="17"/>
                <w:szCs w:val="17"/>
              </w:rPr>
              <w:t xml:space="preserve">A4</w:t>
            </w:r>
          </w:p>
        </w:tc>
        <w:tc>
          <w:tcPr>
            <w:tcW w:type="dxa" w:w="2250"/>
            <w:shd w:fill="F2F5FA" w:color="auto" w:val="clear"/>
            <w:vAlign w:val="center"/>
          </w:tcPr>
          <w:p>
            <w:pPr>
              <w:spacing w:after="30" w:before="30" w:line="230"/>
              <w:jc w:val="left"/>
            </w:pPr>
            <w:r>
              <w:rPr>
                <w:sz w:val="17"/>
                <w:szCs w:val="17"/>
              </w:rPr>
              <w:t xml:space="preserve">Kapitaldienst</w:t>
            </w:r>
          </w:p>
        </w:tc>
        <w:tc>
          <w:tcPr>
            <w:tcW w:type="dxa" w:w="3600"/>
            <w:shd w:fill="F2F5FA" w:color="auto" w:val="clear"/>
            <w:vAlign w:val="center"/>
          </w:tcPr>
          <w:p>
            <w:pPr>
              <w:spacing w:after="30" w:before="30" w:line="230"/>
              <w:jc w:val="left"/>
            </w:pPr>
            <w:r>
              <w:rPr>
                <w:sz w:val="17"/>
                <w:szCs w:val="17"/>
              </w:rPr>
              <w:t xml:space="preserve">Zins und Tilgung, bis zu zwei Kredite je Plan</w:t>
            </w:r>
          </w:p>
        </w:tc>
        <w:tc>
          <w:tcPr>
            <w:tcW w:type="dxa" w:w="2888"/>
            <w:shd w:fill="F2F5FA" w:color="auto" w:val="clear"/>
            <w:vAlign w:val="center"/>
          </w:tcPr>
          <w:p>
            <w:pPr>
              <w:spacing w:after="30" w:before="30" w:line="230"/>
              <w:jc w:val="left"/>
            </w:pPr>
            <w:r>
              <w:rPr>
                <w:b/>
                <w:bCs/>
                <w:sz w:val="17"/>
                <w:szCs w:val="17"/>
              </w:rPr>
              <w:t xml:space="preserve">−</w:t>
            </w:r>
            <w:r>
              <w:rPr>
                <w:sz w:val="17"/>
                <w:szCs w:val="17"/>
              </w:rPr>
              <w:t xml:space="preserve"> beim </w:t>
            </w:r>
            <w:r>
              <w:rPr>
                <w:rFonts w:ascii="Consolas" w:cs="Consolas" w:eastAsia="Consolas" w:hAnsi="Consolas"/>
                <w:b/>
                <w:bCs/>
                <w:sz w:val="17"/>
                <w:szCs w:val="17"/>
              </w:rPr>
              <w:t xml:space="preserve">I</w:t>
            </w:r>
          </w:p>
        </w:tc>
      </w:tr>
      <w:tr>
        <w:trPr>
          <w:cantSplit/>
        </w:trPr>
        <w:tc>
          <w:tcPr>
            <w:tcW w:type="dxa" w:w="900"/>
            <w:vAlign w:val="center"/>
          </w:tcPr>
          <w:p>
            <w:pPr>
              <w:spacing w:after="30" w:before="30" w:line="230"/>
              <w:jc w:val="center"/>
            </w:pPr>
            <w:r>
              <w:rPr>
                <w:b/>
                <w:bCs/>
                <w:sz w:val="17"/>
                <w:szCs w:val="17"/>
              </w:rPr>
              <w:t xml:space="preserve">A5</w:t>
            </w:r>
          </w:p>
        </w:tc>
        <w:tc>
          <w:tcPr>
            <w:tcW w:type="dxa" w:w="2250"/>
            <w:vAlign w:val="center"/>
          </w:tcPr>
          <w:p>
            <w:pPr>
              <w:spacing w:after="30" w:before="30" w:line="230"/>
              <w:jc w:val="left"/>
            </w:pPr>
            <w:r>
              <w:rPr>
                <w:sz w:val="17"/>
                <w:szCs w:val="17"/>
              </w:rPr>
              <w:t xml:space="preserve">Rückbau und Restwert</w:t>
            </w:r>
          </w:p>
        </w:tc>
        <w:tc>
          <w:tcPr>
            <w:tcW w:type="dxa" w:w="3600"/>
            <w:vAlign w:val="center"/>
          </w:tcPr>
          <w:p>
            <w:pPr>
              <w:spacing w:after="30" w:before="30" w:line="230"/>
              <w:jc w:val="left"/>
            </w:pPr>
            <w:r>
              <w:rPr>
                <w:sz w:val="17"/>
                <w:szCs w:val="17"/>
              </w:rPr>
              <w:t xml:space="preserve">Endwert am Ende der Betrachtungsdauer</w:t>
            </w:r>
          </w:p>
        </w:tc>
        <w:tc>
          <w:tcPr>
            <w:tcW w:type="dxa" w:w="2888"/>
            <w:vAlign w:val="center"/>
          </w:tcPr>
          <w:p>
            <w:pPr>
              <w:spacing w:after="30" w:before="30" w:line="230"/>
              <w:jc w:val="left"/>
            </w:pPr>
            <w:r>
              <w:rPr>
                <w:b/>
                <w:bCs/>
                <w:sz w:val="17"/>
                <w:szCs w:val="17"/>
              </w:rPr>
              <w:t xml:space="preserve">−</w:t>
            </w:r>
            <w:r>
              <w:rPr>
                <w:sz w:val="17"/>
                <w:szCs w:val="17"/>
              </w:rPr>
              <w:t xml:space="preserve"> bzw. </w:t>
            </w:r>
            <w:r>
              <w:rPr>
                <w:b/>
                <w:bCs/>
                <w:sz w:val="17"/>
                <w:szCs w:val="17"/>
              </w:rPr>
              <w:t xml:space="preserve">+</w:t>
            </w:r>
            <w:r>
              <w:rPr>
                <w:sz w:val="17"/>
                <w:szCs w:val="17"/>
              </w:rPr>
              <w:t xml:space="preserve"> beim </w:t>
            </w:r>
            <w:r>
              <w:rPr>
                <w:rFonts w:ascii="Consolas" w:cs="Consolas" w:eastAsia="Consolas" w:hAnsi="Consolas"/>
                <w:b/>
                <w:bCs/>
                <w:sz w:val="17"/>
                <w:szCs w:val="17"/>
              </w:rPr>
              <w:t xml:space="preserve">I</w:t>
            </w:r>
            <w:r>
              <w:rPr>
                <w:sz w:val="17"/>
                <w:szCs w:val="17"/>
              </w:rPr>
              <w:t xml:space="preserve"> oder </w:t>
            </w:r>
            <w:r>
              <w:rPr>
                <w:rFonts w:ascii="Consolas" w:cs="Consolas" w:eastAsia="Consolas" w:hAnsi="Consolas"/>
                <w:b/>
                <w:bCs/>
                <w:sz w:val="17"/>
                <w:szCs w:val="17"/>
              </w:rPr>
              <w:t xml:space="preserve">B</w:t>
            </w:r>
          </w:p>
        </w:tc>
      </w:tr>
    </w:tbl>
    <w:p>
      <w:pPr>
        <w:spacing w:after="100"/>
      </w:pPr>
      <w:r>
        <w:rPr>
          <w:sz w:val="8"/>
          <w:szCs w:val="8"/>
        </w:rPr>
        <w:t xml:space="preserve"/>
      </w:r>
    </w:p>
    <w:p>
      <w:r>
        <w:rPr>
          <w:b/>
          <w:bCs/>
        </w:rPr>
        <w:t xml:space="preserve">Welcher Baustein tritt in welcher Modellfamilie auf.</w:t>
      </w:r>
      <w:r>
        <w:t xml:space="preserve"> Die Matrix ist aus den Zeilen „Stromverwertung“, „Erlöse je Akteur“ und „Kosten je Akteur“ der Methodik-Matrix </w:t>
      </w:r>
      <w:r>
        <w:rPr>
          <w:b/>
          <w:bCs/>
        </w:rPr>
        <w:t xml:space="preserve">M2</w:t>
      </w:r>
      <w:r>
        <w:t xml:space="preserve"> abgeleitet. Legende: </w:t>
      </w:r>
      <w:r>
        <w:rPr>
          <w:b/>
          <w:bCs/>
        </w:rPr>
        <w:t xml:space="preserve">✓</w:t>
      </w:r>
      <w:r>
        <w:t xml:space="preserve"> = tritt regelmäßig auf · </w:t>
      </w:r>
      <w:r>
        <w:rPr>
          <w:b/>
          <w:bCs/>
        </w:rPr>
        <w:t xml:space="preserve">○</w:t>
      </w:r>
      <w:r>
        <w:t xml:space="preserve"> = optional oder nur in einzelnen Modellen der Familie · </w:t>
      </w:r>
      <w:r>
        <w:rPr>
          <w:b/>
          <w:bCs/>
        </w:rPr>
        <w:t xml:space="preserve">–</w:t>
      </w:r>
      <w:r>
        <w:t xml:space="preserve"> = tritt nicht auf.</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950"/>
        <w:gridCol w:w="1400"/>
        <w:gridCol w:w="1450"/>
        <w:gridCol w:w="1660"/>
        <w:gridCol w:w="1620"/>
        <w:gridCol w:w="1558"/>
      </w:tblGrid>
      <w:tr>
        <w:trPr>
          <w:tblHeader/>
        </w:trPr>
        <w:tc>
          <w:tcPr>
            <w:tcW w:type="dxa" w:w="1950"/>
            <w:shd w:fill="1F3864" w:color="auto" w:val="clear"/>
            <w:vAlign w:val="center"/>
          </w:tcPr>
          <w:p>
            <w:pPr>
              <w:spacing w:after="30" w:before="30" w:line="230"/>
              <w:jc w:val="left"/>
            </w:pPr>
            <w:r>
              <w:rPr>
                <w:b/>
                <w:bCs/>
                <w:color w:val="FFFFFF"/>
                <w:sz w:val="15"/>
                <w:szCs w:val="15"/>
              </w:rPr>
              <w:t xml:space="preserve">Baustein</w:t>
            </w:r>
          </w:p>
        </w:tc>
        <w:tc>
          <w:tcPr>
            <w:tcW w:type="dxa" w:w="1400"/>
            <w:shd w:fill="1F3864" w:color="auto" w:val="clear"/>
            <w:vAlign w:val="center"/>
          </w:tcPr>
          <w:p>
            <w:pPr>
              <w:spacing w:after="30" w:before="30" w:line="230"/>
              <w:jc w:val="left"/>
            </w:pPr>
            <w:r>
              <w:rPr>
                <w:b/>
                <w:bCs/>
                <w:color w:val="FFFFFF"/>
                <w:sz w:val="15"/>
                <w:szCs w:val="15"/>
              </w:rPr>
              <w:t xml:space="preserve">PV-Netz-Einspeisung (1–2)</w:t>
            </w:r>
          </w:p>
        </w:tc>
        <w:tc>
          <w:tcPr>
            <w:tcW w:type="dxa" w:w="1450"/>
            <w:shd w:fill="1F3864" w:color="auto" w:val="clear"/>
            <w:vAlign w:val="center"/>
          </w:tcPr>
          <w:p>
            <w:pPr>
              <w:spacing w:after="30" w:before="30" w:line="230"/>
              <w:jc w:val="left"/>
            </w:pPr>
            <w:r>
              <w:rPr>
                <w:b/>
                <w:bCs/>
                <w:color w:val="FFFFFF"/>
                <w:sz w:val="15"/>
                <w:szCs w:val="15"/>
              </w:rPr>
              <w:t xml:space="preserve">PV-Überschuss-Einspeisung (1–2)</w:t>
            </w:r>
          </w:p>
        </w:tc>
        <w:tc>
          <w:tcPr>
            <w:tcW w:type="dxa" w:w="1660"/>
            <w:shd w:fill="1F3864" w:color="auto" w:val="clear"/>
            <w:vAlign w:val="center"/>
          </w:tcPr>
          <w:p>
            <w:pPr>
              <w:spacing w:after="30" w:before="30" w:line="230"/>
              <w:jc w:val="left"/>
            </w:pPr>
            <w:r>
              <w:rPr>
                <w:b/>
                <w:bCs/>
                <w:color w:val="FFFFFF"/>
                <w:sz w:val="15"/>
                <w:szCs w:val="15"/>
              </w:rPr>
              <w:t xml:space="preserve">PV-Stromlieferung (1–5)</w:t>
            </w:r>
          </w:p>
        </w:tc>
        <w:tc>
          <w:tcPr>
            <w:tcW w:type="dxa" w:w="1620"/>
            <w:shd w:fill="1F3864" w:color="auto" w:val="clear"/>
            <w:vAlign w:val="center"/>
          </w:tcPr>
          <w:p>
            <w:pPr>
              <w:spacing w:after="30" w:before="30" w:line="230"/>
              <w:jc w:val="left"/>
            </w:pPr>
            <w:r>
              <w:rPr>
                <w:b/>
                <w:bCs/>
                <w:color w:val="FFFFFF"/>
                <w:sz w:val="15"/>
                <w:szCs w:val="15"/>
              </w:rPr>
              <w:t xml:space="preserve">PV-Mieten (1–11)</w:t>
            </w:r>
          </w:p>
        </w:tc>
        <w:tc>
          <w:tcPr>
            <w:tcW w:type="dxa" w:w="1558"/>
            <w:shd w:fill="1F3864" w:color="auto" w:val="clear"/>
            <w:vAlign w:val="center"/>
          </w:tcPr>
          <w:p>
            <w:pPr>
              <w:spacing w:after="30" w:before="30" w:line="230"/>
              <w:jc w:val="left"/>
            </w:pPr>
            <w:r>
              <w:rPr>
                <w:b/>
                <w:bCs/>
                <w:color w:val="FFFFFF"/>
                <w:sz w:val="15"/>
                <w:szCs w:val="15"/>
              </w:rPr>
              <w:t xml:space="preserve">PV-Teil-Mieten (1–5)</w:t>
            </w:r>
          </w:p>
        </w:tc>
      </w:tr>
      <w:tr>
        <w:trPr>
          <w:cantSplit/>
        </w:trPr>
        <w:tc>
          <w:tcPr>
            <w:tcW w:type="dxa" w:w="1950"/>
            <w:vAlign w:val="center"/>
          </w:tcPr>
          <w:p>
            <w:pPr>
              <w:spacing w:after="30" w:before="30" w:line="230"/>
              <w:jc w:val="left"/>
            </w:pPr>
            <w:r>
              <w:rPr>
                <w:sz w:val="15"/>
                <w:szCs w:val="15"/>
              </w:rPr>
              <w:t xml:space="preserve">E1 EEG-Einspeisevergütung</w:t>
            </w:r>
          </w:p>
        </w:tc>
        <w:tc>
          <w:tcPr>
            <w:tcW w:type="dxa" w:w="1400"/>
            <w:vAlign w:val="center"/>
          </w:tcPr>
          <w:p>
            <w:pPr>
              <w:spacing w:after="30" w:before="30" w:line="230"/>
              <w:jc w:val="left"/>
            </w:pPr>
            <w:r>
              <w:rPr>
                <w:sz w:val="15"/>
                <w:szCs w:val="15"/>
              </w:rPr>
              <w:t xml:space="preserve">✓ (gesamte Menge, Pfad V)</w:t>
            </w:r>
          </w:p>
        </w:tc>
        <w:tc>
          <w:tcPr>
            <w:tcW w:type="dxa" w:w="1450"/>
            <w:vAlign w:val="center"/>
          </w:tcPr>
          <w:p>
            <w:pPr>
              <w:spacing w:after="30" w:before="30" w:line="230"/>
              <w:jc w:val="left"/>
            </w:pPr>
            <w:r>
              <w:rPr>
                <w:sz w:val="15"/>
                <w:szCs w:val="15"/>
              </w:rPr>
              <w:t xml:space="preserve">✓ (nur Überschuss, Pfad Ü)</w:t>
            </w:r>
          </w:p>
        </w:tc>
        <w:tc>
          <w:tcPr>
            <w:tcW w:type="dxa" w:w="1660"/>
            <w:vAlign w:val="center"/>
          </w:tcPr>
          <w:p>
            <w:pPr>
              <w:spacing w:after="30" w:before="30" w:line="230"/>
              <w:jc w:val="left"/>
            </w:pPr>
            <w:r>
              <w:rPr>
                <w:sz w:val="15"/>
                <w:szCs w:val="15"/>
              </w:rPr>
              <w:t xml:space="preserve">✓ (nur Überschuss)</w:t>
            </w:r>
          </w:p>
        </w:tc>
        <w:tc>
          <w:tcPr>
            <w:tcW w:type="dxa" w:w="1620"/>
            <w:vAlign w:val="center"/>
          </w:tcPr>
          <w:p>
            <w:pPr>
              <w:spacing w:after="30" w:before="30" w:line="230"/>
              <w:jc w:val="left"/>
            </w:pPr>
            <w:r>
              <w:rPr>
                <w:sz w:val="15"/>
                <w:szCs w:val="15"/>
              </w:rPr>
              <w:t xml:space="preserve">✓ (nur Überschuss)</w:t>
            </w:r>
          </w:p>
        </w:tc>
        <w:tc>
          <w:tcPr>
            <w:tcW w:type="dxa" w:w="1558"/>
            <w:vAlign w:val="center"/>
          </w:tcPr>
          <w:p>
            <w:pPr>
              <w:spacing w:after="30" w:before="30" w:line="230"/>
              <w:jc w:val="left"/>
            </w:pPr>
            <w:r>
              <w:rPr>
                <w:sz w:val="15"/>
                <w:szCs w:val="15"/>
              </w:rPr>
              <w:t xml:space="preserve">✓ (nur Überschuss, beim </w:t>
            </w:r>
            <w:r>
              <w:rPr>
                <w:rFonts w:ascii="Consolas" w:cs="Consolas" w:eastAsia="Consolas" w:hAnsi="Consolas"/>
                <w:b/>
                <w:bCs/>
                <w:sz w:val="15"/>
                <w:szCs w:val="15"/>
              </w:rPr>
              <w:t xml:space="preserve">B_Haupt</w:t>
            </w:r>
            <w:r>
              <w:rPr>
                <w:sz w:val="15"/>
                <w:szCs w:val="15"/>
              </w:rPr>
              <w:t xml:space="preserve">)</w:t>
            </w:r>
          </w:p>
        </w:tc>
      </w:tr>
      <w:tr>
        <w:trPr>
          <w:cantSplit/>
        </w:trPr>
        <w:tc>
          <w:tcPr>
            <w:tcW w:type="dxa" w:w="1950"/>
            <w:shd w:fill="F2F5FA" w:color="auto" w:val="clear"/>
            <w:vAlign w:val="center"/>
          </w:tcPr>
          <w:p>
            <w:pPr>
              <w:spacing w:after="30" w:before="30" w:line="230"/>
              <w:jc w:val="left"/>
            </w:pPr>
            <w:r>
              <w:rPr>
                <w:sz w:val="15"/>
                <w:szCs w:val="15"/>
              </w:rPr>
              <w:t xml:space="preserve">E2 Marktprämie / Spotvermarktung </w:t>
            </w:r>
            <w:r>
              <w:rPr>
                <w:i/>
                <w:iCs/>
                <w:sz w:val="15"/>
                <w:szCs w:val="15"/>
              </w:rPr>
              <w:t xml:space="preserve">(ab 100 kWp Pflicht)</w:t>
            </w:r>
          </w:p>
        </w:tc>
        <w:tc>
          <w:tcPr>
            <w:tcW w:type="dxa" w:w="1400"/>
            <w:shd w:fill="F2F5FA" w:color="auto" w:val="clear"/>
            <w:vAlign w:val="center"/>
          </w:tcPr>
          <w:p>
            <w:pPr>
              <w:spacing w:after="30" w:before="30" w:line="230"/>
              <w:jc w:val="left"/>
            </w:pPr>
            <w:r>
              <w:rPr>
                <w:sz w:val="15"/>
                <w:szCs w:val="15"/>
              </w:rPr>
              <w:t xml:space="preserve">○</w:t>
            </w:r>
          </w:p>
        </w:tc>
        <w:tc>
          <w:tcPr>
            <w:tcW w:type="dxa" w:w="1450"/>
            <w:shd w:fill="F2F5FA" w:color="auto" w:val="clear"/>
            <w:vAlign w:val="center"/>
          </w:tcPr>
          <w:p>
            <w:pPr>
              <w:spacing w:after="30" w:before="30" w:line="230"/>
              <w:jc w:val="left"/>
            </w:pPr>
            <w:r>
              <w:rPr>
                <w:sz w:val="15"/>
                <w:szCs w:val="15"/>
              </w:rPr>
              <w:t xml:space="preserve">○</w:t>
            </w:r>
          </w:p>
        </w:tc>
        <w:tc>
          <w:tcPr>
            <w:tcW w:type="dxa" w:w="1660"/>
            <w:shd w:fill="F2F5FA" w:color="auto" w:val="clear"/>
            <w:vAlign w:val="center"/>
          </w:tcPr>
          <w:p>
            <w:pPr>
              <w:spacing w:after="30" w:before="30" w:line="230"/>
              <w:jc w:val="left"/>
            </w:pPr>
            <w:r>
              <w:rPr>
                <w:sz w:val="15"/>
                <w:szCs w:val="15"/>
              </w:rPr>
              <w:t xml:space="preserve">○</w:t>
            </w:r>
          </w:p>
        </w:tc>
        <w:tc>
          <w:tcPr>
            <w:tcW w:type="dxa" w:w="1620"/>
            <w:shd w:fill="F2F5FA" w:color="auto" w:val="clear"/>
            <w:vAlign w:val="center"/>
          </w:tcPr>
          <w:p>
            <w:pPr>
              <w:spacing w:after="30" w:before="30" w:line="230"/>
              <w:jc w:val="left"/>
            </w:pPr>
            <w:r>
              <w:rPr>
                <w:sz w:val="15"/>
                <w:szCs w:val="15"/>
              </w:rPr>
              <w:t xml:space="preserve">○</w:t>
            </w:r>
          </w:p>
        </w:tc>
        <w:tc>
          <w:tcPr>
            <w:tcW w:type="dxa" w:w="1558"/>
            <w:shd w:fill="F2F5FA" w:color="auto" w:val="clear"/>
            <w:vAlign w:val="center"/>
          </w:tcPr>
          <w:p>
            <w:pPr>
              <w:spacing w:after="30" w:before="30" w:line="230"/>
              <w:jc w:val="left"/>
            </w:pPr>
            <w:r>
              <w:rPr>
                <w:sz w:val="15"/>
                <w:szCs w:val="15"/>
              </w:rPr>
              <w:t xml:space="preserve">○</w:t>
            </w:r>
          </w:p>
        </w:tc>
      </w:tr>
      <w:tr>
        <w:trPr>
          <w:cantSplit/>
        </w:trPr>
        <w:tc>
          <w:tcPr>
            <w:tcW w:type="dxa" w:w="1950"/>
            <w:vAlign w:val="center"/>
          </w:tcPr>
          <w:p>
            <w:pPr>
              <w:spacing w:after="30" w:before="30" w:line="230"/>
              <w:jc w:val="left"/>
            </w:pPr>
            <w:r>
              <w:rPr>
                <w:sz w:val="15"/>
                <w:szCs w:val="15"/>
              </w:rPr>
              <w:t xml:space="preserve">E3 Ausfallvergütung </w:t>
            </w:r>
            <w:r>
              <w:rPr>
                <w:i/>
                <w:iCs/>
                <w:sz w:val="15"/>
                <w:szCs w:val="15"/>
              </w:rPr>
              <w:t xml:space="preserve">(nur Anlagen &gt; 100 kW)</w:t>
            </w:r>
          </w:p>
        </w:tc>
        <w:tc>
          <w:tcPr>
            <w:tcW w:type="dxa" w:w="1400"/>
            <w:vAlign w:val="center"/>
          </w:tcPr>
          <w:p>
            <w:pPr>
              <w:spacing w:after="30" w:before="30" w:line="230"/>
              <w:jc w:val="left"/>
            </w:pPr>
            <w:r>
              <w:rPr>
                <w:sz w:val="15"/>
                <w:szCs w:val="15"/>
              </w:rPr>
              <w:t xml:space="preserve">○</w:t>
            </w:r>
          </w:p>
        </w:tc>
        <w:tc>
          <w:tcPr>
            <w:tcW w:type="dxa" w:w="1450"/>
            <w:vAlign w:val="center"/>
          </w:tcPr>
          <w:p>
            <w:pPr>
              <w:spacing w:after="30" w:before="30" w:line="230"/>
              <w:jc w:val="left"/>
            </w:pPr>
            <w:r>
              <w:rPr>
                <w:sz w:val="15"/>
                <w:szCs w:val="15"/>
              </w:rPr>
              <w:t xml:space="preserve">○</w:t>
            </w:r>
          </w:p>
        </w:tc>
        <w:tc>
          <w:tcPr>
            <w:tcW w:type="dxa" w:w="1660"/>
            <w:vAlign w:val="center"/>
          </w:tcPr>
          <w:p>
            <w:pPr>
              <w:spacing w:after="30" w:before="30" w:line="230"/>
              <w:jc w:val="left"/>
            </w:pPr>
            <w:r>
              <w:rPr>
                <w:sz w:val="15"/>
                <w:szCs w:val="15"/>
              </w:rPr>
              <w:t xml:space="preserve">○</w:t>
            </w:r>
          </w:p>
        </w:tc>
        <w:tc>
          <w:tcPr>
            <w:tcW w:type="dxa" w:w="1620"/>
            <w:vAlign w:val="center"/>
          </w:tcPr>
          <w:p>
            <w:pPr>
              <w:spacing w:after="30" w:before="30" w:line="230"/>
              <w:jc w:val="left"/>
            </w:pPr>
            <w:r>
              <w:rPr>
                <w:sz w:val="15"/>
                <w:szCs w:val="15"/>
              </w:rPr>
              <w:t xml:space="preserve">○</w:t>
            </w:r>
          </w:p>
        </w:tc>
        <w:tc>
          <w:tcPr>
            <w:tcW w:type="dxa" w:w="1558"/>
            <w:vAlign w:val="center"/>
          </w:tcPr>
          <w:p>
            <w:pPr>
              <w:spacing w:after="30" w:before="30" w:line="230"/>
              <w:jc w:val="left"/>
            </w:pPr>
            <w:r>
              <w:rPr>
                <w:sz w:val="15"/>
                <w:szCs w:val="15"/>
              </w:rPr>
              <w:t xml:space="preserve">○</w:t>
            </w:r>
          </w:p>
        </w:tc>
      </w:tr>
      <w:tr>
        <w:trPr>
          <w:cantSplit/>
        </w:trPr>
        <w:tc>
          <w:tcPr>
            <w:tcW w:type="dxa" w:w="1950"/>
            <w:shd w:fill="F2F5FA" w:color="auto" w:val="clear"/>
            <w:vAlign w:val="center"/>
          </w:tcPr>
          <w:p>
            <w:pPr>
              <w:spacing w:after="30" w:before="30" w:line="230"/>
              <w:jc w:val="left"/>
            </w:pPr>
            <w:r>
              <w:rPr>
                <w:sz w:val="15"/>
                <w:szCs w:val="15"/>
              </w:rPr>
              <w:t xml:space="preserve">E4 Mieterstromzuschlag</w:t>
            </w:r>
          </w:p>
        </w:tc>
        <w:tc>
          <w:tcPr>
            <w:tcW w:type="dxa" w:w="1400"/>
            <w:shd w:fill="F2F5FA" w:color="auto" w:val="clear"/>
            <w:vAlign w:val="center"/>
          </w:tcPr>
          <w:p>
            <w:pPr>
              <w:spacing w:after="30" w:before="30" w:line="230"/>
              <w:jc w:val="left"/>
            </w:pPr>
            <w:r>
              <w:rPr>
                <w:sz w:val="15"/>
                <w:szCs w:val="15"/>
              </w:rPr>
              <w:t xml:space="preserve">–</w:t>
            </w:r>
          </w:p>
        </w:tc>
        <w:tc>
          <w:tcPr>
            <w:tcW w:type="dxa" w:w="1450"/>
            <w:shd w:fill="F2F5FA" w:color="auto" w:val="clear"/>
            <w:vAlign w:val="center"/>
          </w:tcPr>
          <w:p>
            <w:pPr>
              <w:spacing w:after="30" w:before="30" w:line="230"/>
              <w:jc w:val="left"/>
            </w:pPr>
            <w:r>
              <w:rPr>
                <w:sz w:val="15"/>
                <w:szCs w:val="15"/>
              </w:rPr>
              <w:t xml:space="preserve">–</w:t>
            </w:r>
          </w:p>
        </w:tc>
        <w:tc>
          <w:tcPr>
            <w:tcW w:type="dxa" w:w="1660"/>
            <w:shd w:fill="F2F5FA" w:color="auto" w:val="clear"/>
            <w:vAlign w:val="center"/>
          </w:tcPr>
          <w:p>
            <w:pPr>
              <w:spacing w:after="30" w:before="30" w:line="230"/>
              <w:jc w:val="left"/>
            </w:pPr>
            <w:r>
              <w:rPr>
                <w:sz w:val="15"/>
                <w:szCs w:val="15"/>
              </w:rPr>
              <w:t xml:space="preserve">○ (Kernoption der Familie)</w:t>
            </w:r>
          </w:p>
        </w:tc>
        <w:tc>
          <w:tcPr>
            <w:tcW w:type="dxa" w:w="1620"/>
            <w:shd w:fill="F2F5FA" w:color="auto" w:val="clear"/>
            <w:vAlign w:val="center"/>
          </w:tcPr>
          <w:p>
            <w:pPr>
              <w:spacing w:after="30" w:before="30" w:line="230"/>
              <w:jc w:val="left"/>
            </w:pPr>
            <w:r>
              <w:rPr>
                <w:sz w:val="15"/>
                <w:szCs w:val="15"/>
              </w:rPr>
              <w:t xml:space="preserve">○ (nur Modelle 4, 7, 9, 11)</w:t>
            </w:r>
          </w:p>
        </w:tc>
        <w:tc>
          <w:tcPr>
            <w:tcW w:type="dxa" w:w="1558"/>
            <w:shd w:fill="F2F5FA" w:color="auto" w:val="clear"/>
            <w:vAlign w:val="center"/>
          </w:tcPr>
          <w:p>
            <w:pPr>
              <w:spacing w:after="30" w:before="30" w:line="230"/>
              <w:jc w:val="left"/>
            </w:pPr>
            <w:r>
              <w:rPr>
                <w:sz w:val="15"/>
                <w:szCs w:val="15"/>
              </w:rPr>
              <w:t xml:space="preserve">–</w:t>
            </w:r>
          </w:p>
        </w:tc>
      </w:tr>
      <w:tr>
        <w:trPr>
          <w:cantSplit/>
        </w:trPr>
        <w:tc>
          <w:tcPr>
            <w:tcW w:type="dxa" w:w="1950"/>
            <w:vAlign w:val="center"/>
          </w:tcPr>
          <w:p>
            <w:pPr>
              <w:spacing w:after="30" w:before="30" w:line="230"/>
              <w:jc w:val="left"/>
            </w:pPr>
            <w:r>
              <w:rPr>
                <w:sz w:val="15"/>
                <w:szCs w:val="15"/>
              </w:rPr>
              <w:t xml:space="preserve">E5 Stromlieferentgelt</w:t>
            </w:r>
          </w:p>
        </w:tc>
        <w:tc>
          <w:tcPr>
            <w:tcW w:type="dxa" w:w="1400"/>
            <w:vAlign w:val="center"/>
          </w:tcPr>
          <w:p>
            <w:pPr>
              <w:spacing w:after="30" w:before="30" w:line="230"/>
              <w:jc w:val="left"/>
            </w:pPr>
            <w:r>
              <w:rPr>
                <w:sz w:val="15"/>
                <w:szCs w:val="15"/>
              </w:rPr>
              <w:t xml:space="preserve">–</w:t>
            </w:r>
          </w:p>
        </w:tc>
        <w:tc>
          <w:tcPr>
            <w:tcW w:type="dxa" w:w="1450"/>
            <w:vAlign w:val="center"/>
          </w:tcPr>
          <w:p>
            <w:pPr>
              <w:spacing w:after="30" w:before="30" w:line="230"/>
              <w:jc w:val="left"/>
            </w:pPr>
            <w:r>
              <w:rPr>
                <w:sz w:val="15"/>
                <w:szCs w:val="15"/>
              </w:rPr>
              <w:t xml:space="preserve">–</w:t>
            </w:r>
          </w:p>
        </w:tc>
        <w:tc>
          <w:tcPr>
            <w:tcW w:type="dxa" w:w="1660"/>
            <w:vAlign w:val="center"/>
          </w:tcPr>
          <w:p>
            <w:pPr>
              <w:spacing w:after="30" w:before="30" w:line="230"/>
              <w:jc w:val="left"/>
            </w:pPr>
            <w:r>
              <w:rPr>
                <w:sz w:val="15"/>
                <w:szCs w:val="15"/>
              </w:rPr>
              <w:t xml:space="preserve">✓</w:t>
            </w:r>
          </w:p>
        </w:tc>
        <w:tc>
          <w:tcPr>
            <w:tcW w:type="dxa" w:w="1620"/>
            <w:vAlign w:val="center"/>
          </w:tcPr>
          <w:p>
            <w:pPr>
              <w:spacing w:after="30" w:before="30" w:line="230"/>
              <w:jc w:val="left"/>
            </w:pPr>
            <w:r>
              <w:rPr>
                <w:sz w:val="15"/>
                <w:szCs w:val="15"/>
              </w:rPr>
              <w:t xml:space="preserve">○ (nur Modelle 4, 7, 9, 11)</w:t>
            </w:r>
          </w:p>
        </w:tc>
        <w:tc>
          <w:tcPr>
            <w:tcW w:type="dxa" w:w="1558"/>
            <w:vAlign w:val="center"/>
          </w:tcPr>
          <w:p>
            <w:pPr>
              <w:spacing w:after="30" w:before="30" w:line="230"/>
              <w:jc w:val="left"/>
            </w:pPr>
            <w:r>
              <w:rPr>
                <w:sz w:val="15"/>
                <w:szCs w:val="15"/>
              </w:rPr>
              <w:t xml:space="preserve">–</w:t>
            </w:r>
          </w:p>
        </w:tc>
      </w:tr>
      <w:tr>
        <w:trPr>
          <w:cantSplit/>
        </w:trPr>
        <w:tc>
          <w:tcPr>
            <w:tcW w:type="dxa" w:w="1950"/>
            <w:shd w:fill="F2F5FA" w:color="auto" w:val="clear"/>
            <w:vAlign w:val="center"/>
          </w:tcPr>
          <w:p>
            <w:pPr>
              <w:spacing w:after="30" w:before="30" w:line="230"/>
              <w:jc w:val="left"/>
            </w:pPr>
            <w:r>
              <w:rPr>
                <w:sz w:val="15"/>
                <w:szCs w:val="15"/>
              </w:rPr>
              <w:t xml:space="preserve">E6 vermiedener Netzbezug</w:t>
            </w:r>
          </w:p>
        </w:tc>
        <w:tc>
          <w:tcPr>
            <w:tcW w:type="dxa" w:w="1400"/>
            <w:shd w:fill="F2F5FA" w:color="auto" w:val="clear"/>
            <w:vAlign w:val="center"/>
          </w:tcPr>
          <w:p>
            <w:pPr>
              <w:spacing w:after="30" w:before="30" w:line="230"/>
              <w:jc w:val="left"/>
            </w:pPr>
            <w:r>
              <w:rPr>
                <w:sz w:val="15"/>
                <w:szCs w:val="15"/>
              </w:rPr>
              <w:t xml:space="preserve">–</w:t>
            </w:r>
          </w:p>
        </w:tc>
        <w:tc>
          <w:tcPr>
            <w:tcW w:type="dxa" w:w="1450"/>
            <w:shd w:fill="F2F5FA" w:color="auto" w:val="clear"/>
            <w:vAlign w:val="center"/>
          </w:tcPr>
          <w:p>
            <w:pPr>
              <w:spacing w:after="30" w:before="30" w:line="230"/>
              <w:jc w:val="left"/>
            </w:pPr>
            <w:r>
              <w:rPr>
                <w:sz w:val="15"/>
                <w:szCs w:val="15"/>
              </w:rPr>
              <w:t xml:space="preserve">✓ (</w:t>
            </w:r>
            <w:r>
              <w:rPr>
                <w:b/>
                <w:bCs/>
                <w:sz w:val="15"/>
                <w:szCs w:val="15"/>
              </w:rPr>
              <w:t xml:space="preserve">der Ergebnisträger</w:t>
            </w:r>
            <w:r>
              <w:rPr>
                <w:sz w:val="15"/>
                <w:szCs w:val="15"/>
              </w:rPr>
              <w:t xml:space="preserve">)</w:t>
            </w:r>
          </w:p>
        </w:tc>
        <w:tc>
          <w:tcPr>
            <w:tcW w:type="dxa" w:w="1660"/>
            <w:shd w:fill="F2F5FA" w:color="auto" w:val="clear"/>
            <w:vAlign w:val="center"/>
          </w:tcPr>
          <w:p>
            <w:pPr>
              <w:spacing w:after="30" w:before="30" w:line="230"/>
              <w:jc w:val="left"/>
            </w:pPr>
            <w:r>
              <w:rPr>
                <w:sz w:val="15"/>
                <w:szCs w:val="15"/>
              </w:rPr>
              <w:t xml:space="preserve">○ (nur Modell 2)</w:t>
            </w:r>
          </w:p>
        </w:tc>
        <w:tc>
          <w:tcPr>
            <w:tcW w:type="dxa" w:w="1620"/>
            <w:shd w:fill="F2F5FA" w:color="auto" w:val="clear"/>
            <w:vAlign w:val="center"/>
          </w:tcPr>
          <w:p>
            <w:pPr>
              <w:spacing w:after="30" w:before="30" w:line="230"/>
              <w:jc w:val="left"/>
            </w:pPr>
            <w:r>
              <w:rPr>
                <w:sz w:val="15"/>
                <w:szCs w:val="15"/>
              </w:rPr>
              <w:t xml:space="preserve">✓ (außer Modell 4)</w:t>
            </w:r>
          </w:p>
        </w:tc>
        <w:tc>
          <w:tcPr>
            <w:tcW w:type="dxa" w:w="1558"/>
            <w:shd w:fill="F2F5FA" w:color="auto" w:val="clear"/>
            <w:vAlign w:val="center"/>
          </w:tcPr>
          <w:p>
            <w:pPr>
              <w:spacing w:after="30" w:before="30" w:line="230"/>
              <w:jc w:val="left"/>
            </w:pPr>
            <w:r>
              <w:rPr>
                <w:sz w:val="15"/>
                <w:szCs w:val="15"/>
              </w:rPr>
              <w:t xml:space="preserve">✓ (beim </w:t>
            </w:r>
            <w:r>
              <w:rPr>
                <w:rFonts w:ascii="Consolas" w:cs="Consolas" w:eastAsia="Consolas" w:hAnsi="Consolas"/>
                <w:b/>
                <w:bCs/>
                <w:sz w:val="15"/>
                <w:szCs w:val="15"/>
              </w:rPr>
              <w:t xml:space="preserve">B_Mit</w:t>
            </w:r>
            <w:r>
              <w:rPr>
                <w:sz w:val="15"/>
                <w:szCs w:val="15"/>
              </w:rPr>
              <w:t xml:space="preserve">, in Modell 4 zusätzlich beim </w:t>
            </w:r>
            <w:r>
              <w:rPr>
                <w:rFonts w:ascii="Consolas" w:cs="Consolas" w:eastAsia="Consolas" w:hAnsi="Consolas"/>
                <w:b/>
                <w:bCs/>
                <w:sz w:val="15"/>
                <w:szCs w:val="15"/>
              </w:rPr>
              <w:t xml:space="preserve">B_Haupt</w:t>
            </w:r>
            <w:r>
              <w:rPr>
                <w:sz w:val="15"/>
                <w:szCs w:val="15"/>
              </w:rPr>
              <w:t xml:space="preserve">)</w:t>
            </w:r>
          </w:p>
        </w:tc>
      </w:tr>
      <w:tr>
        <w:trPr>
          <w:cantSplit/>
        </w:trPr>
        <w:tc>
          <w:tcPr>
            <w:tcW w:type="dxa" w:w="1950"/>
            <w:vAlign w:val="center"/>
          </w:tcPr>
          <w:p>
            <w:pPr>
              <w:spacing w:after="30" w:before="30" w:line="230"/>
              <w:jc w:val="left"/>
            </w:pPr>
            <w:r>
              <w:rPr>
                <w:sz w:val="15"/>
                <w:szCs w:val="15"/>
              </w:rPr>
              <w:t xml:space="preserve">E7 Anlagenmiete / Teilmiete</w:t>
            </w:r>
          </w:p>
        </w:tc>
        <w:tc>
          <w:tcPr>
            <w:tcW w:type="dxa" w:w="1400"/>
            <w:vAlign w:val="center"/>
          </w:tcPr>
          <w:p>
            <w:pPr>
              <w:spacing w:after="30" w:before="30" w:line="230"/>
              <w:jc w:val="left"/>
            </w:pPr>
            <w:r>
              <w:rPr>
                <w:sz w:val="15"/>
                <w:szCs w:val="15"/>
              </w:rPr>
              <w:t xml:space="preserve">–</w:t>
            </w:r>
          </w:p>
        </w:tc>
        <w:tc>
          <w:tcPr>
            <w:tcW w:type="dxa" w:w="1450"/>
            <w:vAlign w:val="center"/>
          </w:tcPr>
          <w:p>
            <w:pPr>
              <w:spacing w:after="30" w:before="30" w:line="230"/>
              <w:jc w:val="left"/>
            </w:pPr>
            <w:r>
              <w:rPr>
                <w:sz w:val="15"/>
                <w:szCs w:val="15"/>
              </w:rPr>
              <w:t xml:space="preserve">–</w:t>
            </w:r>
          </w:p>
        </w:tc>
        <w:tc>
          <w:tcPr>
            <w:tcW w:type="dxa" w:w="1660"/>
            <w:vAlign w:val="center"/>
          </w:tcPr>
          <w:p>
            <w:pPr>
              <w:spacing w:after="30" w:before="30" w:line="230"/>
              <w:jc w:val="left"/>
            </w:pPr>
            <w:r>
              <w:rPr>
                <w:sz w:val="15"/>
                <w:szCs w:val="15"/>
              </w:rPr>
              <w:t xml:space="preserve">–</w:t>
            </w:r>
          </w:p>
        </w:tc>
        <w:tc>
          <w:tcPr>
            <w:tcW w:type="dxa" w:w="1620"/>
            <w:vAlign w:val="center"/>
          </w:tcPr>
          <w:p>
            <w:pPr>
              <w:spacing w:after="30" w:before="30" w:line="230"/>
              <w:jc w:val="left"/>
            </w:pPr>
            <w:r>
              <w:rPr>
                <w:sz w:val="15"/>
                <w:szCs w:val="15"/>
              </w:rPr>
              <w:t xml:space="preserve">✓ (Teilmiete zusätzlich in 5, 6, 8, 10)</w:t>
            </w:r>
          </w:p>
        </w:tc>
        <w:tc>
          <w:tcPr>
            <w:tcW w:type="dxa" w:w="1558"/>
            <w:vAlign w:val="center"/>
          </w:tcPr>
          <w:p>
            <w:pPr>
              <w:spacing w:after="30" w:before="30" w:line="230"/>
              <w:jc w:val="left"/>
            </w:pPr>
            <w:r>
              <w:rPr>
                <w:sz w:val="15"/>
                <w:szCs w:val="15"/>
              </w:rPr>
              <w:t xml:space="preserve">✓ (als Teilmiete)</w:t>
            </w:r>
          </w:p>
        </w:tc>
      </w:tr>
      <w:tr>
        <w:trPr>
          <w:cantSplit/>
        </w:trPr>
        <w:tc>
          <w:tcPr>
            <w:tcW w:type="dxa" w:w="1950"/>
            <w:shd w:fill="F2F5FA" w:color="auto" w:val="clear"/>
            <w:vAlign w:val="center"/>
          </w:tcPr>
          <w:p>
            <w:pPr>
              <w:spacing w:after="30" w:before="30" w:line="230"/>
              <w:jc w:val="left"/>
            </w:pPr>
            <w:r>
              <w:rPr>
                <w:sz w:val="15"/>
                <w:szCs w:val="15"/>
              </w:rPr>
              <w:t xml:space="preserve">E8 Dach-/Flächenpacht</w:t>
            </w:r>
          </w:p>
        </w:tc>
        <w:tc>
          <w:tcPr>
            <w:tcW w:type="dxa" w:w="1400"/>
            <w:shd w:fill="F2F5FA" w:color="auto" w:val="clear"/>
            <w:vAlign w:val="center"/>
          </w:tcPr>
          <w:p>
            <w:pPr>
              <w:spacing w:after="30" w:before="30" w:line="230"/>
              <w:jc w:val="left"/>
            </w:pPr>
            <w:r>
              <w:rPr>
                <w:sz w:val="15"/>
                <w:szCs w:val="15"/>
              </w:rPr>
              <w:t xml:space="preserve">○ (nur Modell 2)</w:t>
            </w:r>
          </w:p>
        </w:tc>
        <w:tc>
          <w:tcPr>
            <w:tcW w:type="dxa" w:w="1450"/>
            <w:shd w:fill="F2F5FA" w:color="auto" w:val="clear"/>
            <w:vAlign w:val="center"/>
          </w:tcPr>
          <w:p>
            <w:pPr>
              <w:spacing w:after="30" w:before="30" w:line="230"/>
              <w:jc w:val="left"/>
            </w:pPr>
            <w:r>
              <w:rPr>
                <w:sz w:val="15"/>
                <w:szCs w:val="15"/>
              </w:rPr>
              <w:t xml:space="preserve">○ (nur Modell 2)</w:t>
            </w:r>
          </w:p>
        </w:tc>
        <w:tc>
          <w:tcPr>
            <w:tcW w:type="dxa" w:w="1660"/>
            <w:shd w:fill="F2F5FA" w:color="auto" w:val="clear"/>
            <w:vAlign w:val="center"/>
          </w:tcPr>
          <w:p>
            <w:pPr>
              <w:spacing w:after="30" w:before="30" w:line="230"/>
              <w:jc w:val="left"/>
            </w:pPr>
            <w:r>
              <w:rPr>
                <w:sz w:val="15"/>
                <w:szCs w:val="15"/>
              </w:rPr>
              <w:t xml:space="preserve">○ (Modelle 3, 4, 5)</w:t>
            </w:r>
          </w:p>
        </w:tc>
        <w:tc>
          <w:tcPr>
            <w:tcW w:type="dxa" w:w="1620"/>
            <w:shd w:fill="F2F5FA" w:color="auto" w:val="clear"/>
            <w:vAlign w:val="center"/>
          </w:tcPr>
          <w:p>
            <w:pPr>
              <w:spacing w:after="30" w:before="30" w:line="230"/>
              <w:jc w:val="left"/>
            </w:pPr>
            <w:r>
              <w:rPr>
                <w:sz w:val="15"/>
                <w:szCs w:val="15"/>
              </w:rPr>
              <w:t xml:space="preserve">○ (Modelle 2, 10, 11)</w:t>
            </w:r>
          </w:p>
        </w:tc>
        <w:tc>
          <w:tcPr>
            <w:tcW w:type="dxa" w:w="1558"/>
            <w:shd w:fill="F2F5FA" w:color="auto" w:val="clear"/>
            <w:vAlign w:val="center"/>
          </w:tcPr>
          <w:p>
            <w:pPr>
              <w:spacing w:after="30" w:before="30" w:line="230"/>
              <w:jc w:val="left"/>
            </w:pPr>
            <w:r>
              <w:rPr>
                <w:sz w:val="15"/>
                <w:szCs w:val="15"/>
              </w:rPr>
              <w:t xml:space="preserve">○ (Modelle 1, 2, 5)</w:t>
            </w:r>
          </w:p>
        </w:tc>
      </w:tr>
      <w:tr>
        <w:trPr>
          <w:cantSplit/>
        </w:trPr>
        <w:tc>
          <w:tcPr>
            <w:tcW w:type="dxa" w:w="1950"/>
            <w:vAlign w:val="center"/>
          </w:tcPr>
          <w:p>
            <w:pPr>
              <w:spacing w:after="30" w:before="30" w:line="230"/>
              <w:jc w:val="left"/>
            </w:pPr>
            <w:r>
              <w:rPr>
                <w:sz w:val="15"/>
                <w:szCs w:val="15"/>
              </w:rPr>
              <w:t xml:space="preserve">E9 Umsatzsteuer</w:t>
            </w:r>
          </w:p>
        </w:tc>
        <w:tc>
          <w:tcPr>
            <w:tcW w:type="dxa" w:w="1400"/>
            <w:vAlign w:val="center"/>
          </w:tcPr>
          <w:p>
            <w:pPr>
              <w:spacing w:after="30" w:before="30" w:line="230"/>
              <w:jc w:val="left"/>
            </w:pPr>
            <w:r>
              <w:rPr>
                <w:sz w:val="15"/>
                <w:szCs w:val="15"/>
              </w:rPr>
              <w:t xml:space="preserve">✓</w:t>
            </w:r>
          </w:p>
        </w:tc>
        <w:tc>
          <w:tcPr>
            <w:tcW w:type="dxa" w:w="1450"/>
            <w:vAlign w:val="center"/>
          </w:tcPr>
          <w:p>
            <w:pPr>
              <w:spacing w:after="30" w:before="30" w:line="230"/>
              <w:jc w:val="left"/>
            </w:pPr>
            <w:r>
              <w:rPr>
                <w:sz w:val="15"/>
                <w:szCs w:val="15"/>
              </w:rPr>
              <w:t xml:space="preserve">✓</w:t>
            </w:r>
          </w:p>
        </w:tc>
        <w:tc>
          <w:tcPr>
            <w:tcW w:type="dxa" w:w="1660"/>
            <w:vAlign w:val="center"/>
          </w:tcPr>
          <w:p>
            <w:pPr>
              <w:spacing w:after="30" w:before="30" w:line="230"/>
              <w:jc w:val="left"/>
            </w:pPr>
            <w:r>
              <w:rPr>
                <w:sz w:val="15"/>
                <w:szCs w:val="15"/>
              </w:rPr>
              <w:t xml:space="preserve">✓ (zusätzlich auf die Lieferung)</w:t>
            </w:r>
          </w:p>
        </w:tc>
        <w:tc>
          <w:tcPr>
            <w:tcW w:type="dxa" w:w="1620"/>
            <w:vAlign w:val="center"/>
          </w:tcPr>
          <w:p>
            <w:pPr>
              <w:spacing w:after="30" w:before="30" w:line="230"/>
              <w:jc w:val="left"/>
            </w:pPr>
            <w:r>
              <w:rPr>
                <w:sz w:val="15"/>
                <w:szCs w:val="15"/>
              </w:rPr>
              <w:t xml:space="preserve">✓</w:t>
            </w:r>
          </w:p>
        </w:tc>
        <w:tc>
          <w:tcPr>
            <w:tcW w:type="dxa" w:w="1558"/>
            <w:vAlign w:val="center"/>
          </w:tcPr>
          <w:p>
            <w:pPr>
              <w:spacing w:after="30" w:before="30" w:line="230"/>
              <w:jc w:val="left"/>
            </w:pPr>
            <w:r>
              <w:rPr>
                <w:sz w:val="15"/>
                <w:szCs w:val="15"/>
              </w:rPr>
              <w:t xml:space="preserve">✓</w:t>
            </w:r>
          </w:p>
        </w:tc>
      </w:tr>
      <w:tr>
        <w:trPr>
          <w:cantSplit/>
        </w:trPr>
        <w:tc>
          <w:tcPr>
            <w:tcW w:type="dxa" w:w="1950"/>
            <w:shd w:fill="F2F5FA" w:color="auto" w:val="clear"/>
            <w:vAlign w:val="center"/>
          </w:tcPr>
          <w:p>
            <w:pPr>
              <w:spacing w:after="30" w:before="30" w:line="230"/>
              <w:jc w:val="left"/>
            </w:pPr>
            <w:r>
              <w:rPr>
                <w:sz w:val="15"/>
                <w:szCs w:val="15"/>
              </w:rPr>
              <w:t xml:space="preserve">E10 Ertragsteuereffekte</w:t>
            </w:r>
          </w:p>
        </w:tc>
        <w:tc>
          <w:tcPr>
            <w:tcW w:type="dxa" w:w="1400"/>
            <w:shd w:fill="F2F5FA" w:color="auto" w:val="clear"/>
            <w:vAlign w:val="center"/>
          </w:tcPr>
          <w:p>
            <w:pPr>
              <w:spacing w:after="30" w:before="30" w:line="230"/>
              <w:jc w:val="left"/>
            </w:pPr>
            <w:r>
              <w:rPr>
                <w:sz w:val="15"/>
                <w:szCs w:val="15"/>
              </w:rPr>
              <w:t xml:space="preserve">○</w:t>
            </w:r>
          </w:p>
        </w:tc>
        <w:tc>
          <w:tcPr>
            <w:tcW w:type="dxa" w:w="1450"/>
            <w:shd w:fill="F2F5FA" w:color="auto" w:val="clear"/>
            <w:vAlign w:val="center"/>
          </w:tcPr>
          <w:p>
            <w:pPr>
              <w:spacing w:after="30" w:before="30" w:line="230"/>
              <w:jc w:val="left"/>
            </w:pPr>
            <w:r>
              <w:rPr>
                <w:sz w:val="15"/>
                <w:szCs w:val="15"/>
              </w:rPr>
              <w:t xml:space="preserve">○</w:t>
            </w:r>
          </w:p>
        </w:tc>
        <w:tc>
          <w:tcPr>
            <w:tcW w:type="dxa" w:w="1660"/>
            <w:shd w:fill="F2F5FA" w:color="auto" w:val="clear"/>
            <w:vAlign w:val="center"/>
          </w:tcPr>
          <w:p>
            <w:pPr>
              <w:spacing w:after="30" w:before="30" w:line="230"/>
              <w:jc w:val="left"/>
            </w:pPr>
            <w:r>
              <w:rPr>
                <w:sz w:val="15"/>
                <w:szCs w:val="15"/>
              </w:rPr>
              <w:t xml:space="preserve">○</w:t>
            </w:r>
          </w:p>
        </w:tc>
        <w:tc>
          <w:tcPr>
            <w:tcW w:type="dxa" w:w="1620"/>
            <w:shd w:fill="F2F5FA" w:color="auto" w:val="clear"/>
            <w:vAlign w:val="center"/>
          </w:tcPr>
          <w:p>
            <w:pPr>
              <w:spacing w:after="30" w:before="30" w:line="230"/>
              <w:jc w:val="left"/>
            </w:pPr>
            <w:r>
              <w:rPr>
                <w:sz w:val="15"/>
                <w:szCs w:val="15"/>
              </w:rPr>
              <w:t xml:space="preserve">○ (Kernmotiv bei IAB/Sonder-AfA)</w:t>
            </w:r>
          </w:p>
        </w:tc>
        <w:tc>
          <w:tcPr>
            <w:tcW w:type="dxa" w:w="1558"/>
            <w:shd w:fill="F2F5FA" w:color="auto" w:val="clear"/>
            <w:vAlign w:val="center"/>
          </w:tcPr>
          <w:p>
            <w:pPr>
              <w:spacing w:after="30" w:before="30" w:line="230"/>
              <w:jc w:val="left"/>
            </w:pPr>
            <w:r>
              <w:rPr>
                <w:sz w:val="15"/>
                <w:szCs w:val="15"/>
              </w:rPr>
              <w:t xml:space="preserve">○</w:t>
            </w:r>
          </w:p>
        </w:tc>
      </w:tr>
      <w:tr>
        <w:trPr>
          <w:cantSplit/>
        </w:trPr>
        <w:tc>
          <w:tcPr>
            <w:tcW w:type="dxa" w:w="1950"/>
            <w:vAlign w:val="center"/>
          </w:tcPr>
          <w:p>
            <w:pPr>
              <w:spacing w:after="30" w:before="30" w:line="230"/>
              <w:jc w:val="left"/>
            </w:pPr>
            <w:r>
              <w:rPr>
                <w:sz w:val="15"/>
                <w:szCs w:val="15"/>
              </w:rPr>
              <w:t xml:space="preserve">A1 Investition</w:t>
            </w:r>
          </w:p>
        </w:tc>
        <w:tc>
          <w:tcPr>
            <w:tcW w:type="dxa" w:w="1400"/>
            <w:vAlign w:val="center"/>
          </w:tcPr>
          <w:p>
            <w:pPr>
              <w:spacing w:after="30" w:before="30" w:line="230"/>
              <w:jc w:val="left"/>
            </w:pPr>
            <w:r>
              <w:rPr>
                <w:sz w:val="15"/>
                <w:szCs w:val="15"/>
              </w:rPr>
              <w:t xml:space="preserve">✓</w:t>
            </w:r>
          </w:p>
        </w:tc>
        <w:tc>
          <w:tcPr>
            <w:tcW w:type="dxa" w:w="1450"/>
            <w:vAlign w:val="center"/>
          </w:tcPr>
          <w:p>
            <w:pPr>
              <w:spacing w:after="30" w:before="30" w:line="230"/>
              <w:jc w:val="left"/>
            </w:pPr>
            <w:r>
              <w:rPr>
                <w:sz w:val="15"/>
                <w:szCs w:val="15"/>
              </w:rPr>
              <w:t xml:space="preserve">✓</w:t>
            </w:r>
          </w:p>
        </w:tc>
        <w:tc>
          <w:tcPr>
            <w:tcW w:type="dxa" w:w="1660"/>
            <w:vAlign w:val="center"/>
          </w:tcPr>
          <w:p>
            <w:pPr>
              <w:spacing w:after="30" w:before="30" w:line="230"/>
              <w:jc w:val="left"/>
            </w:pPr>
            <w:r>
              <w:rPr>
                <w:sz w:val="15"/>
                <w:szCs w:val="15"/>
              </w:rPr>
              <w:t xml:space="preserve">✓</w:t>
            </w:r>
          </w:p>
        </w:tc>
        <w:tc>
          <w:tcPr>
            <w:tcW w:type="dxa" w:w="1620"/>
            <w:vAlign w:val="center"/>
          </w:tcPr>
          <w:p>
            <w:pPr>
              <w:spacing w:after="30" w:before="30" w:line="230"/>
              <w:jc w:val="left"/>
            </w:pPr>
            <w:r>
              <w:rPr>
                <w:sz w:val="15"/>
                <w:szCs w:val="15"/>
              </w:rPr>
              <w:t xml:space="preserve">✓ (beim </w:t>
            </w:r>
            <w:r>
              <w:rPr>
                <w:rFonts w:ascii="Consolas" w:cs="Consolas" w:eastAsia="Consolas" w:hAnsi="Consolas"/>
                <w:b/>
                <w:bCs/>
                <w:sz w:val="15"/>
                <w:szCs w:val="15"/>
              </w:rPr>
              <w:t xml:space="preserve">I</w:t>
            </w:r>
            <w:r>
              <w:rPr>
                <w:sz w:val="15"/>
                <w:szCs w:val="15"/>
              </w:rPr>
              <w:t xml:space="preserve">, getrennt vom Betreiber)</w:t>
            </w:r>
          </w:p>
        </w:tc>
        <w:tc>
          <w:tcPr>
            <w:tcW w:type="dxa" w:w="1558"/>
            <w:vAlign w:val="center"/>
          </w:tcPr>
          <w:p>
            <w:pPr>
              <w:spacing w:after="30" w:before="30" w:line="230"/>
              <w:jc w:val="left"/>
            </w:pPr>
            <w:r>
              <w:rPr>
                <w:sz w:val="15"/>
                <w:szCs w:val="15"/>
              </w:rPr>
              <w:t xml:space="preserve">✓</w:t>
            </w:r>
          </w:p>
        </w:tc>
      </w:tr>
      <w:tr>
        <w:trPr>
          <w:cantSplit/>
        </w:trPr>
        <w:tc>
          <w:tcPr>
            <w:tcW w:type="dxa" w:w="1950"/>
            <w:shd w:fill="F2F5FA" w:color="auto" w:val="clear"/>
            <w:vAlign w:val="center"/>
          </w:tcPr>
          <w:p>
            <w:pPr>
              <w:spacing w:after="30" w:before="30" w:line="230"/>
              <w:jc w:val="left"/>
            </w:pPr>
            <w:r>
              <w:rPr>
                <w:sz w:val="15"/>
                <w:szCs w:val="15"/>
              </w:rPr>
              <w:t xml:space="preserve">A2 Betriebskosten</w:t>
            </w:r>
          </w:p>
        </w:tc>
        <w:tc>
          <w:tcPr>
            <w:tcW w:type="dxa" w:w="1400"/>
            <w:shd w:fill="F2F5FA" w:color="auto" w:val="clear"/>
            <w:vAlign w:val="center"/>
          </w:tcPr>
          <w:p>
            <w:pPr>
              <w:spacing w:after="30" w:before="30" w:line="230"/>
              <w:jc w:val="left"/>
            </w:pPr>
            <w:r>
              <w:rPr>
                <w:sz w:val="15"/>
                <w:szCs w:val="15"/>
              </w:rPr>
              <w:t xml:space="preserve">✓</w:t>
            </w:r>
          </w:p>
        </w:tc>
        <w:tc>
          <w:tcPr>
            <w:tcW w:type="dxa" w:w="1450"/>
            <w:shd w:fill="F2F5FA" w:color="auto" w:val="clear"/>
            <w:vAlign w:val="center"/>
          </w:tcPr>
          <w:p>
            <w:pPr>
              <w:spacing w:after="30" w:before="30" w:line="230"/>
              <w:jc w:val="left"/>
            </w:pPr>
            <w:r>
              <w:rPr>
                <w:sz w:val="15"/>
                <w:szCs w:val="15"/>
              </w:rPr>
              <w:t xml:space="preserve">✓</w:t>
            </w:r>
          </w:p>
        </w:tc>
        <w:tc>
          <w:tcPr>
            <w:tcW w:type="dxa" w:w="1660"/>
            <w:shd w:fill="F2F5FA" w:color="auto" w:val="clear"/>
            <w:vAlign w:val="center"/>
          </w:tcPr>
          <w:p>
            <w:pPr>
              <w:spacing w:after="30" w:before="30" w:line="230"/>
              <w:jc w:val="left"/>
            </w:pPr>
            <w:r>
              <w:rPr>
                <w:sz w:val="15"/>
                <w:szCs w:val="15"/>
              </w:rPr>
              <w:t xml:space="preserve">✓ (zuzüglich Abrechnungsaufwand)</w:t>
            </w:r>
          </w:p>
        </w:tc>
        <w:tc>
          <w:tcPr>
            <w:tcW w:type="dxa" w:w="1620"/>
            <w:shd w:fill="F2F5FA" w:color="auto" w:val="clear"/>
            <w:vAlign w:val="center"/>
          </w:tcPr>
          <w:p>
            <w:pPr>
              <w:spacing w:after="30" w:before="30" w:line="230"/>
              <w:jc w:val="left"/>
            </w:pPr>
            <w:r>
              <w:rPr>
                <w:sz w:val="15"/>
                <w:szCs w:val="15"/>
              </w:rPr>
              <w:t xml:space="preserve">✓</w:t>
            </w:r>
          </w:p>
        </w:tc>
        <w:tc>
          <w:tcPr>
            <w:tcW w:type="dxa" w:w="1558"/>
            <w:shd w:fill="F2F5FA" w:color="auto" w:val="clear"/>
            <w:vAlign w:val="center"/>
          </w:tcPr>
          <w:p>
            <w:pPr>
              <w:spacing w:after="30" w:before="30" w:line="230"/>
              <w:jc w:val="left"/>
            </w:pPr>
            <w:r>
              <w:rPr>
                <w:sz w:val="15"/>
                <w:szCs w:val="15"/>
              </w:rPr>
              <w:t xml:space="preserve">✓</w:t>
            </w:r>
          </w:p>
        </w:tc>
      </w:tr>
      <w:tr>
        <w:trPr>
          <w:cantSplit/>
        </w:trPr>
        <w:tc>
          <w:tcPr>
            <w:tcW w:type="dxa" w:w="1950"/>
            <w:vAlign w:val="center"/>
          </w:tcPr>
          <w:p>
            <w:pPr>
              <w:spacing w:after="30" w:before="30" w:line="230"/>
              <w:jc w:val="left"/>
            </w:pPr>
            <w:r>
              <w:rPr>
                <w:sz w:val="15"/>
                <w:szCs w:val="15"/>
              </w:rPr>
              <w:t xml:space="preserve">A3 Reststrombezug</w:t>
            </w:r>
          </w:p>
        </w:tc>
        <w:tc>
          <w:tcPr>
            <w:tcW w:type="dxa" w:w="1400"/>
            <w:vAlign w:val="center"/>
          </w:tcPr>
          <w:p>
            <w:pPr>
              <w:spacing w:after="30" w:before="30" w:line="230"/>
              <w:jc w:val="left"/>
            </w:pPr>
            <w:r>
              <w:rPr>
                <w:sz w:val="15"/>
                <w:szCs w:val="15"/>
              </w:rPr>
              <w:t xml:space="preserve">– (keine Verbrauchsrolle)</w:t>
            </w:r>
          </w:p>
        </w:tc>
        <w:tc>
          <w:tcPr>
            <w:tcW w:type="dxa" w:w="1450"/>
            <w:vAlign w:val="center"/>
          </w:tcPr>
          <w:p>
            <w:pPr>
              <w:spacing w:after="30" w:before="30" w:line="230"/>
              <w:jc w:val="left"/>
            </w:pPr>
            <w:r>
              <w:rPr>
                <w:sz w:val="15"/>
                <w:szCs w:val="15"/>
              </w:rPr>
              <w:t xml:space="preserve">✓</w:t>
            </w:r>
          </w:p>
        </w:tc>
        <w:tc>
          <w:tcPr>
            <w:tcW w:type="dxa" w:w="1660"/>
            <w:vAlign w:val="center"/>
          </w:tcPr>
          <w:p>
            <w:pPr>
              <w:spacing w:after="30" w:before="30" w:line="230"/>
              <w:jc w:val="left"/>
            </w:pPr>
            <w:r>
              <w:rPr>
                <w:sz w:val="15"/>
                <w:szCs w:val="15"/>
              </w:rPr>
              <w:t xml:space="preserve">✓ (beim belieferten </w:t>
            </w:r>
            <w:r>
              <w:rPr>
                <w:rFonts w:ascii="Consolas" w:cs="Consolas" w:eastAsia="Consolas" w:hAnsi="Consolas"/>
                <w:b/>
                <w:bCs/>
                <w:sz w:val="15"/>
                <w:szCs w:val="15"/>
              </w:rPr>
              <w:t xml:space="preserve">V</w:t>
            </w:r>
            <w:r>
              <w:rPr>
                <w:sz w:val="15"/>
                <w:szCs w:val="15"/>
              </w:rPr>
              <w:t xml:space="preserve">)</w:t>
            </w:r>
          </w:p>
        </w:tc>
        <w:tc>
          <w:tcPr>
            <w:tcW w:type="dxa" w:w="1620"/>
            <w:vAlign w:val="center"/>
          </w:tcPr>
          <w:p>
            <w:pPr>
              <w:spacing w:after="30" w:before="30" w:line="230"/>
              <w:jc w:val="left"/>
            </w:pPr>
            <w:r>
              <w:rPr>
                <w:sz w:val="15"/>
                <w:szCs w:val="15"/>
              </w:rPr>
              <w:t xml:space="preserve">✓</w:t>
            </w:r>
          </w:p>
        </w:tc>
        <w:tc>
          <w:tcPr>
            <w:tcW w:type="dxa" w:w="1558"/>
            <w:vAlign w:val="center"/>
          </w:tcPr>
          <w:p>
            <w:pPr>
              <w:spacing w:after="30" w:before="30" w:line="230"/>
              <w:jc w:val="left"/>
            </w:pPr>
            <w:r>
              <w:rPr>
                <w:sz w:val="15"/>
                <w:szCs w:val="15"/>
              </w:rPr>
              <w:t xml:space="preserve">✓</w:t>
            </w:r>
          </w:p>
        </w:tc>
      </w:tr>
      <w:tr>
        <w:trPr>
          <w:cantSplit/>
        </w:trPr>
        <w:tc>
          <w:tcPr>
            <w:tcW w:type="dxa" w:w="1950"/>
            <w:shd w:fill="F2F5FA" w:color="auto" w:val="clear"/>
            <w:vAlign w:val="center"/>
          </w:tcPr>
          <w:p>
            <w:pPr>
              <w:spacing w:after="30" w:before="30" w:line="230"/>
              <w:jc w:val="left"/>
            </w:pPr>
            <w:r>
              <w:rPr>
                <w:sz w:val="15"/>
                <w:szCs w:val="15"/>
              </w:rPr>
              <w:t xml:space="preserve">A4 Kapitaldienst</w:t>
            </w:r>
          </w:p>
        </w:tc>
        <w:tc>
          <w:tcPr>
            <w:tcW w:type="dxa" w:w="1400"/>
            <w:shd w:fill="F2F5FA" w:color="auto" w:val="clear"/>
            <w:vAlign w:val="center"/>
          </w:tcPr>
          <w:p>
            <w:pPr>
              <w:spacing w:after="30" w:before="30" w:line="230"/>
              <w:jc w:val="left"/>
            </w:pPr>
            <w:r>
              <w:rPr>
                <w:sz w:val="15"/>
                <w:szCs w:val="15"/>
              </w:rPr>
              <w:t xml:space="preserve">○</w:t>
            </w:r>
          </w:p>
        </w:tc>
        <w:tc>
          <w:tcPr>
            <w:tcW w:type="dxa" w:w="1450"/>
            <w:shd w:fill="F2F5FA" w:color="auto" w:val="clear"/>
            <w:vAlign w:val="center"/>
          </w:tcPr>
          <w:p>
            <w:pPr>
              <w:spacing w:after="30" w:before="30" w:line="230"/>
              <w:jc w:val="left"/>
            </w:pPr>
            <w:r>
              <w:rPr>
                <w:sz w:val="15"/>
                <w:szCs w:val="15"/>
              </w:rPr>
              <w:t xml:space="preserve">○</w:t>
            </w:r>
          </w:p>
        </w:tc>
        <w:tc>
          <w:tcPr>
            <w:tcW w:type="dxa" w:w="1660"/>
            <w:shd w:fill="F2F5FA" w:color="auto" w:val="clear"/>
            <w:vAlign w:val="center"/>
          </w:tcPr>
          <w:p>
            <w:pPr>
              <w:spacing w:after="30" w:before="30" w:line="230"/>
              <w:jc w:val="left"/>
            </w:pPr>
            <w:r>
              <w:rPr>
                <w:sz w:val="15"/>
                <w:szCs w:val="15"/>
              </w:rPr>
              <w:t xml:space="preserve">○</w:t>
            </w:r>
          </w:p>
        </w:tc>
        <w:tc>
          <w:tcPr>
            <w:tcW w:type="dxa" w:w="1620"/>
            <w:shd w:fill="F2F5FA" w:color="auto" w:val="clear"/>
            <w:vAlign w:val="center"/>
          </w:tcPr>
          <w:p>
            <w:pPr>
              <w:spacing w:after="30" w:before="30" w:line="230"/>
              <w:jc w:val="left"/>
            </w:pPr>
            <w:r>
              <w:rPr>
                <w:sz w:val="15"/>
                <w:szCs w:val="15"/>
              </w:rPr>
              <w:t xml:space="preserve">○</w:t>
            </w:r>
          </w:p>
        </w:tc>
        <w:tc>
          <w:tcPr>
            <w:tcW w:type="dxa" w:w="1558"/>
            <w:shd w:fill="F2F5FA" w:color="auto" w:val="clear"/>
            <w:vAlign w:val="center"/>
          </w:tcPr>
          <w:p>
            <w:pPr>
              <w:spacing w:after="30" w:before="30" w:line="230"/>
              <w:jc w:val="left"/>
            </w:pPr>
            <w:r>
              <w:rPr>
                <w:sz w:val="15"/>
                <w:szCs w:val="15"/>
              </w:rPr>
              <w:t xml:space="preserve">○</w:t>
            </w:r>
          </w:p>
        </w:tc>
      </w:tr>
      <w:tr>
        <w:trPr>
          <w:cantSplit/>
        </w:trPr>
        <w:tc>
          <w:tcPr>
            <w:tcW w:type="dxa" w:w="1950"/>
            <w:vAlign w:val="center"/>
          </w:tcPr>
          <w:p>
            <w:pPr>
              <w:spacing w:after="30" w:before="30" w:line="230"/>
              <w:jc w:val="left"/>
            </w:pPr>
            <w:r>
              <w:rPr>
                <w:sz w:val="15"/>
                <w:szCs w:val="15"/>
              </w:rPr>
              <w:t xml:space="preserve">A5 Rückbau / Restwert</w:t>
            </w:r>
          </w:p>
        </w:tc>
        <w:tc>
          <w:tcPr>
            <w:tcW w:type="dxa" w:w="1400"/>
            <w:vAlign w:val="center"/>
          </w:tcPr>
          <w:p>
            <w:pPr>
              <w:spacing w:after="30" w:before="30" w:line="230"/>
              <w:jc w:val="left"/>
            </w:pPr>
            <w:r>
              <w:rPr>
                <w:sz w:val="15"/>
                <w:szCs w:val="15"/>
              </w:rPr>
              <w:t xml:space="preserve">○</w:t>
            </w:r>
          </w:p>
        </w:tc>
        <w:tc>
          <w:tcPr>
            <w:tcW w:type="dxa" w:w="1450"/>
            <w:vAlign w:val="center"/>
          </w:tcPr>
          <w:p>
            <w:pPr>
              <w:spacing w:after="30" w:before="30" w:line="230"/>
              <w:jc w:val="left"/>
            </w:pPr>
            <w:r>
              <w:rPr>
                <w:sz w:val="15"/>
                <w:szCs w:val="15"/>
              </w:rPr>
              <w:t xml:space="preserve">○</w:t>
            </w:r>
          </w:p>
        </w:tc>
        <w:tc>
          <w:tcPr>
            <w:tcW w:type="dxa" w:w="1660"/>
            <w:vAlign w:val="center"/>
          </w:tcPr>
          <w:p>
            <w:pPr>
              <w:spacing w:after="30" w:before="30" w:line="230"/>
              <w:jc w:val="left"/>
            </w:pPr>
            <w:r>
              <w:rPr>
                <w:sz w:val="15"/>
                <w:szCs w:val="15"/>
              </w:rPr>
              <w:t xml:space="preserve">○</w:t>
            </w:r>
          </w:p>
        </w:tc>
        <w:tc>
          <w:tcPr>
            <w:tcW w:type="dxa" w:w="1620"/>
            <w:vAlign w:val="center"/>
          </w:tcPr>
          <w:p>
            <w:pPr>
              <w:spacing w:after="30" w:before="30" w:line="230"/>
              <w:jc w:val="left"/>
            </w:pPr>
            <w:r>
              <w:rPr>
                <w:sz w:val="15"/>
                <w:szCs w:val="15"/>
              </w:rPr>
              <w:t xml:space="preserve">○</w:t>
            </w:r>
          </w:p>
        </w:tc>
        <w:tc>
          <w:tcPr>
            <w:tcW w:type="dxa" w:w="1558"/>
            <w:vAlign w:val="center"/>
          </w:tcPr>
          <w:p>
            <w:pPr>
              <w:spacing w:after="30" w:before="30" w:line="230"/>
              <w:jc w:val="left"/>
            </w:pPr>
            <w:r>
              <w:rPr>
                <w:sz w:val="15"/>
                <w:szCs w:val="15"/>
              </w:rPr>
              <w:t xml:space="preserve">○</w:t>
            </w:r>
          </w:p>
        </w:tc>
      </w:tr>
    </w:tbl>
    <w:p>
      <w:pPr>
        <w:spacing w:after="100"/>
      </w:pPr>
      <w:r>
        <w:rPr>
          <w:sz w:val="8"/>
          <w:szCs w:val="8"/>
        </w:rPr>
        <w:t xml:space="preserve"/>
      </w:r>
    </w:p>
    <w:p>
      <w:r>
        <w:t xml:space="preserve">Die Matrix erklärt in einer Zeile, warum die beiden Pläne des Fallbeispiels so weit auseinanderliegen: </w:t>
      </w:r>
      <w:r>
        <w:rPr>
          <w:b/>
          <w:bCs/>
        </w:rPr>
        <w:t xml:space="preserve">Zwischen PV-Netz-Einspeisung 1 und PV-Überschuss-Einspeisung 1 unterscheidet sich genau ein Baustein – E6.</w:t>
      </w:r>
      <w:r>
        <w:t xml:space="preserve"> Er ist im Fallbeispiel rund sechsmal so viel wert wie der Einspeisesatz, den er teilweise ersetzt (45,80 gegenüber 7,47 ct/kWh im Laufzeitmittel, Verhältnis 6,1 : 1).</w:t>
      </w:r>
    </w:p>
    <w:p>
      <w:r>
        <w:rPr>
          <w:b/>
          <w:bCs/>
        </w:rPr>
        <w:t xml:space="preserve">Der Kernsatz zur Akteursbezogenheit.</w:t>
      </w:r>
      <w:r>
        <w:t xml:space="preserve"> Kapitalwert, interner Zinsfuß, Amortisation und Vorteil durch PV sind </w:t>
      </w:r>
      <w:r>
        <w:rPr>
          <w:b/>
          <w:bCs/>
        </w:rPr>
        <w:t xml:space="preserve">keine Eigenschaften des Projekts, sondern Eigenschaften eines Akteurs im Projekt</w:t>
      </w:r>
      <w:r>
        <w:t xml:space="preserve">. Dasselbe Vorhaben trägt in einem Modell mit vier Parteien vier verschiedene Kennzahlensätze – der Investor sieht E7 als Einnahme, der Betreiber dieselbe Zahlung als Ausgabe. Bei Personalunion aller Rollen (</w:t>
      </w:r>
      <w:r>
        <w:rPr>
          <w:rFonts w:ascii="Consolas" w:cs="Consolas" w:eastAsia="Consolas" w:hAnsi="Consolas"/>
          <w:b/>
          <w:bCs/>
        </w:rPr>
        <w:t xml:space="preserve">I = B = G = V_G</w:t>
      </w:r>
      <w:r>
        <w:t xml:space="preserve">, wie im Plan „Überschuss“) fallen sämtliche Bausteine bei einer Person zusammen; dann – und nur dann – ist „die Rendite des Projekts“ eine sinnvolle Formulierung. In allen anderen Fällen ist die Frage „für wen?“ Teil der Antwort, und die rollengetrennte Auswertung des Werkzeugs zeigt, ob eine Konstruktion für </w:t>
      </w:r>
      <w:r>
        <w:rPr>
          <w:b/>
          <w:bCs/>
        </w:rPr>
        <w:t xml:space="preserve">alle</w:t>
      </w:r>
      <w:r>
        <w:t xml:space="preserve"> Beteiligten trägt.</w:t>
      </w:r>
    </w:p>
    <w:p>
      <w:pPr>
        <w:pStyle w:val="Heading2"/>
      </w:pPr>
      <w:bookmarkStart w:id="900028" w:name="_Toc90000028"/>
      <w:r>
        <w:t xml:space="preserve">K2  Die Kennzahlen und ihre Formeln</w:t>
      </w:r>
      <w:bookmarkEnd w:id="900028"/>
    </w:p>
    <w:p>
      <w:r>
        <w:t xml:space="preserve">Grundlage jeder Kennzahl ist die </w:t>
      </w:r>
      <w:r>
        <w:rPr>
          <w:b/>
          <w:bCs/>
        </w:rPr>
        <w:t xml:space="preserve">Zahlungsreihe eines Akteurs</w:t>
      </w:r>
      <w:r>
        <w:t xml:space="preserve">. pv@now bildet sie monatsgenau; hier wird sie zur besseren Lesbarkeit jahresweise dargestellt.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110"/>
          <w:left w:type="dxa" w:w="150"/>
          <w:bottom w:type="dxa" w:w="110"/>
          <w:right w:type="dxa" w:w="150"/>
        </w:tblCellMar>
      </w:tblPr>
      <w:tblGrid>
        <w:gridCol w:w="9638"/>
      </w:tblGrid>
      <w:tr>
        <w:trPr>
          <w:cantSplit/>
        </w:trPr>
        <w:tc>
          <w:tcPr>
            <w:tcW w:type="dxa" w:w="9638"/>
            <w:tcBorders>
              <w:top w:val="none" w:color="FFFFFF" w:sz="0"/>
              <w:left w:val="single" w:color="A6A6A6" w:sz="18"/>
              <w:bottom w:val="none" w:color="FFFFFF" w:sz="0"/>
              <w:right w:val="none" w:color="FFFFFF" w:sz="0"/>
            </w:tcBorders>
            <w:shd w:fill="F2F2F2" w:color="auto" w:val="clear"/>
          </w:tcPr>
          <w:p>
            <w:pPr>
              <w:spacing w:after="40" w:before="40" w:line="250"/>
              <w:jc w:val="center"/>
            </w:pPr>
            <w:r>
              <w:rPr>
                <w:rFonts w:ascii="Consolas" w:cs="Consolas" w:eastAsia="Consolas" w:hAnsi="Consolas"/>
                <w:b/>
                <w:bCs/>
                <w:color w:val="1F3864"/>
                <w:sz w:val="19"/>
                <w:szCs w:val="19"/>
              </w:rPr>
              <w:t xml:space="preserve">CF_t = Σ Einnahmenbausteine_t − Σ Ausgabenbausteine_t</w:t>
            </w:r>
          </w:p>
          <w:p>
            <w:pPr>
              <w:spacing w:after="40" w:before="40" w:line="250"/>
              <w:jc w:val="center"/>
            </w:pPr>
            <w:r>
              <w:rPr>
                <w:rFonts w:ascii="Consolas" w:cs="Consolas" w:eastAsia="Consolas" w:hAnsi="Consolas"/>
                <w:color w:val="1F3864"/>
                <w:sz w:val="19"/>
                <w:szCs w:val="19"/>
              </w:rPr>
              <w:t xml:space="preserve">mit t = 0 für die Investition (A1) und t = 1 … T für die Betriebsjahre.</w:t>
            </w:r>
          </w:p>
        </w:tc>
      </w:tr>
    </w:tbl>
    <w:p>
      <w:pPr>
        <w:spacing w:after="160"/>
      </w:pPr>
      <w:r>
        <w:rPr>
          <w:sz w:val="8"/>
          <w:szCs w:val="8"/>
        </w:rPr>
        <w:t xml:space="preserve"/>
      </w:r>
    </w:p>
    <w:p>
      <w:r>
        <w:t xml:space="preserve">Konvention in dieser Übersicht: t = 0 ist der Zeitpunkt der Inbetriebnahme, T das Ende der Betrachtungsdauer. Der kalkulatorische Baustein E6 wird wie eine Einnahme geführt – er ist keine Zahlung, sondern eine </w:t>
      </w:r>
      <w:r>
        <w:rPr>
          <w:b/>
          <w:bCs/>
        </w:rPr>
        <w:t xml:space="preserve">vermiedene</w:t>
      </w:r>
      <w:r>
        <w:t xml:space="preserve"> Zahlung, wirkt im Saldo aber identisch, solange das Vergleichsszenario ohne PV denselben Verbrauch unterstellt.</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1750"/>
        <w:gridCol w:w="2400"/>
        <w:gridCol w:w="1700"/>
        <w:gridCol w:w="1750"/>
        <w:gridCol w:w="2038"/>
      </w:tblGrid>
      <w:tr>
        <w:trPr>
          <w:tblHeader/>
        </w:trPr>
        <w:tc>
          <w:tcPr>
            <w:tcW w:type="dxa" w:w="1750"/>
            <w:shd w:fill="1F3864" w:color="auto" w:val="clear"/>
            <w:vAlign w:val="center"/>
          </w:tcPr>
          <w:p>
            <w:pPr>
              <w:spacing w:after="30" w:before="30" w:line="230"/>
              <w:jc w:val="left"/>
            </w:pPr>
            <w:r>
              <w:rPr>
                <w:b/>
                <w:bCs/>
                <w:color w:val="FFFFFF"/>
                <w:sz w:val="15"/>
                <w:szCs w:val="15"/>
              </w:rPr>
              <w:t xml:space="preserve">Kennzahl</w:t>
            </w:r>
          </w:p>
        </w:tc>
        <w:tc>
          <w:tcPr>
            <w:tcW w:type="dxa" w:w="2400"/>
            <w:shd w:fill="1F3864" w:color="auto" w:val="clear"/>
            <w:vAlign w:val="center"/>
          </w:tcPr>
          <w:p>
            <w:pPr>
              <w:spacing w:after="30" w:before="30" w:line="230"/>
              <w:jc w:val="left"/>
            </w:pPr>
            <w:r>
              <w:rPr>
                <w:b/>
                <w:bCs/>
                <w:color w:val="FFFFFF"/>
                <w:sz w:val="15"/>
                <w:szCs w:val="15"/>
              </w:rPr>
              <w:t xml:space="preserve">Formel</w:t>
            </w:r>
          </w:p>
        </w:tc>
        <w:tc>
          <w:tcPr>
            <w:tcW w:type="dxa" w:w="1700"/>
            <w:shd w:fill="1F3864" w:color="auto" w:val="clear"/>
            <w:vAlign w:val="center"/>
          </w:tcPr>
          <w:p>
            <w:pPr>
              <w:spacing w:after="30" w:before="30" w:line="230"/>
              <w:jc w:val="left"/>
            </w:pPr>
            <w:r>
              <w:rPr>
                <w:b/>
                <w:bCs/>
                <w:color w:val="FFFFFF"/>
                <w:sz w:val="15"/>
                <w:szCs w:val="15"/>
              </w:rPr>
              <w:t xml:space="preserve">Eingangsgrößen</w:t>
            </w:r>
          </w:p>
        </w:tc>
        <w:tc>
          <w:tcPr>
            <w:tcW w:type="dxa" w:w="1750"/>
            <w:shd w:fill="1F3864" w:color="auto" w:val="clear"/>
            <w:vAlign w:val="center"/>
          </w:tcPr>
          <w:p>
            <w:pPr>
              <w:spacing w:after="30" w:before="30" w:line="230"/>
              <w:jc w:val="left"/>
            </w:pPr>
            <w:r>
              <w:rPr>
                <w:b/>
                <w:bCs/>
                <w:color w:val="FFFFFF"/>
                <w:sz w:val="15"/>
                <w:szCs w:val="15"/>
              </w:rPr>
              <w:t xml:space="preserve">Aussage</w:t>
            </w:r>
          </w:p>
        </w:tc>
        <w:tc>
          <w:tcPr>
            <w:tcW w:type="dxa" w:w="2038"/>
            <w:shd w:fill="1F3864" w:color="auto" w:val="clear"/>
            <w:vAlign w:val="center"/>
          </w:tcPr>
          <w:p>
            <w:pPr>
              <w:spacing w:after="30" w:before="30" w:line="230"/>
              <w:jc w:val="left"/>
            </w:pPr>
            <w:r>
              <w:rPr>
                <w:b/>
                <w:bCs/>
                <w:color w:val="FFFFFF"/>
                <w:sz w:val="15"/>
                <w:szCs w:val="15"/>
              </w:rPr>
              <w:t xml:space="preserve">Typische Fallstricke</w:t>
            </w:r>
          </w:p>
        </w:tc>
      </w:tr>
      <w:tr>
        <w:trPr>
          <w:cantSplit/>
        </w:trPr>
        <w:tc>
          <w:tcPr>
            <w:tcW w:type="dxa" w:w="1750"/>
            <w:vAlign w:val="center"/>
          </w:tcPr>
          <w:p>
            <w:pPr>
              <w:spacing w:after="30" w:before="30" w:line="230"/>
              <w:jc w:val="left"/>
            </w:pPr>
            <w:r>
              <w:rPr>
                <w:b/>
                <w:bCs/>
                <w:sz w:val="15"/>
                <w:szCs w:val="15"/>
              </w:rPr>
              <w:t xml:space="preserve">Liquiditätsüberschuss</w:t>
            </w:r>
          </w:p>
        </w:tc>
        <w:tc>
          <w:tcPr>
            <w:tcW w:type="dxa" w:w="2400"/>
            <w:vAlign w:val="center"/>
          </w:tcPr>
          <w:p>
            <w:pPr>
              <w:spacing w:after="30" w:before="30" w:line="230"/>
              <w:jc w:val="left"/>
            </w:pPr>
            <w:r>
              <w:rPr>
                <w:rFonts w:ascii="Consolas" w:cs="Consolas" w:eastAsia="Consolas" w:hAnsi="Consolas"/>
                <w:b/>
                <w:bCs/>
                <w:sz w:val="15"/>
                <w:szCs w:val="15"/>
              </w:rPr>
              <w:t xml:space="preserve">LÜ = Σ_{t=0..T} CF_t</w:t>
            </w:r>
          </w:p>
        </w:tc>
        <w:tc>
          <w:tcPr>
            <w:tcW w:type="dxa" w:w="1700"/>
            <w:vAlign w:val="center"/>
          </w:tcPr>
          <w:p>
            <w:pPr>
              <w:spacing w:after="30" w:before="30" w:line="230"/>
              <w:jc w:val="left"/>
            </w:pPr>
            <w:r>
              <w:rPr>
                <w:sz w:val="15"/>
                <w:szCs w:val="15"/>
              </w:rPr>
              <w:t xml:space="preserve">vollständige Zahlungsreihe</w:t>
            </w:r>
          </w:p>
        </w:tc>
        <w:tc>
          <w:tcPr>
            <w:tcW w:type="dxa" w:w="1750"/>
            <w:vAlign w:val="center"/>
          </w:tcPr>
          <w:p>
            <w:pPr>
              <w:spacing w:after="30" w:before="30" w:line="230"/>
              <w:jc w:val="left"/>
            </w:pPr>
            <w:r>
              <w:rPr>
                <w:sz w:val="15"/>
                <w:szCs w:val="15"/>
              </w:rPr>
              <w:t xml:space="preserve">Wie viel Geld bleibt nominal übrig?</w:t>
            </w:r>
          </w:p>
        </w:tc>
        <w:tc>
          <w:tcPr>
            <w:tcW w:type="dxa" w:w="2038"/>
            <w:vAlign w:val="center"/>
          </w:tcPr>
          <w:p>
            <w:pPr>
              <w:spacing w:after="30" w:before="30" w:line="230"/>
              <w:jc w:val="left"/>
            </w:pPr>
            <w:r>
              <w:rPr>
                <w:sz w:val="15"/>
                <w:szCs w:val="15"/>
              </w:rPr>
              <w:t xml:space="preserve">Undiskontiert – ein Euro in Jahr 20 zählt wie ein Euro heute; taugt nicht zum Vergleich unterschiedlicher Laufzeiten</w:t>
            </w:r>
          </w:p>
        </w:tc>
      </w:tr>
      <w:tr>
        <w:trPr>
          <w:cantSplit/>
        </w:trPr>
        <w:tc>
          <w:tcPr>
            <w:tcW w:type="dxa" w:w="1750"/>
            <w:shd w:fill="F2F5FA" w:color="auto" w:val="clear"/>
            <w:vAlign w:val="center"/>
          </w:tcPr>
          <w:p>
            <w:pPr>
              <w:spacing w:after="30" w:before="30" w:line="230"/>
              <w:jc w:val="left"/>
            </w:pPr>
            <w:r>
              <w:rPr>
                <w:b/>
                <w:bCs/>
                <w:sz w:val="15"/>
                <w:szCs w:val="15"/>
              </w:rPr>
              <w:t xml:space="preserve">Kapitalwert (NPV)</w:t>
            </w:r>
          </w:p>
        </w:tc>
        <w:tc>
          <w:tcPr>
            <w:tcW w:type="dxa" w:w="2400"/>
            <w:shd w:fill="F2F5FA" w:color="auto" w:val="clear"/>
            <w:vAlign w:val="center"/>
          </w:tcPr>
          <w:p>
            <w:pPr>
              <w:spacing w:after="30" w:before="30" w:line="230"/>
              <w:jc w:val="left"/>
            </w:pPr>
            <w:r>
              <w:rPr>
                <w:rFonts w:ascii="Consolas" w:cs="Consolas" w:eastAsia="Consolas" w:hAnsi="Consolas"/>
                <w:b/>
                <w:bCs/>
                <w:sz w:val="15"/>
                <w:szCs w:val="15"/>
              </w:rPr>
              <w:t xml:space="preserve">NPV = Σ_{t=0..T} CF_t / (1 + i)^t</w:t>
            </w:r>
            <w:r>
              <w:rPr>
                <w:sz w:val="15"/>
                <w:szCs w:val="15"/>
              </w:rPr>
              <w:t xml:space="preserve"> mit i = KZS</w:t>
            </w:r>
          </w:p>
        </w:tc>
        <w:tc>
          <w:tcPr>
            <w:tcW w:type="dxa" w:w="1700"/>
            <w:shd w:fill="F2F5FA" w:color="auto" w:val="clear"/>
            <w:vAlign w:val="center"/>
          </w:tcPr>
          <w:p>
            <w:pPr>
              <w:spacing w:after="30" w:before="30" w:line="230"/>
              <w:jc w:val="left"/>
            </w:pPr>
            <w:r>
              <w:rPr>
                <w:sz w:val="15"/>
                <w:szCs w:val="15"/>
              </w:rPr>
              <w:t xml:space="preserve">Zahlungsreihe, Kalkulationszinssatz</w:t>
            </w:r>
          </w:p>
        </w:tc>
        <w:tc>
          <w:tcPr>
            <w:tcW w:type="dxa" w:w="1750"/>
            <w:shd w:fill="F2F5FA" w:color="auto" w:val="clear"/>
            <w:vAlign w:val="center"/>
          </w:tcPr>
          <w:p>
            <w:pPr>
              <w:spacing w:after="30" w:before="30" w:line="230"/>
              <w:jc w:val="left"/>
            </w:pPr>
            <w:r>
              <w:rPr>
                <w:sz w:val="15"/>
                <w:szCs w:val="15"/>
              </w:rPr>
              <w:t xml:space="preserve">Vermögenszuwachs gegenüber einer Anlage des Eigenkapitals zum KZS; </w:t>
            </w:r>
            <w:r>
              <w:rPr>
                <w:b/>
                <w:bCs/>
                <w:sz w:val="15"/>
                <w:szCs w:val="15"/>
              </w:rPr>
              <w:t xml:space="preserve">&gt; 0 = vorteilhaft</w:t>
            </w:r>
          </w:p>
        </w:tc>
        <w:tc>
          <w:tcPr>
            <w:tcW w:type="dxa" w:w="2038"/>
            <w:shd w:fill="F2F5FA" w:color="auto" w:val="clear"/>
            <w:vAlign w:val="center"/>
          </w:tcPr>
          <w:p>
            <w:pPr>
              <w:spacing w:after="30" w:before="30" w:line="230"/>
              <w:jc w:val="left"/>
            </w:pPr>
            <w:r>
              <w:rPr>
                <w:sz w:val="15"/>
                <w:szCs w:val="15"/>
              </w:rPr>
              <w:t xml:space="preserve">Reagiert stark auf den KZS; nur zwischen Plänen mit </w:t>
            </w:r>
            <w:r>
              <w:rPr>
                <w:b/>
                <w:bCs/>
                <w:sz w:val="15"/>
                <w:szCs w:val="15"/>
              </w:rPr>
              <w:t xml:space="preserve">gleichem</w:t>
            </w:r>
            <w:r>
              <w:rPr>
                <w:sz w:val="15"/>
                <w:szCs w:val="15"/>
              </w:rPr>
              <w:t xml:space="preserve"> KZS und </w:t>
            </w:r>
            <w:r>
              <w:rPr>
                <w:b/>
                <w:bCs/>
                <w:sz w:val="15"/>
                <w:szCs w:val="15"/>
              </w:rPr>
              <w:t xml:space="preserve">gleicher</w:t>
            </w:r>
            <w:r>
              <w:rPr>
                <w:sz w:val="15"/>
                <w:szCs w:val="15"/>
              </w:rPr>
              <w:t xml:space="preserve"> Laufzeit vergleichbar</w:t>
            </w:r>
          </w:p>
        </w:tc>
      </w:tr>
      <w:tr>
        <w:trPr>
          <w:cantSplit/>
        </w:trPr>
        <w:tc>
          <w:tcPr>
            <w:tcW w:type="dxa" w:w="1750"/>
            <w:vAlign w:val="center"/>
          </w:tcPr>
          <w:p>
            <w:pPr>
              <w:spacing w:after="30" w:before="30" w:line="230"/>
              <w:jc w:val="left"/>
            </w:pPr>
            <w:r>
              <w:rPr>
                <w:b/>
                <w:bCs/>
                <w:sz w:val="15"/>
                <w:szCs w:val="15"/>
              </w:rPr>
              <w:t xml:space="preserve">Interner Zinsfuß (IRR)</w:t>
            </w:r>
          </w:p>
        </w:tc>
        <w:tc>
          <w:tcPr>
            <w:tcW w:type="dxa" w:w="2400"/>
            <w:vAlign w:val="center"/>
          </w:tcPr>
          <w:p>
            <w:pPr>
              <w:spacing w:after="30" w:before="30" w:line="230"/>
              <w:jc w:val="left"/>
            </w:pPr>
            <w:r>
              <w:rPr>
                <w:sz w:val="15"/>
                <w:szCs w:val="15"/>
              </w:rPr>
              <w:t xml:space="preserve">der Zinssatz </w:t>
            </w:r>
            <w:r>
              <w:rPr>
                <w:rFonts w:ascii="Consolas" w:cs="Consolas" w:eastAsia="Consolas" w:hAnsi="Consolas"/>
                <w:b/>
                <w:bCs/>
                <w:sz w:val="15"/>
                <w:szCs w:val="15"/>
              </w:rPr>
              <w:t xml:space="preserve">i*</w:t>
            </w:r>
            <w:r>
              <w:rPr>
                <w:sz w:val="15"/>
                <w:szCs w:val="15"/>
              </w:rPr>
              <w:t xml:space="preserve">, für den gilt: </w:t>
            </w:r>
            <w:r>
              <w:rPr>
                <w:rFonts w:ascii="Consolas" w:cs="Consolas" w:eastAsia="Consolas" w:hAnsi="Consolas"/>
                <w:b/>
                <w:bCs/>
                <w:sz w:val="15"/>
                <w:szCs w:val="15"/>
              </w:rPr>
              <w:t xml:space="preserve">Σ CF_t / (1 + i*)^t = 0</w:t>
            </w:r>
          </w:p>
        </w:tc>
        <w:tc>
          <w:tcPr>
            <w:tcW w:type="dxa" w:w="1700"/>
            <w:vAlign w:val="center"/>
          </w:tcPr>
          <w:p>
            <w:pPr>
              <w:spacing w:after="30" w:before="30" w:line="230"/>
              <w:jc w:val="left"/>
            </w:pPr>
            <w:r>
              <w:rPr>
                <w:sz w:val="15"/>
                <w:szCs w:val="15"/>
              </w:rPr>
              <w:t xml:space="preserve">Zahlungsreihe</w:t>
            </w:r>
          </w:p>
        </w:tc>
        <w:tc>
          <w:tcPr>
            <w:tcW w:type="dxa" w:w="1750"/>
            <w:vAlign w:val="center"/>
          </w:tcPr>
          <w:p>
            <w:pPr>
              <w:spacing w:after="30" w:before="30" w:line="230"/>
              <w:jc w:val="left"/>
            </w:pPr>
            <w:r>
              <w:rPr>
                <w:sz w:val="15"/>
                <w:szCs w:val="15"/>
              </w:rPr>
              <w:t xml:space="preserve">Effektivverzinsung des eingesetzten Kapitals</w:t>
            </w:r>
          </w:p>
        </w:tc>
        <w:tc>
          <w:tcPr>
            <w:tcW w:type="dxa" w:w="2038"/>
            <w:vAlign w:val="center"/>
          </w:tcPr>
          <w:p>
            <w:pPr>
              <w:spacing w:after="30" w:before="30" w:line="230"/>
              <w:jc w:val="left"/>
            </w:pPr>
            <w:r>
              <w:rPr>
                <w:sz w:val="15"/>
                <w:szCs w:val="15"/>
              </w:rPr>
              <w:t xml:space="preserve">Unterstellt Wiederanlage aller Überschüsse </w:t>
            </w:r>
            <w:r>
              <w:rPr>
                <w:b/>
                <w:bCs/>
                <w:sz w:val="15"/>
                <w:szCs w:val="15"/>
              </w:rPr>
              <w:t xml:space="preserve">zum IRR selbst</w:t>
            </w:r>
            <w:r>
              <w:rPr>
                <w:sz w:val="15"/>
                <w:szCs w:val="15"/>
              </w:rPr>
              <w:t xml:space="preserve"> – bei hohen Werten unrealistisch; bei hohem Fremdkapitalanteil unbrauchbar, bei 100 % Fremdkapital undefiniert; pv@now zeigt ab 30 % nur noch einen Strich [32]</w:t>
            </w:r>
          </w:p>
        </w:tc>
      </w:tr>
      <w:tr>
        <w:trPr>
          <w:cantSplit/>
        </w:trPr>
        <w:tc>
          <w:tcPr>
            <w:tcW w:type="dxa" w:w="1750"/>
            <w:shd w:fill="F2F5FA" w:color="auto" w:val="clear"/>
            <w:vAlign w:val="center"/>
          </w:tcPr>
          <w:p>
            <w:pPr>
              <w:spacing w:after="30" w:before="30" w:line="230"/>
              <w:jc w:val="left"/>
            </w:pPr>
            <w:r>
              <w:rPr>
                <w:b/>
                <w:bCs/>
                <w:sz w:val="15"/>
                <w:szCs w:val="15"/>
              </w:rPr>
              <w:t xml:space="preserve">IRR modifiziert nach Baldwin</w:t>
            </w:r>
          </w:p>
        </w:tc>
        <w:tc>
          <w:tcPr>
            <w:tcW w:type="dxa" w:w="2400"/>
            <w:shd w:fill="F2F5FA" w:color="auto" w:val="clear"/>
            <w:vAlign w:val="center"/>
          </w:tcPr>
          <w:p>
            <w:pPr>
              <w:spacing w:after="30" w:before="30" w:line="230"/>
              <w:jc w:val="left"/>
            </w:pPr>
            <w:r>
              <w:rPr>
                <w:rFonts w:ascii="Consolas" w:cs="Consolas" w:eastAsia="Consolas" w:hAnsi="Consolas"/>
                <w:b/>
                <w:bCs/>
                <w:sz w:val="15"/>
                <w:szCs w:val="15"/>
              </w:rPr>
              <w:t xml:space="preserve">MIRR = (Endwert / Barwert)^(1/n) − 1</w:t>
            </w:r>
            <w:r>
              <w:rPr>
                <w:sz w:val="15"/>
                <w:szCs w:val="15"/>
              </w:rPr>
              <w:t xml:space="preserve"> mit </w:t>
            </w:r>
            <w:r>
              <w:rPr>
                <w:rFonts w:ascii="Consolas" w:cs="Consolas" w:eastAsia="Consolas" w:hAnsi="Consolas"/>
                <w:b/>
                <w:bCs/>
                <w:sz w:val="15"/>
                <w:szCs w:val="15"/>
              </w:rPr>
              <w:t xml:space="preserve">Endwert = Σ CF_t · (1 + i)^(n − t)</w:t>
            </w:r>
            <w:r>
              <w:rPr>
                <w:sz w:val="15"/>
                <w:szCs w:val="15"/>
              </w:rPr>
              <w:t xml:space="preserve"> über alle </w:t>
            </w:r>
            <w:r>
              <w:rPr>
                <w:b/>
                <w:bCs/>
                <w:sz w:val="15"/>
                <w:szCs w:val="15"/>
              </w:rPr>
              <w:t xml:space="preserve">positiven</w:t>
            </w:r>
            <w:r>
              <w:rPr>
                <w:sz w:val="15"/>
                <w:szCs w:val="15"/>
              </w:rPr>
              <w:t xml:space="preserve"> CF_t und </w:t>
            </w:r>
            <w:r>
              <w:rPr>
                <w:rFonts w:ascii="Consolas" w:cs="Consolas" w:eastAsia="Consolas" w:hAnsi="Consolas"/>
                <w:b/>
                <w:bCs/>
                <w:sz w:val="15"/>
                <w:szCs w:val="15"/>
              </w:rPr>
              <w:t xml:space="preserve">Barwert = Σ (− CF_t) / (1 + i)^t</w:t>
            </w:r>
            <w:r>
              <w:rPr>
                <w:sz w:val="15"/>
                <w:szCs w:val="15"/>
              </w:rPr>
              <w:t xml:space="preserve"> über alle </w:t>
            </w:r>
            <w:r>
              <w:rPr>
                <w:b/>
                <w:bCs/>
                <w:sz w:val="15"/>
                <w:szCs w:val="15"/>
              </w:rPr>
              <w:t xml:space="preserve">negativen</w:t>
            </w:r>
            <w:r>
              <w:rPr>
                <w:sz w:val="15"/>
                <w:szCs w:val="15"/>
              </w:rPr>
              <w:t xml:space="preserve"> CF_t; n = Laufzeit in Jahren</w:t>
            </w:r>
          </w:p>
        </w:tc>
        <w:tc>
          <w:tcPr>
            <w:tcW w:type="dxa" w:w="1700"/>
            <w:shd w:fill="F2F5FA" w:color="auto" w:val="clear"/>
            <w:vAlign w:val="center"/>
          </w:tcPr>
          <w:p>
            <w:pPr>
              <w:spacing w:after="30" w:before="30" w:line="230"/>
              <w:jc w:val="left"/>
            </w:pPr>
            <w:r>
              <w:rPr>
                <w:sz w:val="15"/>
                <w:szCs w:val="15"/>
              </w:rPr>
              <w:t xml:space="preserve">Zahlungsreihe, KZS, Laufzeit</w:t>
            </w:r>
          </w:p>
        </w:tc>
        <w:tc>
          <w:tcPr>
            <w:tcW w:type="dxa" w:w="1750"/>
            <w:shd w:fill="F2F5FA" w:color="auto" w:val="clear"/>
            <w:vAlign w:val="center"/>
          </w:tcPr>
          <w:p>
            <w:pPr>
              <w:spacing w:after="30" w:before="30" w:line="230"/>
              <w:jc w:val="left"/>
            </w:pPr>
            <w:r>
              <w:rPr>
                <w:sz w:val="15"/>
                <w:szCs w:val="15"/>
              </w:rPr>
              <w:t xml:space="preserve">Rendite bei </w:t>
            </w:r>
            <w:r>
              <w:rPr>
                <w:b/>
                <w:bCs/>
                <w:sz w:val="15"/>
                <w:szCs w:val="15"/>
              </w:rPr>
              <w:t xml:space="preserve">realistischer</w:t>
            </w:r>
            <w:r>
              <w:rPr>
                <w:sz w:val="15"/>
                <w:szCs w:val="15"/>
              </w:rPr>
              <w:t xml:space="preserve"> Wiederanlage – die Überschüsse werden nur zum KZS verzinst</w:t>
            </w:r>
          </w:p>
        </w:tc>
        <w:tc>
          <w:tcPr>
            <w:tcW w:type="dxa" w:w="2038"/>
            <w:shd w:fill="F2F5FA" w:color="auto" w:val="clear"/>
            <w:vAlign w:val="center"/>
          </w:tcPr>
          <w:p>
            <w:pPr>
              <w:spacing w:after="30" w:before="30" w:line="230"/>
              <w:jc w:val="left"/>
            </w:pPr>
            <w:r>
              <w:rPr>
                <w:sz w:val="15"/>
                <w:szCs w:val="15"/>
              </w:rPr>
              <w:t xml:space="preserve">Liegt bei rentablen Projekten deutlich unter dem IRR (im Fallbeispiel 8,58 % gegenüber 15,99 %); das ist kein Widerspruch, sondern der Sinn der Kennzahl</w:t>
            </w:r>
          </w:p>
        </w:tc>
      </w:tr>
      <w:tr>
        <w:trPr>
          <w:cantSplit/>
        </w:trPr>
        <w:tc>
          <w:tcPr>
            <w:tcW w:type="dxa" w:w="1750"/>
            <w:vAlign w:val="center"/>
          </w:tcPr>
          <w:p>
            <w:pPr>
              <w:spacing w:after="30" w:before="30" w:line="230"/>
              <w:jc w:val="left"/>
            </w:pPr>
            <w:r>
              <w:rPr>
                <w:b/>
                <w:bCs/>
                <w:sz w:val="15"/>
                <w:szCs w:val="15"/>
              </w:rPr>
              <w:t xml:space="preserve">Statische Amortisation</w:t>
            </w:r>
          </w:p>
        </w:tc>
        <w:tc>
          <w:tcPr>
            <w:tcW w:type="dxa" w:w="2400"/>
            <w:vAlign w:val="center"/>
          </w:tcPr>
          <w:p>
            <w:pPr>
              <w:spacing w:after="30" w:before="30" w:line="230"/>
              <w:jc w:val="left"/>
            </w:pPr>
            <w:r>
              <w:rPr>
                <w:sz w:val="15"/>
                <w:szCs w:val="15"/>
              </w:rPr>
              <w:t xml:space="preserve">kleinstes k mit </w:t>
            </w:r>
            <w:r>
              <w:rPr>
                <w:rFonts w:ascii="Consolas" w:cs="Consolas" w:eastAsia="Consolas" w:hAnsi="Consolas"/>
                <w:b/>
                <w:bCs/>
                <w:sz w:val="15"/>
                <w:szCs w:val="15"/>
              </w:rPr>
              <w:t xml:space="preserve">Σ_{t=0..k} CF_t ≥ 0</w:t>
            </w:r>
          </w:p>
        </w:tc>
        <w:tc>
          <w:tcPr>
            <w:tcW w:type="dxa" w:w="1700"/>
            <w:vAlign w:val="center"/>
          </w:tcPr>
          <w:p>
            <w:pPr>
              <w:spacing w:after="30" w:before="30" w:line="230"/>
              <w:jc w:val="left"/>
            </w:pPr>
            <w:r>
              <w:rPr>
                <w:sz w:val="15"/>
                <w:szCs w:val="15"/>
              </w:rPr>
              <w:t xml:space="preserve">Zahlungsreihe</w:t>
            </w:r>
          </w:p>
        </w:tc>
        <w:tc>
          <w:tcPr>
            <w:tcW w:type="dxa" w:w="1750"/>
            <w:vAlign w:val="center"/>
          </w:tcPr>
          <w:p>
            <w:pPr>
              <w:spacing w:after="30" w:before="30" w:line="230"/>
              <w:jc w:val="left"/>
            </w:pPr>
            <w:r>
              <w:rPr>
                <w:sz w:val="15"/>
                <w:szCs w:val="15"/>
              </w:rPr>
              <w:t xml:space="preserve">In welchem Jahr ist die Investition nominal zurückgeflossen?</w:t>
            </w:r>
          </w:p>
        </w:tc>
        <w:tc>
          <w:tcPr>
            <w:tcW w:type="dxa" w:w="2038"/>
            <w:vAlign w:val="center"/>
          </w:tcPr>
          <w:p>
            <w:pPr>
              <w:spacing w:after="30" w:before="30" w:line="230"/>
              <w:jc w:val="left"/>
            </w:pPr>
            <w:r>
              <w:rPr>
                <w:sz w:val="15"/>
                <w:szCs w:val="15"/>
              </w:rPr>
              <w:t xml:space="preserve">Ignoriert Zinsen; sagt nichts über das, was nach dem Amortisationsjahr passiert</w:t>
            </w:r>
          </w:p>
        </w:tc>
      </w:tr>
      <w:tr>
        <w:trPr>
          <w:cantSplit/>
        </w:trPr>
        <w:tc>
          <w:tcPr>
            <w:tcW w:type="dxa" w:w="1750"/>
            <w:shd w:fill="F2F5FA" w:color="auto" w:val="clear"/>
            <w:vAlign w:val="center"/>
          </w:tcPr>
          <w:p>
            <w:pPr>
              <w:spacing w:after="30" w:before="30" w:line="230"/>
              <w:jc w:val="left"/>
            </w:pPr>
            <w:r>
              <w:rPr>
                <w:b/>
                <w:bCs/>
                <w:sz w:val="15"/>
                <w:szCs w:val="15"/>
              </w:rPr>
              <w:t xml:space="preserve">Dynamische Amortisation</w:t>
            </w:r>
          </w:p>
        </w:tc>
        <w:tc>
          <w:tcPr>
            <w:tcW w:type="dxa" w:w="2400"/>
            <w:shd w:fill="F2F5FA" w:color="auto" w:val="clear"/>
            <w:vAlign w:val="center"/>
          </w:tcPr>
          <w:p>
            <w:pPr>
              <w:spacing w:after="30" w:before="30" w:line="230"/>
              <w:jc w:val="left"/>
            </w:pPr>
            <w:r>
              <w:rPr>
                <w:sz w:val="15"/>
                <w:szCs w:val="15"/>
              </w:rPr>
              <w:t xml:space="preserve">kleinstes k mit </w:t>
            </w:r>
            <w:r>
              <w:rPr>
                <w:rFonts w:ascii="Consolas" w:cs="Consolas" w:eastAsia="Consolas" w:hAnsi="Consolas"/>
                <w:b/>
                <w:bCs/>
                <w:sz w:val="15"/>
                <w:szCs w:val="15"/>
              </w:rPr>
              <w:t xml:space="preserve">Σ_{t=0..k} CF_t / (1 + i)^t ≥ 0</w:t>
            </w:r>
          </w:p>
        </w:tc>
        <w:tc>
          <w:tcPr>
            <w:tcW w:type="dxa" w:w="1700"/>
            <w:shd w:fill="F2F5FA" w:color="auto" w:val="clear"/>
            <w:vAlign w:val="center"/>
          </w:tcPr>
          <w:p>
            <w:pPr>
              <w:spacing w:after="30" w:before="30" w:line="230"/>
              <w:jc w:val="left"/>
            </w:pPr>
            <w:r>
              <w:rPr>
                <w:sz w:val="15"/>
                <w:szCs w:val="15"/>
              </w:rPr>
              <w:t xml:space="preserve">Zahlungsreihe, KZS</w:t>
            </w:r>
          </w:p>
        </w:tc>
        <w:tc>
          <w:tcPr>
            <w:tcW w:type="dxa" w:w="1750"/>
            <w:shd w:fill="F2F5FA" w:color="auto" w:val="clear"/>
            <w:vAlign w:val="center"/>
          </w:tcPr>
          <w:p>
            <w:pPr>
              <w:spacing w:after="30" w:before="30" w:line="230"/>
              <w:jc w:val="left"/>
            </w:pPr>
            <w:r>
              <w:rPr>
                <w:sz w:val="15"/>
                <w:szCs w:val="15"/>
              </w:rPr>
              <w:t xml:space="preserve">dasselbe unter Berücksichtigung des Kalkulationszinses</w:t>
            </w:r>
          </w:p>
        </w:tc>
        <w:tc>
          <w:tcPr>
            <w:tcW w:type="dxa" w:w="2038"/>
            <w:shd w:fill="F2F5FA" w:color="auto" w:val="clear"/>
            <w:vAlign w:val="center"/>
          </w:tcPr>
          <w:p>
            <w:pPr>
              <w:spacing w:after="30" w:before="30" w:line="230"/>
              <w:jc w:val="left"/>
            </w:pPr>
            <w:r>
              <w:rPr>
                <w:sz w:val="15"/>
                <w:szCs w:val="15"/>
              </w:rPr>
              <w:t xml:space="preserve">Liegt stets später als die statische; wird bei knappen Projekten schnell „nie“</w:t>
            </w:r>
          </w:p>
        </w:tc>
      </w:tr>
      <w:tr>
        <w:trPr>
          <w:cantSplit/>
        </w:trPr>
        <w:tc>
          <w:tcPr>
            <w:tcW w:type="dxa" w:w="1750"/>
            <w:vAlign w:val="center"/>
          </w:tcPr>
          <w:p>
            <w:pPr>
              <w:spacing w:after="30" w:before="30" w:line="230"/>
              <w:jc w:val="left"/>
            </w:pPr>
            <w:r>
              <w:rPr>
                <w:b/>
                <w:bCs/>
                <w:sz w:val="15"/>
                <w:szCs w:val="15"/>
              </w:rPr>
              <w:t xml:space="preserve">PV-Stromgestehungskosten (LCOE)</w:t>
            </w:r>
          </w:p>
        </w:tc>
        <w:tc>
          <w:tcPr>
            <w:tcW w:type="dxa" w:w="2400"/>
            <w:vAlign w:val="center"/>
          </w:tcPr>
          <w:p>
            <w:pPr>
              <w:spacing w:after="30" w:before="30" w:line="230"/>
              <w:jc w:val="left"/>
            </w:pPr>
            <w:r>
              <w:rPr>
                <w:rFonts w:ascii="Consolas" w:cs="Consolas" w:eastAsia="Consolas" w:hAnsi="Consolas"/>
                <w:b/>
                <w:bCs/>
                <w:sz w:val="15"/>
                <w:szCs w:val="15"/>
              </w:rPr>
              <w:t xml:space="preserve">LCOE = Σ_t (Ausgaben_t / (1 + i)^t) / Σ_t (E_t / (1 + i)^t)</w:t>
            </w:r>
          </w:p>
        </w:tc>
        <w:tc>
          <w:tcPr>
            <w:tcW w:type="dxa" w:w="1700"/>
            <w:vAlign w:val="center"/>
          </w:tcPr>
          <w:p>
            <w:pPr>
              <w:spacing w:after="30" w:before="30" w:line="230"/>
              <w:jc w:val="left"/>
            </w:pPr>
            <w:r>
              <w:rPr>
                <w:sz w:val="15"/>
                <w:szCs w:val="15"/>
              </w:rPr>
              <w:t xml:space="preserve">Investition, Betriebskosten, Finanzierungskosten, erzeugte Menge E_t, KZS</w:t>
            </w:r>
          </w:p>
        </w:tc>
        <w:tc>
          <w:tcPr>
            <w:tcW w:type="dxa" w:w="1750"/>
            <w:vAlign w:val="center"/>
          </w:tcPr>
          <w:p>
            <w:pPr>
              <w:spacing w:after="30" w:before="30" w:line="230"/>
              <w:jc w:val="left"/>
            </w:pPr>
            <w:r>
              <w:rPr>
                <w:sz w:val="15"/>
                <w:szCs w:val="15"/>
              </w:rPr>
              <w:t xml:space="preserve">Was kostet eine selbst erzeugte Kilowattstunde?</w:t>
            </w:r>
          </w:p>
        </w:tc>
        <w:tc>
          <w:tcPr>
            <w:tcW w:type="dxa" w:w="2038"/>
            <w:vAlign w:val="center"/>
          </w:tcPr>
          <w:p>
            <w:pPr>
              <w:spacing w:after="30" w:before="30" w:line="230"/>
              <w:jc w:val="left"/>
            </w:pPr>
            <w:r>
              <w:rPr>
                <w:b/>
                <w:bCs/>
                <w:sz w:val="15"/>
                <w:szCs w:val="15"/>
              </w:rPr>
              <w:t xml:space="preserve">Reine Kostenkennzahl ohne Erlösbezug</w:t>
            </w:r>
            <w:r>
              <w:rPr>
                <w:sz w:val="15"/>
                <w:szCs w:val="15"/>
              </w:rPr>
              <w:t xml:space="preserve">; auch die Strommenge wird diskontiert – laut Werkzeug „eine Abstraktion der Realität“, finanzmathematisch begründet [32]</w:t>
            </w:r>
          </w:p>
        </w:tc>
      </w:tr>
      <w:tr>
        <w:trPr>
          <w:cantSplit/>
        </w:trPr>
        <w:tc>
          <w:tcPr>
            <w:tcW w:type="dxa" w:w="1750"/>
            <w:shd w:fill="F2F5FA" w:color="auto" w:val="clear"/>
            <w:vAlign w:val="center"/>
          </w:tcPr>
          <w:p>
            <w:pPr>
              <w:spacing w:after="30" w:before="30" w:line="230"/>
              <w:jc w:val="left"/>
            </w:pPr>
            <w:r>
              <w:rPr>
                <w:b/>
                <w:bCs/>
                <w:sz w:val="15"/>
                <w:szCs w:val="15"/>
              </w:rPr>
              <w:t xml:space="preserve">PV-Stromgestehungskosten (KZS = 0 %)</w:t>
            </w:r>
          </w:p>
        </w:tc>
        <w:tc>
          <w:tcPr>
            <w:tcW w:type="dxa" w:w="2400"/>
            <w:shd w:fill="F2F5FA" w:color="auto" w:val="clear"/>
            <w:vAlign w:val="center"/>
          </w:tcPr>
          <w:p>
            <w:pPr>
              <w:spacing w:after="30" w:before="30" w:line="230"/>
              <w:jc w:val="left"/>
            </w:pPr>
            <w:r>
              <w:rPr>
                <w:rFonts w:ascii="Consolas" w:cs="Consolas" w:eastAsia="Consolas" w:hAnsi="Consolas"/>
                <w:b/>
                <w:bCs/>
                <w:sz w:val="15"/>
                <w:szCs w:val="15"/>
              </w:rPr>
              <w:t xml:space="preserve">LCOE₀ = Σ_t Ausgaben_t / Σ_t E_t</w:t>
            </w:r>
          </w:p>
        </w:tc>
        <w:tc>
          <w:tcPr>
            <w:tcW w:type="dxa" w:w="1700"/>
            <w:shd w:fill="F2F5FA" w:color="auto" w:val="clear"/>
            <w:vAlign w:val="center"/>
          </w:tcPr>
          <w:p>
            <w:pPr>
              <w:spacing w:after="30" w:before="30" w:line="230"/>
              <w:jc w:val="left"/>
            </w:pPr>
            <w:r>
              <w:rPr>
                <w:sz w:val="15"/>
                <w:szCs w:val="15"/>
              </w:rPr>
              <w:t xml:space="preserve">dieselben ohne Diskontierung</w:t>
            </w:r>
          </w:p>
        </w:tc>
        <w:tc>
          <w:tcPr>
            <w:tcW w:type="dxa" w:w="1750"/>
            <w:shd w:fill="F2F5FA" w:color="auto" w:val="clear"/>
            <w:vAlign w:val="center"/>
          </w:tcPr>
          <w:p>
            <w:pPr>
              <w:spacing w:after="30" w:before="30" w:line="230"/>
              <w:jc w:val="left"/>
            </w:pPr>
            <w:r>
              <w:rPr>
                <w:sz w:val="15"/>
                <w:szCs w:val="15"/>
              </w:rPr>
              <w:t xml:space="preserve">Vergleichswert für die Gegenüberstellung mit einem Vergütungssatz</w:t>
            </w:r>
          </w:p>
        </w:tc>
        <w:tc>
          <w:tcPr>
            <w:tcW w:type="dxa" w:w="2038"/>
            <w:shd w:fill="F2F5FA" w:color="auto" w:val="clear"/>
            <w:vAlign w:val="center"/>
          </w:tcPr>
          <w:p>
            <w:pPr>
              <w:spacing w:after="30" w:before="30" w:line="230"/>
              <w:jc w:val="left"/>
            </w:pPr>
            <w:r>
              <w:rPr>
                <w:sz w:val="15"/>
                <w:szCs w:val="15"/>
              </w:rPr>
              <w:t xml:space="preserve">Das Werkzeug empfiehlt ausdrücklich </w:t>
            </w:r>
            <w:r>
              <w:rPr>
                <w:b/>
                <w:bCs/>
                <w:sz w:val="15"/>
                <w:szCs w:val="15"/>
              </w:rPr>
              <w:t xml:space="preserve">diesen</w:t>
            </w:r>
            <w:r>
              <w:rPr>
                <w:sz w:val="15"/>
                <w:szCs w:val="15"/>
              </w:rPr>
              <w:t xml:space="preserve"> Wert für den Vergleich mit der EEG-Vergütung, nicht den diskontierten [32]</w:t>
            </w:r>
          </w:p>
        </w:tc>
      </w:tr>
      <w:tr>
        <w:trPr>
          <w:cantSplit/>
        </w:trPr>
        <w:tc>
          <w:tcPr>
            <w:tcW w:type="dxa" w:w="1750"/>
            <w:vAlign w:val="center"/>
          </w:tcPr>
          <w:p>
            <w:pPr>
              <w:spacing w:after="30" w:before="30" w:line="230"/>
              <w:jc w:val="left"/>
            </w:pPr>
            <w:r>
              <w:rPr>
                <w:b/>
                <w:bCs/>
                <w:sz w:val="15"/>
                <w:szCs w:val="15"/>
              </w:rPr>
              <w:t xml:space="preserve">Vorteil/Nachteil durch PV</w:t>
            </w:r>
          </w:p>
        </w:tc>
        <w:tc>
          <w:tcPr>
            <w:tcW w:type="dxa" w:w="2400"/>
            <w:vAlign w:val="center"/>
          </w:tcPr>
          <w:p>
            <w:pPr>
              <w:spacing w:after="30" w:before="30" w:line="230"/>
              <w:jc w:val="left"/>
            </w:pPr>
            <w:r>
              <w:rPr>
                <w:rFonts w:ascii="Consolas" w:cs="Consolas" w:eastAsia="Consolas" w:hAnsi="Consolas"/>
                <w:b/>
                <w:bCs/>
                <w:sz w:val="15"/>
                <w:szCs w:val="15"/>
              </w:rPr>
              <w:t xml:space="preserve">Vorteil = Σ_t Saldo_t^(mit PV) − Σ_t Saldo_t^(ohne PV)</w:t>
            </w:r>
          </w:p>
        </w:tc>
        <w:tc>
          <w:tcPr>
            <w:tcW w:type="dxa" w:w="1700"/>
            <w:vAlign w:val="center"/>
          </w:tcPr>
          <w:p>
            <w:pPr>
              <w:spacing w:after="30" w:before="30" w:line="230"/>
              <w:jc w:val="left"/>
            </w:pPr>
            <w:r>
              <w:rPr>
                <w:sz w:val="15"/>
                <w:szCs w:val="15"/>
              </w:rPr>
              <w:t xml:space="preserve">beide vollständigen Zahlungssituationen des Akteurs</w:t>
            </w:r>
          </w:p>
        </w:tc>
        <w:tc>
          <w:tcPr>
            <w:tcW w:type="dxa" w:w="1750"/>
            <w:vAlign w:val="center"/>
          </w:tcPr>
          <w:p>
            <w:pPr>
              <w:spacing w:after="30" w:before="30" w:line="230"/>
              <w:jc w:val="left"/>
            </w:pPr>
            <w:r>
              <w:rPr>
                <w:sz w:val="15"/>
                <w:szCs w:val="15"/>
              </w:rPr>
              <w:t xml:space="preserve">Die zentrale Beraterkennzahl: Was bringt die Anlage gegenüber „einfach weiter Netzstrom kaufen“?</w:t>
            </w:r>
          </w:p>
        </w:tc>
        <w:tc>
          <w:tcPr>
            <w:tcW w:type="dxa" w:w="2038"/>
            <w:vAlign w:val="center"/>
          </w:tcPr>
          <w:p>
            <w:pPr>
              <w:spacing w:after="30" w:before="30" w:line="230"/>
              <w:jc w:val="left"/>
            </w:pPr>
            <w:r>
              <w:rPr>
                <w:sz w:val="15"/>
                <w:szCs w:val="15"/>
              </w:rPr>
              <w:t xml:space="preserve">Setzt eine hinterlegte </w:t>
            </w:r>
            <w:r>
              <w:rPr>
                <w:b/>
                <w:bCs/>
                <w:sz w:val="15"/>
                <w:szCs w:val="15"/>
              </w:rPr>
              <w:t xml:space="preserve">Verbrauchssituation</w:t>
            </w:r>
            <w:r>
              <w:rPr>
                <w:sz w:val="15"/>
                <w:szCs w:val="15"/>
              </w:rPr>
              <w:t xml:space="preserve"> voraus; in reinen Volleinspeisemodellen weist das Werkzeug sie folgerichtig nicht aus – dort ist der Liquiditätsüberschuss maßgeblich</w:t>
            </w:r>
          </w:p>
        </w:tc>
      </w:tr>
      <w:tr>
        <w:trPr>
          <w:cantSplit/>
        </w:trPr>
        <w:tc>
          <w:tcPr>
            <w:tcW w:type="dxa" w:w="1750"/>
            <w:shd w:fill="F2F5FA" w:color="auto" w:val="clear"/>
            <w:vAlign w:val="center"/>
          </w:tcPr>
          <w:p>
            <w:pPr>
              <w:spacing w:after="30" w:before="30" w:line="230"/>
              <w:jc w:val="left"/>
            </w:pPr>
            <w:r>
              <w:rPr>
                <w:b/>
                <w:bCs/>
                <w:sz w:val="15"/>
                <w:szCs w:val="15"/>
              </w:rPr>
              <w:t xml:space="preserve">Eigenverbrauchsquote</w:t>
            </w:r>
          </w:p>
        </w:tc>
        <w:tc>
          <w:tcPr>
            <w:tcW w:type="dxa" w:w="2400"/>
            <w:shd w:fill="F2F5FA" w:color="auto" w:val="clear"/>
            <w:vAlign w:val="center"/>
          </w:tcPr>
          <w:p>
            <w:pPr>
              <w:spacing w:after="30" w:before="30" w:line="230"/>
              <w:jc w:val="left"/>
            </w:pPr>
            <w:r>
              <w:rPr>
                <w:rFonts w:ascii="Consolas" w:cs="Consolas" w:eastAsia="Consolas" w:hAnsi="Consolas"/>
                <w:b/>
                <w:bCs/>
                <w:sz w:val="15"/>
                <w:szCs w:val="15"/>
              </w:rPr>
              <w:t xml:space="preserve">EV-Quote = Eigenverbrauch / PV-Erzeugung</w:t>
            </w:r>
          </w:p>
        </w:tc>
        <w:tc>
          <w:tcPr>
            <w:tcW w:type="dxa" w:w="1700"/>
            <w:shd w:fill="F2F5FA" w:color="auto" w:val="clear"/>
            <w:vAlign w:val="center"/>
          </w:tcPr>
          <w:p>
            <w:pPr>
              <w:spacing w:after="30" w:before="30" w:line="230"/>
              <w:jc w:val="left"/>
            </w:pPr>
            <w:r>
              <w:rPr>
                <w:sz w:val="15"/>
                <w:szCs w:val="15"/>
              </w:rPr>
              <w:t xml:space="preserve">Ergebnis der Lastprofilsimulation</w:t>
            </w:r>
          </w:p>
        </w:tc>
        <w:tc>
          <w:tcPr>
            <w:tcW w:type="dxa" w:w="1750"/>
            <w:shd w:fill="F2F5FA" w:color="auto" w:val="clear"/>
            <w:vAlign w:val="center"/>
          </w:tcPr>
          <w:p>
            <w:pPr>
              <w:spacing w:after="30" w:before="30" w:line="230"/>
              <w:jc w:val="left"/>
            </w:pPr>
            <w:r>
              <w:rPr>
                <w:sz w:val="15"/>
                <w:szCs w:val="15"/>
              </w:rPr>
              <w:t xml:space="preserve">Welcher Anteil der Erzeugung wird selbst genutzt?</w:t>
            </w:r>
          </w:p>
        </w:tc>
        <w:tc>
          <w:tcPr>
            <w:tcW w:type="dxa" w:w="2038"/>
            <w:shd w:fill="F2F5FA" w:color="auto" w:val="clear"/>
            <w:vAlign w:val="center"/>
          </w:tcPr>
          <w:p>
            <w:pPr>
              <w:spacing w:after="30" w:before="30" w:line="230"/>
              <w:jc w:val="left"/>
            </w:pPr>
            <w:r>
              <w:rPr>
                <w:sz w:val="15"/>
                <w:szCs w:val="15"/>
              </w:rPr>
              <w:t xml:space="preserve">Sagt nichts über den Deckungsgrad des Bedarfs</w:t>
            </w:r>
          </w:p>
        </w:tc>
      </w:tr>
      <w:tr>
        <w:trPr>
          <w:cantSplit/>
        </w:trPr>
        <w:tc>
          <w:tcPr>
            <w:tcW w:type="dxa" w:w="1750"/>
            <w:vAlign w:val="center"/>
          </w:tcPr>
          <w:p>
            <w:pPr>
              <w:spacing w:after="30" w:before="30" w:line="230"/>
              <w:jc w:val="left"/>
            </w:pPr>
            <w:r>
              <w:rPr>
                <w:b/>
                <w:bCs/>
                <w:sz w:val="15"/>
                <w:szCs w:val="15"/>
              </w:rPr>
              <w:t xml:space="preserve">Solare Deckung (Autarkie)</w:t>
            </w:r>
          </w:p>
        </w:tc>
        <w:tc>
          <w:tcPr>
            <w:tcW w:type="dxa" w:w="2400"/>
            <w:vAlign w:val="center"/>
          </w:tcPr>
          <w:p>
            <w:pPr>
              <w:spacing w:after="30" w:before="30" w:line="230"/>
              <w:jc w:val="left"/>
            </w:pPr>
            <w:r>
              <w:rPr>
                <w:rFonts w:ascii="Consolas" w:cs="Consolas" w:eastAsia="Consolas" w:hAnsi="Consolas"/>
                <w:b/>
                <w:bCs/>
                <w:sz w:val="15"/>
                <w:szCs w:val="15"/>
              </w:rPr>
              <w:t xml:space="preserve">Autarkie = Eigenverbrauch / Gesamtstrombedarf</w:t>
            </w:r>
          </w:p>
        </w:tc>
        <w:tc>
          <w:tcPr>
            <w:tcW w:type="dxa" w:w="1700"/>
            <w:vAlign w:val="center"/>
          </w:tcPr>
          <w:p>
            <w:pPr>
              <w:spacing w:after="30" w:before="30" w:line="230"/>
              <w:jc w:val="left"/>
            </w:pPr>
            <w:r>
              <w:rPr>
                <w:sz w:val="15"/>
                <w:szCs w:val="15"/>
              </w:rPr>
              <w:t xml:space="preserve">Eigenverbrauch, Verbrauch im Gebäude</w:t>
            </w:r>
          </w:p>
        </w:tc>
        <w:tc>
          <w:tcPr>
            <w:tcW w:type="dxa" w:w="1750"/>
            <w:vAlign w:val="center"/>
          </w:tcPr>
          <w:p>
            <w:pPr>
              <w:spacing w:after="30" w:before="30" w:line="230"/>
              <w:jc w:val="left"/>
            </w:pPr>
            <w:r>
              <w:rPr>
                <w:sz w:val="15"/>
                <w:szCs w:val="15"/>
              </w:rPr>
              <w:t xml:space="preserve">Welcher Anteil des Bedarfs wird zeitgleich selbst gedeckt?</w:t>
            </w:r>
          </w:p>
        </w:tc>
        <w:tc>
          <w:tcPr>
            <w:tcW w:type="dxa" w:w="2038"/>
            <w:vAlign w:val="center"/>
          </w:tcPr>
          <w:p>
            <w:pPr>
              <w:spacing w:after="30" w:before="30" w:line="230"/>
              <w:jc w:val="left"/>
            </w:pPr>
            <w:r>
              <w:rPr>
                <w:sz w:val="15"/>
                <w:szCs w:val="15"/>
              </w:rPr>
              <w:t xml:space="preserve">Beantwortet eine </w:t>
            </w:r>
            <w:r>
              <w:rPr>
                <w:b/>
                <w:bCs/>
                <w:sz w:val="15"/>
                <w:szCs w:val="15"/>
              </w:rPr>
              <w:t xml:space="preserve">andere</w:t>
            </w:r>
            <w:r>
              <w:rPr>
                <w:sz w:val="15"/>
                <w:szCs w:val="15"/>
              </w:rPr>
              <w:t xml:space="preserve"> Frage als die Eigenverbrauchsquote – im Fallbeispiel 26 % gegenüber 83 %; beide Werte gehören stets zusammen gezeigt</w:t>
            </w:r>
          </w:p>
        </w:tc>
      </w:tr>
    </w:tbl>
    <w:p>
      <w:pPr>
        <w:spacing w:after="100"/>
      </w:pPr>
      <w:r>
        <w:rPr>
          <w:sz w:val="8"/>
          <w:szCs w:val="8"/>
        </w:rPr>
        <w:t xml:space="preserve"/>
      </w:r>
    </w:p>
    <w:p>
      <w:r>
        <w:rPr>
          <w:b/>
          <w:bCs/>
        </w:rPr>
        <w:t xml:space="preserve">Vergleichbarkeitsregel.</w:t>
      </w:r>
      <w:r>
        <w:t xml:space="preserve"> Kennzahlen sind nur zwischen Plänen </w:t>
      </w:r>
      <w:r>
        <w:rPr>
          <w:b/>
          <w:bCs/>
        </w:rPr>
        <w:t xml:space="preserve">desselben Akteurs</w:t>
      </w:r>
      <w:r>
        <w:t xml:space="preserve"> und </w:t>
      </w:r>
      <w:r>
        <w:rPr>
          <w:b/>
          <w:bCs/>
        </w:rPr>
        <w:t xml:space="preserve">derselben Betrachtungsdauer</w:t>
      </w:r>
      <w:r>
        <w:t xml:space="preserve"> vergleichbar. Ein Kapitalwert über 20 Jahre und 10 Monate und einer über 25 Jahre stehen nicht nebeneinander; ebenso wenig der Kapitalwert des Investors und der des Betreibers in einem Mietmodell.</w:t>
      </w:r>
    </w:p>
    <w:p>
      <w:pPr>
        <w:pStyle w:val="Heading2"/>
      </w:pPr>
      <w:bookmarkStart w:id="900029" w:name="_Toc90000029"/>
      <w:r>
        <w:t xml:space="preserve">K3  Das durchgerechnete Beispiel: Projekt „INEKON Schulung 01“</w:t>
      </w:r>
      <w:bookmarkEnd w:id="900029"/>
    </w:p>
    <w:p>
      <w:r>
        <w:t xml:space="preserve">Nachgerechnet werden beide Pläne des Fallbeispiels aus Teil C – </w:t>
      </w:r>
      <w:r>
        <w:rPr>
          <w:b/>
          <w:bCs/>
        </w:rPr>
        <w:t xml:space="preserve">Überschuss</w:t>
      </w:r>
      <w:r>
        <w:t xml:space="preserve"> (PV-Überschuss-Einspeisung 1, </w:t>
      </w:r>
      <w:r>
        <w:rPr>
          <w:rFonts w:ascii="Consolas" w:cs="Consolas" w:eastAsia="Consolas" w:hAnsi="Consolas"/>
          <w:b/>
          <w:bCs/>
        </w:rPr>
        <w:t xml:space="preserve">I = B = G = V_G</w:t>
      </w:r>
      <w:r>
        <w:t xml:space="preserve">) und </w:t>
      </w:r>
      <w:r>
        <w:rPr>
          <w:b/>
          <w:bCs/>
        </w:rPr>
        <w:t xml:space="preserve">Volleinspeisung</w:t>
      </w:r>
      <w:r>
        <w:t xml:space="preserve"> (PV-Netz-Einspeisung 1, </w:t>
      </w:r>
      <w:r>
        <w:rPr>
          <w:rFonts w:ascii="Consolas" w:cs="Consolas" w:eastAsia="Consolas" w:hAnsi="Consolas"/>
          <w:b/>
          <w:bCs/>
        </w:rPr>
        <w:t xml:space="preserve">I = B = G</w:t>
      </w:r>
      <w:r>
        <w:t xml:space="preserve">) – mit einem eigenen, offengelegten Modell [36]. Ziel ist nicht, das Werkzeug zu ersetzen, sondern zu zeigen, dass seine Ergebnisse aus den dokumentierten Eingaben reproduzierbar sind.</w:t>
      </w:r>
    </w:p>
    <w:p>
      <w:pPr>
        <w:pStyle w:val="Heading3"/>
      </w:pPr>
      <w:bookmarkStart w:id="900030" w:name="_Toc90000030"/>
      <w:r>
        <w:t xml:space="preserve">K3.1  Die Annahmen der Nachrechnung</w:t>
      </w:r>
      <w:bookmarkEnd w:id="900030"/>
    </w:p>
    <w:p>
      <w:r>
        <w:t xml:space="preserve">Die Eingabewerte stehen vollständig in C1 bis C3. </w:t>
      </w:r>
      <w:r>
        <w:rPr>
          <w:b/>
          <w:bCs/>
        </w:rPr>
        <w:t xml:space="preserve">Sieben Rechendetails</w:t>
      </w:r>
      <w:r>
        <w:t xml:space="preserve"> sind aus der Oberfläche des Werkzeugs jedoch </w:t>
      </w:r>
      <w:r>
        <w:rPr>
          <w:b/>
          <w:bCs/>
        </w:rPr>
        <w:t xml:space="preserve">nicht</w:t>
      </w:r>
      <w:r>
        <w:t xml:space="preserve"> ablesbar. Sie wurden systematisch variiert und nach der Güte der Reproduktion ausgewählt. Die Spalte rechts nennt für jede Annahme, wie weit die Nachrechnung mit der jeweils naheliegenden Alternative vom Werkzeug abrückt – gemessen als </w:t>
      </w:r>
      <w:r>
        <w:rPr>
          <w:b/>
          <w:bCs/>
        </w:rPr>
        <w:t xml:space="preserve">mittlere relative Abweichung über acht wertmäßige Kennzahlen</w:t>
      </w:r>
      <w:r>
        <w:t xml:space="preserve"> (Liquiditätsüberschuss, Kapitalwert und beide Stromgestehungskosten je Plan) bei sonst unveränderten Annahmen; die gewählte Kombination erreicht </w:t>
      </w:r>
      <w:r>
        <w:rPr>
          <w:b/>
          <w:bCs/>
        </w:rPr>
        <w:t xml:space="preserve">0,17 %</w:t>
      </w:r>
      <w:r>
        <w:t xml:space="preserve"> [36].</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200"/>
        <w:gridCol w:w="4200"/>
        <w:gridCol w:w="3238"/>
      </w:tblGrid>
      <w:tr>
        <w:trPr>
          <w:tblHeader/>
        </w:trPr>
        <w:tc>
          <w:tcPr>
            <w:tcW w:type="dxa" w:w="2200"/>
            <w:shd w:fill="1F3864" w:color="auto" w:val="clear"/>
            <w:vAlign w:val="center"/>
          </w:tcPr>
          <w:p>
            <w:pPr>
              <w:spacing w:after="30" w:before="30" w:line="230"/>
              <w:jc w:val="left"/>
            </w:pPr>
            <w:r>
              <w:rPr>
                <w:b/>
                <w:bCs/>
                <w:color w:val="FFFFFF"/>
                <w:sz w:val="16"/>
                <w:szCs w:val="16"/>
              </w:rPr>
              <w:t xml:space="preserve">Offene Annahme</w:t>
            </w:r>
          </w:p>
        </w:tc>
        <w:tc>
          <w:tcPr>
            <w:tcW w:type="dxa" w:w="4200"/>
            <w:shd w:fill="1F3864" w:color="auto" w:val="clear"/>
            <w:vAlign w:val="center"/>
          </w:tcPr>
          <w:p>
            <w:pPr>
              <w:spacing w:after="30" w:before="30" w:line="230"/>
              <w:jc w:val="left"/>
            </w:pPr>
            <w:r>
              <w:rPr>
                <w:b/>
                <w:bCs/>
                <w:color w:val="FFFFFF"/>
                <w:sz w:val="16"/>
                <w:szCs w:val="16"/>
              </w:rPr>
              <w:t xml:space="preserve">Gewählte Variante</w:t>
            </w:r>
          </w:p>
        </w:tc>
        <w:tc>
          <w:tcPr>
            <w:tcW w:type="dxa" w:w="3238"/>
            <w:shd w:fill="1F3864" w:color="auto" w:val="clear"/>
            <w:vAlign w:val="center"/>
          </w:tcPr>
          <w:p>
            <w:pPr>
              <w:spacing w:after="30" w:before="30" w:line="230"/>
              <w:jc w:val="left"/>
            </w:pPr>
            <w:r>
              <w:rPr>
                <w:b/>
                <w:bCs/>
                <w:color w:val="FFFFFF"/>
                <w:sz w:val="16"/>
                <w:szCs w:val="16"/>
              </w:rPr>
              <w:t xml:space="preserve">Wirkung der Alternative</w:t>
            </w:r>
          </w:p>
        </w:tc>
      </w:tr>
      <w:tr>
        <w:trPr>
          <w:cantSplit/>
        </w:trPr>
        <w:tc>
          <w:tcPr>
            <w:tcW w:type="dxa" w:w="2200"/>
            <w:vAlign w:val="center"/>
          </w:tcPr>
          <w:p>
            <w:pPr>
              <w:spacing w:after="30" w:before="30" w:line="230"/>
              <w:jc w:val="left"/>
            </w:pPr>
            <w:r>
              <w:rPr>
                <w:sz w:val="16"/>
                <w:szCs w:val="16"/>
              </w:rPr>
              <w:t xml:space="preserve">Zeitraster</w:t>
            </w:r>
          </w:p>
        </w:tc>
        <w:tc>
          <w:tcPr>
            <w:tcW w:type="dxa" w:w="4200"/>
            <w:vAlign w:val="center"/>
          </w:tcPr>
          <w:p>
            <w:pPr>
              <w:spacing w:after="30" w:before="30" w:line="230"/>
              <w:jc w:val="left"/>
            </w:pPr>
            <w:r>
              <w:rPr>
                <w:sz w:val="16"/>
                <w:szCs w:val="16"/>
              </w:rPr>
              <w:t xml:space="preserve">monatlich, 250 Monate (3/2023–12/2043), Investition in t = 0</w:t>
            </w:r>
          </w:p>
        </w:tc>
        <w:tc>
          <w:tcPr>
            <w:tcW w:type="dxa" w:w="3238"/>
            <w:vAlign w:val="center"/>
          </w:tcPr>
          <w:p>
            <w:pPr>
              <w:spacing w:after="30" w:before="30" w:line="230"/>
              <w:jc w:val="left"/>
            </w:pPr>
            <w:r>
              <w:rPr>
                <w:sz w:val="16"/>
                <w:szCs w:val="16"/>
              </w:rPr>
              <w:t xml:space="preserve">pv@now rechnet ausdrücklich monatsgenau (M1, Schritt 5)</w:t>
            </w:r>
          </w:p>
        </w:tc>
      </w:tr>
      <w:tr>
        <w:trPr>
          <w:cantSplit/>
        </w:trPr>
        <w:tc>
          <w:tcPr>
            <w:tcW w:type="dxa" w:w="2200"/>
            <w:shd w:fill="F2F5FA" w:color="auto" w:val="clear"/>
            <w:vAlign w:val="center"/>
          </w:tcPr>
          <w:p>
            <w:pPr>
              <w:spacing w:after="30" w:before="30" w:line="230"/>
              <w:jc w:val="left"/>
            </w:pPr>
            <w:r>
              <w:rPr>
                <w:sz w:val="16"/>
                <w:szCs w:val="16"/>
              </w:rPr>
              <w:t xml:space="preserve">Verteilung der Leistungsminderung</w:t>
            </w:r>
          </w:p>
        </w:tc>
        <w:tc>
          <w:tcPr>
            <w:tcW w:type="dxa" w:w="4200"/>
            <w:shd w:fill="F2F5FA" w:color="auto" w:val="clear"/>
            <w:vAlign w:val="center"/>
          </w:tcPr>
          <w:p>
            <w:pPr>
              <w:spacing w:after="30" w:before="30" w:line="230"/>
              <w:jc w:val="left"/>
            </w:pPr>
            <w:r>
              <w:rPr>
                <w:sz w:val="16"/>
                <w:szCs w:val="16"/>
              </w:rPr>
              <w:t xml:space="preserve">gleiche Jahresstufen: Faktor(Jahr y) = 1 − 5,00 % × y/20 mit y = 0 für 2023, also 2023 = 100,00 % … 2043 = 95,00 %</w:t>
            </w:r>
          </w:p>
        </w:tc>
        <w:tc>
          <w:tcPr>
            <w:tcW w:type="dxa" w:w="3238"/>
            <w:shd w:fill="F2F5FA" w:color="auto" w:val="clear"/>
            <w:vAlign w:val="center"/>
          </w:tcPr>
          <w:p>
            <w:pPr>
              <w:spacing w:after="30" w:before="30" w:line="230"/>
              <w:jc w:val="left"/>
            </w:pPr>
            <w:r>
              <w:rPr>
                <w:sz w:val="16"/>
                <w:szCs w:val="16"/>
              </w:rPr>
              <w:t xml:space="preserve">„gesamte Minderung erst am Laufzeitende“: </w:t>
            </w:r>
            <w:r>
              <w:rPr>
                <w:b/>
                <w:bCs/>
                <w:sz w:val="16"/>
                <w:szCs w:val="16"/>
              </w:rPr>
              <w:t xml:space="preserve">4,90 %</w:t>
            </w:r>
            <w:r>
              <w:rPr>
                <w:sz w:val="16"/>
                <w:szCs w:val="16"/>
              </w:rPr>
              <w:t xml:space="preserve"> · „keine Minderung“: </w:t>
            </w:r>
            <w:r>
              <w:rPr>
                <w:b/>
                <w:bCs/>
                <w:sz w:val="16"/>
                <w:szCs w:val="16"/>
              </w:rPr>
              <w:t xml:space="preserve">5,40 %</w:t>
            </w:r>
          </w:p>
        </w:tc>
      </w:tr>
      <w:tr>
        <w:trPr>
          <w:cantSplit/>
        </w:trPr>
        <w:tc>
          <w:tcPr>
            <w:tcW w:type="dxa" w:w="2200"/>
            <w:vAlign w:val="center"/>
          </w:tcPr>
          <w:p>
            <w:pPr>
              <w:spacing w:after="30" w:before="30" w:line="230"/>
              <w:jc w:val="left"/>
            </w:pPr>
            <w:r>
              <w:rPr>
                <w:sz w:val="16"/>
                <w:szCs w:val="16"/>
              </w:rPr>
              <w:t xml:space="preserve">Rumpfjahr 2023</w:t>
            </w:r>
          </w:p>
        </w:tc>
        <w:tc>
          <w:tcPr>
            <w:tcW w:type="dxa" w:w="4200"/>
            <w:vAlign w:val="center"/>
          </w:tcPr>
          <w:p>
            <w:pPr>
              <w:spacing w:after="30" w:before="30" w:line="230"/>
              <w:jc w:val="left"/>
            </w:pPr>
            <w:r>
              <w:rPr>
                <w:sz w:val="16"/>
                <w:szCs w:val="16"/>
              </w:rPr>
              <w:t xml:space="preserve">Betriebskosten zeitanteilig 10/12; </w:t>
            </w:r>
            <w:r>
              <w:rPr>
                <w:b/>
                <w:bCs/>
                <w:sz w:val="16"/>
                <w:szCs w:val="16"/>
              </w:rPr>
              <w:t xml:space="preserve">Ertrag</w:t>
            </w:r>
            <w:r>
              <w:rPr>
                <w:sz w:val="16"/>
                <w:szCs w:val="16"/>
              </w:rPr>
              <w:t xml:space="preserve"> dagegen mit dem saisonalen Monatsanteil März–Dezember (92,07 %)</w:t>
            </w:r>
          </w:p>
        </w:tc>
        <w:tc>
          <w:tcPr>
            <w:tcW w:type="dxa" w:w="3238"/>
            <w:vAlign w:val="center"/>
          </w:tcPr>
          <w:p>
            <w:pPr>
              <w:spacing w:after="30" w:before="30" w:line="230"/>
              <w:jc w:val="left"/>
            </w:pPr>
            <w:r>
              <w:rPr>
                <w:sz w:val="16"/>
                <w:szCs w:val="16"/>
              </w:rPr>
              <w:t xml:space="preserve">„Ertrag ebenfalls 10/12“: </w:t>
            </w:r>
            <w:r>
              <w:rPr>
                <w:b/>
                <w:bCs/>
                <w:sz w:val="16"/>
                <w:szCs w:val="16"/>
              </w:rPr>
              <w:t xml:space="preserve">0,92 %</w:t>
            </w:r>
            <w:r>
              <w:rPr>
                <w:sz w:val="16"/>
                <w:szCs w:val="16"/>
              </w:rPr>
              <w:t xml:space="preserve"> – ausführlicher Nachweis unten</w:t>
            </w:r>
          </w:p>
        </w:tc>
      </w:tr>
      <w:tr>
        <w:trPr>
          <w:cantSplit/>
        </w:trPr>
        <w:tc>
          <w:tcPr>
            <w:tcW w:type="dxa" w:w="2200"/>
            <w:shd w:fill="F2F5FA" w:color="auto" w:val="clear"/>
            <w:vAlign w:val="center"/>
          </w:tcPr>
          <w:p>
            <w:pPr>
              <w:spacing w:after="30" w:before="30" w:line="230"/>
              <w:jc w:val="left"/>
            </w:pPr>
            <w:r>
              <w:rPr>
                <w:sz w:val="16"/>
                <w:szCs w:val="16"/>
              </w:rPr>
              <w:t xml:space="preserve">Diskontierung</w:t>
            </w:r>
          </w:p>
        </w:tc>
        <w:tc>
          <w:tcPr>
            <w:tcW w:type="dxa" w:w="4200"/>
            <w:shd w:fill="F2F5FA" w:color="auto" w:val="clear"/>
            <w:vAlign w:val="center"/>
          </w:tcPr>
          <w:p>
            <w:pPr>
              <w:spacing w:after="30" w:before="30" w:line="230"/>
              <w:jc w:val="left"/>
            </w:pPr>
            <w:r>
              <w:rPr>
                <w:sz w:val="16"/>
                <w:szCs w:val="16"/>
              </w:rPr>
              <w:t xml:space="preserve">monatlich mit (1 + 3,5 %)^(−m/12)</w:t>
            </w:r>
          </w:p>
        </w:tc>
        <w:tc>
          <w:tcPr>
            <w:tcW w:type="dxa" w:w="3238"/>
            <w:shd w:fill="F2F5FA" w:color="auto" w:val="clear"/>
            <w:vAlign w:val="center"/>
          </w:tcPr>
          <w:p>
            <w:pPr>
              <w:spacing w:after="30" w:before="30" w:line="230"/>
              <w:jc w:val="left"/>
            </w:pPr>
            <w:r>
              <w:rPr>
                <w:sz w:val="16"/>
                <w:szCs w:val="16"/>
              </w:rPr>
              <w:t xml:space="preserve">„jährlich, ganze Kalenderjahre“: </w:t>
            </w:r>
            <w:r>
              <w:rPr>
                <w:b/>
                <w:bCs/>
                <w:sz w:val="16"/>
                <w:szCs w:val="16"/>
              </w:rPr>
              <w:t xml:space="preserve">0,83 %</w:t>
            </w:r>
          </w:p>
        </w:tc>
      </w:tr>
      <w:tr>
        <w:trPr>
          <w:cantSplit/>
        </w:trPr>
        <w:tc>
          <w:tcPr>
            <w:tcW w:type="dxa" w:w="2200"/>
            <w:vAlign w:val="center"/>
          </w:tcPr>
          <w:p>
            <w:pPr>
              <w:spacing w:after="30" w:before="30" w:line="230"/>
              <w:jc w:val="left"/>
            </w:pPr>
            <w:r>
              <w:rPr>
                <w:sz w:val="16"/>
                <w:szCs w:val="16"/>
              </w:rPr>
              <w:t xml:space="preserve">Netzstrompreissteigerung</w:t>
            </w:r>
          </w:p>
        </w:tc>
        <w:tc>
          <w:tcPr>
            <w:tcW w:type="dxa" w:w="4200"/>
            <w:vAlign w:val="center"/>
          </w:tcPr>
          <w:p>
            <w:pPr>
              <w:spacing w:after="30" w:before="30" w:line="230"/>
              <w:jc w:val="left"/>
            </w:pPr>
            <w:r>
              <w:rPr>
                <w:sz w:val="16"/>
                <w:szCs w:val="16"/>
              </w:rPr>
              <w:t xml:space="preserve">Sprung um 4,00 % zu jedem Kalenderjahreswechsel</w:t>
            </w:r>
          </w:p>
        </w:tc>
        <w:tc>
          <w:tcPr>
            <w:tcW w:type="dxa" w:w="3238"/>
            <w:vAlign w:val="center"/>
          </w:tcPr>
          <w:p>
            <w:pPr>
              <w:spacing w:after="30" w:before="30" w:line="230"/>
              <w:jc w:val="left"/>
            </w:pPr>
            <w:r>
              <w:rPr>
                <w:sz w:val="16"/>
                <w:szCs w:val="16"/>
              </w:rPr>
              <w:t xml:space="preserve">„monatlich gleitend“: </w:t>
            </w:r>
            <w:r>
              <w:rPr>
                <w:b/>
                <w:bCs/>
                <w:sz w:val="16"/>
                <w:szCs w:val="16"/>
              </w:rPr>
              <w:t xml:space="preserve">0,55 %</w:t>
            </w:r>
            <w:r>
              <w:rPr>
                <w:sz w:val="16"/>
                <w:szCs w:val="16"/>
              </w:rPr>
              <w:t xml:space="preserve">; sie führt zudem auf ein Laufzeitmittel von 46,33 statt 45,80 ct/kWh (Tool: 45,83)</w:t>
            </w:r>
          </w:p>
        </w:tc>
      </w:tr>
      <w:tr>
        <w:trPr>
          <w:cantSplit/>
        </w:trPr>
        <w:tc>
          <w:tcPr>
            <w:tcW w:type="dxa" w:w="2200"/>
            <w:shd w:fill="F2F5FA" w:color="auto" w:val="clear"/>
            <w:vAlign w:val="center"/>
          </w:tcPr>
          <w:p>
            <w:pPr>
              <w:spacing w:after="30" w:before="30" w:line="230"/>
              <w:jc w:val="left"/>
            </w:pPr>
            <w:r>
              <w:rPr>
                <w:sz w:val="16"/>
                <w:szCs w:val="16"/>
              </w:rPr>
              <w:t xml:space="preserve">Mess-/Abrechnungskosten 100 €/a im Plan „Überschuss“</w:t>
            </w:r>
          </w:p>
        </w:tc>
        <w:tc>
          <w:tcPr>
            <w:tcW w:type="dxa" w:w="4200"/>
            <w:shd w:fill="F2F5FA" w:color="auto" w:val="clear"/>
            <w:vAlign w:val="center"/>
          </w:tcPr>
          <w:p>
            <w:pPr>
              <w:spacing w:after="30" w:before="30" w:line="230"/>
              <w:jc w:val="left"/>
            </w:pPr>
            <w:r>
              <w:rPr>
                <w:sz w:val="16"/>
                <w:szCs w:val="16"/>
              </w:rPr>
              <w:t xml:space="preserve">ergebnisneutral, weil mit und ohne PV identisch – sie stehen in der Verbrauchssituation, nicht in den Betriebskosten (C2)</w:t>
            </w:r>
          </w:p>
        </w:tc>
        <w:tc>
          <w:tcPr>
            <w:tcW w:type="dxa" w:w="3238"/>
            <w:shd w:fill="F2F5FA" w:color="auto" w:val="clear"/>
            <w:vAlign w:val="center"/>
          </w:tcPr>
          <w:p>
            <w:pPr>
              <w:spacing w:after="30" w:before="30" w:line="230"/>
              <w:jc w:val="left"/>
            </w:pPr>
            <w:r>
              <w:rPr>
                <w:sz w:val="16"/>
                <w:szCs w:val="16"/>
              </w:rPr>
              <w:t xml:space="preserve">Ansatz als zusätzliche PV-Ausgabe: </w:t>
            </w:r>
            <w:r>
              <w:rPr>
                <w:b/>
                <w:bCs/>
                <w:sz w:val="16"/>
                <w:szCs w:val="16"/>
              </w:rPr>
              <w:t xml:space="preserve">3,57 %</w:t>
            </w:r>
          </w:p>
        </w:tc>
      </w:tr>
      <w:tr>
        <w:trPr>
          <w:cantSplit/>
        </w:trPr>
        <w:tc>
          <w:tcPr>
            <w:tcW w:type="dxa" w:w="2200"/>
            <w:vAlign w:val="center"/>
          </w:tcPr>
          <w:p>
            <w:pPr>
              <w:spacing w:after="30" w:before="30" w:line="230"/>
              <w:jc w:val="left"/>
            </w:pPr>
            <w:r>
              <w:rPr>
                <w:sz w:val="16"/>
                <w:szCs w:val="16"/>
              </w:rPr>
              <w:t xml:space="preserve">Stromgestehungskosten</w:t>
            </w:r>
          </w:p>
        </w:tc>
        <w:tc>
          <w:tcPr>
            <w:tcW w:type="dxa" w:w="4200"/>
            <w:vAlign w:val="center"/>
          </w:tcPr>
          <w:p>
            <w:pPr>
              <w:spacing w:after="30" w:before="30" w:line="230"/>
              <w:jc w:val="left"/>
            </w:pPr>
            <w:r>
              <w:rPr>
                <w:sz w:val="16"/>
                <w:szCs w:val="16"/>
              </w:rPr>
              <w:t xml:space="preserve">Ausgaben </w:t>
            </w:r>
            <w:r>
              <w:rPr>
                <w:b/>
                <w:bCs/>
                <w:sz w:val="16"/>
                <w:szCs w:val="16"/>
              </w:rPr>
              <w:t xml:space="preserve">und</w:t>
            </w:r>
            <w:r>
              <w:rPr>
                <w:sz w:val="16"/>
                <w:szCs w:val="16"/>
              </w:rPr>
              <w:t xml:space="preserve"> Strommenge diskontiert</w:t>
            </w:r>
          </w:p>
        </w:tc>
        <w:tc>
          <w:tcPr>
            <w:tcW w:type="dxa" w:w="3238"/>
            <w:vAlign w:val="center"/>
          </w:tcPr>
          <w:p>
            <w:pPr>
              <w:spacing w:after="30" w:before="30" w:line="230"/>
              <w:jc w:val="left"/>
            </w:pPr>
            <w:r>
              <w:rPr>
                <w:sz w:val="16"/>
                <w:szCs w:val="16"/>
              </w:rPr>
              <w:t xml:space="preserve">Strommenge undiskontiert: </w:t>
            </w:r>
            <w:r>
              <w:rPr>
                <w:b/>
                <w:bCs/>
                <w:sz w:val="16"/>
                <w:szCs w:val="16"/>
              </w:rPr>
              <w:t xml:space="preserve">7,25 %</w:t>
            </w:r>
            <w:r>
              <w:rPr>
                <w:sz w:val="16"/>
                <w:szCs w:val="16"/>
              </w:rPr>
              <w:t xml:space="preserve"> – die pv@now-Definition ist an dieser Stelle allerdings eindeutig [32]</w:t>
            </w:r>
          </w:p>
        </w:tc>
      </w:tr>
    </w:tbl>
    <w:p>
      <w:pPr>
        <w:spacing w:after="100"/>
      </w:pPr>
      <w:r>
        <w:rPr>
          <w:sz w:val="8"/>
          <w:szCs w:val="8"/>
        </w:rPr>
        <w:t xml:space="preserve"/>
      </w:r>
    </w:p>
    <w:p>
      <w:r>
        <w:rPr>
          <w:b/>
          <w:bCs/>
        </w:rPr>
        <w:t xml:space="preserve">Nachweis zum Rumpfjahr – der einzige nicht triviale Punkt.</w:t>
      </w:r>
      <w:r>
        <w:t xml:space="preserve"> Bei den </w:t>
      </w:r>
      <w:r>
        <w:rPr>
          <w:b/>
          <w:bCs/>
        </w:rPr>
        <w:t xml:space="preserve">Betriebskosten</w:t>
      </w:r>
      <w:r>
        <w:t xml:space="preserve"> ist die zeitanteilige Behandlung durch die Tool-Summen belegt: 2.040 €/a × 250/12 = </w:t>
      </w:r>
      <w:r>
        <w:rPr>
          <w:b/>
          <w:bCs/>
        </w:rPr>
        <w:t xml:space="preserve">42.500 €</w:t>
      </w:r>
      <w:r>
        <w:t xml:space="preserve"> ✓ und 1.600 €/a × 250/12 = </w:t>
      </w:r>
      <w:r>
        <w:rPr>
          <w:b/>
          <w:bCs/>
        </w:rPr>
        <w:t xml:space="preserve">33.333 €</w:t>
      </w:r>
      <w:r>
        <w:t xml:space="preserve"> ✓ [29]. Beim </w:t>
      </w:r>
      <w:r>
        <w:rPr>
          <w:b/>
          <w:bCs/>
        </w:rPr>
        <w:t xml:space="preserve">Ertrag</w:t>
      </w:r>
      <w:r>
        <w:t xml:space="preserve"> gilt das nicht. Die vom Werkzeug über die Laufzeit angesetzte Strommenge lässt sich aus drei voneinander unabhängigen Kennzahlen zurückrechnen: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110"/>
          <w:left w:type="dxa" w:w="150"/>
          <w:bottom w:type="dxa" w:w="110"/>
          <w:right w:type="dxa" w:w="150"/>
        </w:tblCellMar>
      </w:tblPr>
      <w:tblGrid>
        <w:gridCol w:w="9638"/>
      </w:tblGrid>
      <w:tr>
        <w:trPr>
          <w:cantSplit/>
        </w:trPr>
        <w:tc>
          <w:tcPr>
            <w:tcW w:type="dxa" w:w="9638"/>
            <w:tcBorders>
              <w:top w:val="none" w:color="FFFFFF" w:sz="0"/>
              <w:left w:val="single" w:color="A6A6A6" w:sz="18"/>
              <w:bottom w:val="none" w:color="FFFFFF" w:sz="0"/>
              <w:right w:val="none" w:color="FFFFFF" w:sz="0"/>
            </w:tcBorders>
            <w:shd w:fill="F2F2F2" w:color="auto" w:val="clear"/>
          </w:tcPr>
          <w:p>
            <w:pPr>
              <w:spacing w:after="40" w:before="40" w:line="250"/>
              <w:jc w:val="center"/>
            </w:pPr>
            <w:r>
              <w:rPr>
                <w:rFonts w:ascii="Consolas" w:cs="Consolas" w:eastAsia="Consolas" w:hAnsi="Consolas"/>
                <w:color w:val="1F3864"/>
                <w:sz w:val="19"/>
                <w:szCs w:val="19"/>
              </w:rPr>
              <w:t xml:space="preserve">aus dem Liquiditätsüberschuss Volleinspeisung: (54.000 € + 33.333 € − 10.867 €) / 11,60 ct = </w:t>
            </w:r>
            <w:r>
              <w:rPr>
                <w:rFonts w:ascii="Consolas" w:cs="Consolas" w:eastAsia="Consolas" w:hAnsi="Consolas"/>
                <w:b/>
                <w:bCs/>
                <w:color w:val="1F3864"/>
                <w:sz w:val="19"/>
                <w:szCs w:val="19"/>
              </w:rPr>
              <w:t xml:space="preserve">659.192 kWh</w:t>
            </w:r>
          </w:p>
          <w:p>
            <w:pPr>
              <w:spacing w:after="40" w:before="40" w:line="250"/>
              <w:jc w:val="center"/>
            </w:pPr>
            <w:r>
              <w:rPr>
                <w:rFonts w:ascii="Consolas" w:cs="Consolas" w:eastAsia="Consolas" w:hAnsi="Consolas"/>
                <w:color w:val="1F3864"/>
                <w:sz w:val="19"/>
                <w:szCs w:val="19"/>
              </w:rPr>
              <w:t xml:space="preserve">aus den Stromgestehungskosten Volleinspeisung (KZS = 0): 87.333 € / 13,25 ct = </w:t>
            </w:r>
            <w:r>
              <w:rPr>
                <w:rFonts w:ascii="Consolas" w:cs="Consolas" w:eastAsia="Consolas" w:hAnsi="Consolas"/>
                <w:b/>
                <w:bCs/>
                <w:color w:val="1F3864"/>
                <w:sz w:val="19"/>
                <w:szCs w:val="19"/>
              </w:rPr>
              <w:t xml:space="preserve">659.119 kWh</w:t>
            </w:r>
          </w:p>
          <w:p>
            <w:pPr>
              <w:spacing w:after="40" w:before="40" w:line="250"/>
              <w:jc w:val="center"/>
            </w:pPr>
            <w:r>
              <w:rPr>
                <w:rFonts w:ascii="Consolas" w:cs="Consolas" w:eastAsia="Consolas" w:hAnsi="Consolas"/>
                <w:color w:val="1F3864"/>
                <w:sz w:val="19"/>
                <w:szCs w:val="19"/>
              </w:rPr>
              <w:t xml:space="preserve">aus den Stromgestehungskosten Überschuss (KZS = 0): 96.500 € / 14,64 ct = </w:t>
            </w:r>
            <w:r>
              <w:rPr>
                <w:rFonts w:ascii="Consolas" w:cs="Consolas" w:eastAsia="Consolas" w:hAnsi="Consolas"/>
                <w:b/>
                <w:bCs/>
                <w:color w:val="1F3864"/>
                <w:sz w:val="19"/>
                <w:szCs w:val="19"/>
              </w:rPr>
              <w:t xml:space="preserve">659.153 kWh</w:t>
            </w:r>
          </w:p>
        </w:tc>
      </w:tr>
    </w:tbl>
    <w:p>
      <w:pPr>
        <w:spacing w:after="160"/>
      </w:pPr>
      <w:r>
        <w:rPr>
          <w:sz w:val="8"/>
          <w:szCs w:val="8"/>
        </w:rPr>
        <w:t xml:space="preserve"/>
      </w:r>
    </w:p>
    <w:p>
      <w:r>
        <w:t xml:space="preserve">Alle drei Wege führen auf rund </w:t>
      </w:r>
      <w:r>
        <w:rPr>
          <w:b/>
          <w:bCs/>
        </w:rPr>
        <w:t xml:space="preserve">659.150 kWh</w:t>
      </w:r>
      <w:r>
        <w:t xml:space="preserve">, also </w:t>
      </w:r>
      <w:r>
        <w:rPr>
          <w:b/>
          <w:bCs/>
        </w:rPr>
        <w:t xml:space="preserve">97,8 %</w:t>
      </w:r>
      <w:r>
        <w:t xml:space="preserve"> der nominellen 673.750 kWh (= 32.340 kWh × 250/12). Ein Rumpfjahr mit 10/12 = 83,3 % des Jahresertrags ergäbe zusammen mit derselben Leistungsminderung nur 656.772 kWh = 97,5 % – rund 2.400 kWh zu wenig. Die Differenz entspricht genau dem, was ein </w:t>
      </w:r>
      <w:r>
        <w:rPr>
          <w:b/>
          <w:bCs/>
        </w:rPr>
        <w:t xml:space="preserve">saisonales Monatsprofil</w:t>
      </w:r>
      <w:r>
        <w:t xml:space="preserve"> liefert: Die Monate März bis Dezember tragen bei Südausrichtung und 30° Neigung am Standort Stuttgart rund 92 % des Jahresertrags, weil Januar und Februar die ertragsschwächsten Monate sind. Die Nachrechnung setzt deshalb den Monatsanteil März–Dezember mit 92,07 % an und erreicht 659.598 kWh (+0,07 % gegenüber dem zurückgerechneten Tool-Wert).</w:t>
      </w:r>
    </w:p>
    <w:p>
      <w:pPr>
        <w:pStyle w:val="Heading3"/>
      </w:pPr>
      <w:bookmarkStart w:id="900031" w:name="_Toc90000031"/>
      <w:r>
        <w:t xml:space="preserve">K3.2  Herleitung des Referenzjahres, Zeile für Zeile</w:t>
      </w:r>
      <w:bookmarkEnd w:id="900031"/>
    </w:p>
    <w:p>
      <w:r>
        <w:t xml:space="preserve">Dargestellt ist ein </w:t>
      </w:r>
      <w:r>
        <w:rPr>
          <w:b/>
          <w:bCs/>
        </w:rPr>
        <w:t xml:space="preserve">volles Betriebsjahr zu Startkonditionen</w:t>
      </w:r>
      <w:r>
        <w:t xml:space="preserve"> – ohne Rumpfjahreseffekt, ohne Leistungsminderung, ohne Strompreissteigerung. Es ist die Rechenzelle, aus der alles Weitere durch Fortschreibung entsteht.</w:t>
      </w:r>
    </w:p>
    <w:p>
      <w:pPr>
        <w:keepNext/>
        <w:spacing w:after="100" w:before="240"/>
      </w:pPr>
      <w:r>
        <w:rPr>
          <w:b/>
          <w:bCs/>
        </w:rPr>
        <w:t xml:space="preserve">Plan „Überschuss“ (PV-Überschuss-Einspeisung 1)</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600"/>
        <w:gridCol w:w="5100"/>
        <w:gridCol w:w="1200"/>
        <w:gridCol w:w="2738"/>
      </w:tblGrid>
      <w:tr>
        <w:trPr>
          <w:tblHeader/>
        </w:trPr>
        <w:tc>
          <w:tcPr>
            <w:tcW w:type="dxa" w:w="600"/>
            <w:shd w:fill="1F3864" w:color="auto" w:val="clear"/>
            <w:vAlign w:val="center"/>
          </w:tcPr>
          <w:p>
            <w:pPr>
              <w:spacing w:after="30" w:before="30" w:line="230"/>
              <w:jc w:val="center"/>
            </w:pPr>
            <w:r>
              <w:rPr>
                <w:b/>
                <w:bCs/>
                <w:color w:val="FFFFFF"/>
                <w:sz w:val="17"/>
                <w:szCs w:val="17"/>
              </w:rPr>
              <w:t xml:space="preserve">Zeile</w:t>
            </w:r>
          </w:p>
        </w:tc>
        <w:tc>
          <w:tcPr>
            <w:tcW w:type="dxa" w:w="5100"/>
            <w:shd w:fill="1F3864" w:color="auto" w:val="clear"/>
            <w:vAlign w:val="center"/>
          </w:tcPr>
          <w:p>
            <w:pPr>
              <w:spacing w:after="30" w:before="30" w:line="230"/>
              <w:jc w:val="left"/>
            </w:pPr>
            <w:r>
              <w:rPr>
                <w:b/>
                <w:bCs/>
                <w:color w:val="FFFFFF"/>
                <w:sz w:val="17"/>
                <w:szCs w:val="17"/>
              </w:rPr>
              <w:t xml:space="preserve">Rechenschritt</w:t>
            </w:r>
          </w:p>
        </w:tc>
        <w:tc>
          <w:tcPr>
            <w:tcW w:type="dxa" w:w="1200"/>
            <w:shd w:fill="1F3864" w:color="auto" w:val="clear"/>
            <w:vAlign w:val="center"/>
          </w:tcPr>
          <w:p>
            <w:pPr>
              <w:spacing w:after="30" w:before="30" w:line="230"/>
              <w:jc w:val="center"/>
            </w:pPr>
            <w:r>
              <w:rPr>
                <w:b/>
                <w:bCs/>
                <w:color w:val="FFFFFF"/>
                <w:sz w:val="17"/>
                <w:szCs w:val="17"/>
              </w:rPr>
              <w:t xml:space="preserve">Baustein</w:t>
            </w:r>
          </w:p>
        </w:tc>
        <w:tc>
          <w:tcPr>
            <w:tcW w:type="dxa" w:w="2738"/>
            <w:shd w:fill="1F3864" w:color="auto" w:val="clear"/>
            <w:vAlign w:val="center"/>
          </w:tcPr>
          <w:p>
            <w:pPr>
              <w:spacing w:after="30" w:before="30" w:line="230"/>
              <w:jc w:val="left"/>
            </w:pPr>
            <w:r>
              <w:rPr>
                <w:b/>
                <w:bCs/>
                <w:color w:val="FFFFFF"/>
                <w:sz w:val="17"/>
                <w:szCs w:val="17"/>
              </w:rPr>
              <w:t xml:space="preserve">Wert</w:t>
            </w:r>
          </w:p>
        </w:tc>
      </w:tr>
      <w:tr>
        <w:trPr>
          <w:cantSplit/>
        </w:trPr>
        <w:tc>
          <w:tcPr>
            <w:tcW w:type="dxa" w:w="600"/>
            <w:vAlign w:val="center"/>
          </w:tcPr>
          <w:p>
            <w:pPr>
              <w:spacing w:after="30" w:before="30" w:line="230"/>
              <w:jc w:val="center"/>
            </w:pPr>
            <w:r>
              <w:rPr>
                <w:sz w:val="17"/>
                <w:szCs w:val="17"/>
              </w:rPr>
              <w:t xml:space="preserve">1</w:t>
            </w:r>
          </w:p>
        </w:tc>
        <w:tc>
          <w:tcPr>
            <w:tcW w:type="dxa" w:w="5100"/>
            <w:vAlign w:val="center"/>
          </w:tcPr>
          <w:p>
            <w:pPr>
              <w:spacing w:after="30" w:before="30" w:line="230"/>
              <w:jc w:val="left"/>
            </w:pPr>
            <w:r>
              <w:rPr>
                <w:sz w:val="17"/>
                <w:szCs w:val="17"/>
              </w:rPr>
              <w:t xml:space="preserve">Erzeugung: 30,00 kWp × 1.078 kWh/kWp</w:t>
            </w:r>
          </w:p>
        </w:tc>
        <w:tc>
          <w:tcPr>
            <w:tcW w:type="dxa" w:w="1200"/>
            <w:vAlign w:val="center"/>
          </w:tcPr>
          <w:p>
            <w:pPr>
              <w:spacing w:after="30" w:before="30" w:line="230"/>
              <w:jc w:val="center"/>
            </w:pPr>
            <w:r>
              <w:rPr>
                <w:sz w:val="17"/>
                <w:szCs w:val="17"/>
              </w:rPr>
              <w:t xml:space="preserve">–</w:t>
            </w:r>
          </w:p>
        </w:tc>
        <w:tc>
          <w:tcPr>
            <w:tcW w:type="dxa" w:w="2738"/>
            <w:vAlign w:val="center"/>
          </w:tcPr>
          <w:p>
            <w:pPr>
              <w:spacing w:after="30" w:before="30" w:line="230"/>
              <w:jc w:val="right"/>
            </w:pPr>
            <w:r>
              <w:rPr>
                <w:sz w:val="17"/>
                <w:szCs w:val="17"/>
              </w:rPr>
              <w:t xml:space="preserve">32.340 kWh</w:t>
            </w:r>
          </w:p>
        </w:tc>
      </w:tr>
      <w:tr>
        <w:trPr>
          <w:cantSplit/>
        </w:trPr>
        <w:tc>
          <w:tcPr>
            <w:tcW w:type="dxa" w:w="600"/>
            <w:shd w:fill="F2F5FA" w:color="auto" w:val="clear"/>
            <w:vAlign w:val="center"/>
          </w:tcPr>
          <w:p>
            <w:pPr>
              <w:spacing w:after="30" w:before="30" w:line="230"/>
              <w:jc w:val="center"/>
            </w:pPr>
            <w:r>
              <w:rPr>
                <w:sz w:val="17"/>
                <w:szCs w:val="17"/>
              </w:rPr>
              <w:t xml:space="preserve">2</w:t>
            </w:r>
          </w:p>
        </w:tc>
        <w:tc>
          <w:tcPr>
            <w:tcW w:type="dxa" w:w="5100"/>
            <w:shd w:fill="F2F5FA" w:color="auto" w:val="clear"/>
            <w:vAlign w:val="center"/>
          </w:tcPr>
          <w:p>
            <w:pPr>
              <w:spacing w:after="30" w:before="30" w:line="230"/>
              <w:jc w:val="left"/>
            </w:pPr>
            <w:r>
              <w:rPr>
                <w:sz w:val="17"/>
                <w:szCs w:val="17"/>
              </w:rPr>
              <w:t xml:space="preserve">davon Eigenverbrauch (83,4 % aus der Lastprofilsimulation)</w:t>
            </w:r>
          </w:p>
        </w:tc>
        <w:tc>
          <w:tcPr>
            <w:tcW w:type="dxa" w:w="1200"/>
            <w:shd w:fill="F2F5FA" w:color="auto" w:val="clear"/>
            <w:vAlign w:val="center"/>
          </w:tcPr>
          <w:p>
            <w:pPr>
              <w:spacing w:after="30" w:before="30" w:line="230"/>
              <w:jc w:val="center"/>
            </w:pPr>
            <w:r>
              <w:rPr>
                <w:sz w:val="17"/>
                <w:szCs w:val="17"/>
              </w:rPr>
              <w:t xml:space="preserve">–</w:t>
            </w:r>
          </w:p>
        </w:tc>
        <w:tc>
          <w:tcPr>
            <w:tcW w:type="dxa" w:w="2738"/>
            <w:shd w:fill="F2F5FA" w:color="auto" w:val="clear"/>
            <w:vAlign w:val="center"/>
          </w:tcPr>
          <w:p>
            <w:pPr>
              <w:spacing w:after="30" w:before="30" w:line="230"/>
              <w:jc w:val="right"/>
            </w:pPr>
            <w:r>
              <w:rPr>
                <w:sz w:val="17"/>
                <w:szCs w:val="17"/>
              </w:rPr>
              <w:t xml:space="preserve">26.962 kWh</w:t>
            </w:r>
          </w:p>
        </w:tc>
      </w:tr>
      <w:tr>
        <w:trPr>
          <w:cantSplit/>
        </w:trPr>
        <w:tc>
          <w:tcPr>
            <w:tcW w:type="dxa" w:w="600"/>
            <w:vAlign w:val="center"/>
          </w:tcPr>
          <w:p>
            <w:pPr>
              <w:spacing w:after="30" w:before="30" w:line="230"/>
              <w:jc w:val="center"/>
            </w:pPr>
            <w:r>
              <w:rPr>
                <w:sz w:val="17"/>
                <w:szCs w:val="17"/>
              </w:rPr>
              <w:t xml:space="preserve">3</w:t>
            </w:r>
          </w:p>
        </w:tc>
        <w:tc>
          <w:tcPr>
            <w:tcW w:type="dxa" w:w="5100"/>
            <w:vAlign w:val="center"/>
          </w:tcPr>
          <w:p>
            <w:pPr>
              <w:spacing w:after="30" w:before="30" w:line="230"/>
              <w:jc w:val="left"/>
            </w:pPr>
            <w:r>
              <w:rPr>
                <w:sz w:val="17"/>
                <w:szCs w:val="17"/>
              </w:rPr>
              <w:t xml:space="preserve">davon EEG-vergütete Netzeinspeisung (16,6 %)</w:t>
            </w:r>
          </w:p>
        </w:tc>
        <w:tc>
          <w:tcPr>
            <w:tcW w:type="dxa" w:w="1200"/>
            <w:vAlign w:val="center"/>
          </w:tcPr>
          <w:p>
            <w:pPr>
              <w:spacing w:after="30" w:before="30" w:line="230"/>
              <w:jc w:val="center"/>
            </w:pPr>
            <w:r>
              <w:rPr>
                <w:sz w:val="17"/>
                <w:szCs w:val="17"/>
              </w:rPr>
              <w:t xml:space="preserve">–</w:t>
            </w:r>
          </w:p>
        </w:tc>
        <w:tc>
          <w:tcPr>
            <w:tcW w:type="dxa" w:w="2738"/>
            <w:vAlign w:val="center"/>
          </w:tcPr>
          <w:p>
            <w:pPr>
              <w:spacing w:after="30" w:before="30" w:line="230"/>
              <w:jc w:val="right"/>
            </w:pPr>
            <w:r>
              <w:rPr>
                <w:sz w:val="17"/>
                <w:szCs w:val="17"/>
              </w:rPr>
              <w:t xml:space="preserve">5.378 kWh</w:t>
            </w:r>
          </w:p>
        </w:tc>
      </w:tr>
      <w:tr>
        <w:trPr>
          <w:cantSplit/>
        </w:trPr>
        <w:tc>
          <w:tcPr>
            <w:tcW w:type="dxa" w:w="600"/>
            <w:shd w:fill="F2F5FA" w:color="auto" w:val="clear"/>
            <w:vAlign w:val="center"/>
          </w:tcPr>
          <w:p>
            <w:pPr>
              <w:spacing w:after="30" w:before="30" w:line="230"/>
              <w:jc w:val="center"/>
            </w:pPr>
            <w:r>
              <w:rPr>
                <w:sz w:val="17"/>
                <w:szCs w:val="17"/>
              </w:rPr>
              <w:t xml:space="preserve">4</w:t>
            </w:r>
          </w:p>
        </w:tc>
        <w:tc>
          <w:tcPr>
            <w:tcW w:type="dxa" w:w="5100"/>
            <w:shd w:fill="F2F5FA" w:color="auto" w:val="clear"/>
            <w:vAlign w:val="center"/>
          </w:tcPr>
          <w:p>
            <w:pPr>
              <w:spacing w:after="30" w:before="30" w:line="230"/>
              <w:jc w:val="left"/>
            </w:pPr>
            <w:r>
              <w:rPr>
                <w:sz w:val="17"/>
                <w:szCs w:val="17"/>
              </w:rPr>
              <w:t xml:space="preserve">vermiedener Netzbezug: 26.962 kWh × 30,00 ct/kWh</w:t>
            </w:r>
          </w:p>
        </w:tc>
        <w:tc>
          <w:tcPr>
            <w:tcW w:type="dxa" w:w="1200"/>
            <w:shd w:fill="F2F5FA" w:color="auto" w:val="clear"/>
            <w:vAlign w:val="center"/>
          </w:tcPr>
          <w:p>
            <w:pPr>
              <w:spacing w:after="30" w:before="30" w:line="230"/>
              <w:jc w:val="center"/>
            </w:pPr>
            <w:r>
              <w:rPr>
                <w:b/>
                <w:bCs/>
                <w:sz w:val="17"/>
                <w:szCs w:val="17"/>
              </w:rPr>
              <w:t xml:space="preserve">E6</w:t>
            </w:r>
          </w:p>
        </w:tc>
        <w:tc>
          <w:tcPr>
            <w:tcW w:type="dxa" w:w="2738"/>
            <w:shd w:fill="F2F5FA" w:color="auto" w:val="clear"/>
            <w:vAlign w:val="center"/>
          </w:tcPr>
          <w:p>
            <w:pPr>
              <w:spacing w:after="30" w:before="30" w:line="230"/>
              <w:jc w:val="right"/>
            </w:pPr>
            <w:r>
              <w:rPr>
                <w:b/>
                <w:bCs/>
                <w:sz w:val="17"/>
                <w:szCs w:val="17"/>
              </w:rPr>
              <w:t xml:space="preserve">+ 8.088,60 €</w:t>
            </w:r>
          </w:p>
        </w:tc>
      </w:tr>
      <w:tr>
        <w:trPr>
          <w:cantSplit/>
        </w:trPr>
        <w:tc>
          <w:tcPr>
            <w:tcW w:type="dxa" w:w="600"/>
            <w:vAlign w:val="center"/>
          </w:tcPr>
          <w:p>
            <w:pPr>
              <w:spacing w:after="30" w:before="30" w:line="230"/>
              <w:jc w:val="center"/>
            </w:pPr>
            <w:r>
              <w:rPr>
                <w:sz w:val="17"/>
                <w:szCs w:val="17"/>
              </w:rPr>
              <w:t xml:space="preserve">5</w:t>
            </w:r>
          </w:p>
        </w:tc>
        <w:tc>
          <w:tcPr>
            <w:tcW w:type="dxa" w:w="5100"/>
            <w:vAlign w:val="center"/>
          </w:tcPr>
          <w:p>
            <w:pPr>
              <w:spacing w:after="30" w:before="30" w:line="230"/>
              <w:jc w:val="left"/>
            </w:pPr>
            <w:r>
              <w:rPr>
                <w:sz w:val="17"/>
                <w:szCs w:val="17"/>
              </w:rPr>
              <w:t xml:space="preserve">EEG-Einspeisevergütung: 5.378 kWh × 7,47 ct/kWh</w:t>
            </w:r>
          </w:p>
        </w:tc>
        <w:tc>
          <w:tcPr>
            <w:tcW w:type="dxa" w:w="1200"/>
            <w:vAlign w:val="center"/>
          </w:tcPr>
          <w:p>
            <w:pPr>
              <w:spacing w:after="30" w:before="30" w:line="230"/>
              <w:jc w:val="center"/>
            </w:pPr>
            <w:r>
              <w:rPr>
                <w:b/>
                <w:bCs/>
                <w:sz w:val="17"/>
                <w:szCs w:val="17"/>
              </w:rPr>
              <w:t xml:space="preserve">E1</w:t>
            </w:r>
          </w:p>
        </w:tc>
        <w:tc>
          <w:tcPr>
            <w:tcW w:type="dxa" w:w="2738"/>
            <w:vAlign w:val="center"/>
          </w:tcPr>
          <w:p>
            <w:pPr>
              <w:spacing w:after="30" w:before="30" w:line="230"/>
              <w:jc w:val="right"/>
            </w:pPr>
            <w:r>
              <w:rPr>
                <w:b/>
                <w:bCs/>
                <w:sz w:val="17"/>
                <w:szCs w:val="17"/>
              </w:rPr>
              <w:t xml:space="preserve">+ 401,74 €</w:t>
            </w:r>
          </w:p>
        </w:tc>
      </w:tr>
      <w:tr>
        <w:trPr>
          <w:cantSplit/>
        </w:trPr>
        <w:tc>
          <w:tcPr>
            <w:tcW w:type="dxa" w:w="600"/>
            <w:shd w:fill="F2F5FA" w:color="auto" w:val="clear"/>
            <w:vAlign w:val="center"/>
          </w:tcPr>
          <w:p>
            <w:pPr>
              <w:spacing w:after="30" w:before="30" w:line="230"/>
              <w:jc w:val="center"/>
            </w:pPr>
            <w:r>
              <w:rPr>
                <w:sz w:val="17"/>
                <w:szCs w:val="17"/>
              </w:rPr>
              <w:t xml:space="preserve">6</w:t>
            </w:r>
          </w:p>
        </w:tc>
        <w:tc>
          <w:tcPr>
            <w:tcW w:type="dxa" w:w="5100"/>
            <w:shd w:fill="F2F5FA" w:color="auto" w:val="clear"/>
            <w:vAlign w:val="center"/>
          </w:tcPr>
          <w:p>
            <w:pPr>
              <w:spacing w:after="30" w:before="30" w:line="230"/>
              <w:jc w:val="left"/>
            </w:pPr>
            <w:r>
              <w:rPr>
                <w:sz w:val="17"/>
                <w:szCs w:val="17"/>
              </w:rPr>
              <w:t xml:space="preserve">Betriebskosten: Wartung 540 € (1 % von 54.000 €) + Versicherung 500 € + Verwaltung 1.000 €</w:t>
            </w:r>
          </w:p>
        </w:tc>
        <w:tc>
          <w:tcPr>
            <w:tcW w:type="dxa" w:w="1200"/>
            <w:shd w:fill="F2F5FA" w:color="auto" w:val="clear"/>
            <w:vAlign w:val="center"/>
          </w:tcPr>
          <w:p>
            <w:pPr>
              <w:spacing w:after="30" w:before="30" w:line="230"/>
              <w:jc w:val="center"/>
            </w:pPr>
            <w:r>
              <w:rPr>
                <w:b/>
                <w:bCs/>
                <w:sz w:val="17"/>
                <w:szCs w:val="17"/>
              </w:rPr>
              <w:t xml:space="preserve">A2</w:t>
            </w:r>
          </w:p>
        </w:tc>
        <w:tc>
          <w:tcPr>
            <w:tcW w:type="dxa" w:w="2738"/>
            <w:shd w:fill="F2F5FA" w:color="auto" w:val="clear"/>
            <w:vAlign w:val="center"/>
          </w:tcPr>
          <w:p>
            <w:pPr>
              <w:spacing w:after="30" w:before="30" w:line="230"/>
              <w:jc w:val="right"/>
            </w:pPr>
            <w:r>
              <w:rPr>
                <w:b/>
                <w:bCs/>
                <w:sz w:val="17"/>
                <w:szCs w:val="17"/>
              </w:rPr>
              <w:t xml:space="preserve">− 2.040,00 €</w:t>
            </w:r>
          </w:p>
        </w:tc>
      </w:tr>
      <w:tr>
        <w:trPr>
          <w:cantSplit/>
        </w:trPr>
        <w:tc>
          <w:tcPr>
            <w:tcW w:type="dxa" w:w="600"/>
            <w:vAlign w:val="center"/>
          </w:tcPr>
          <w:p>
            <w:pPr>
              <w:spacing w:after="30" w:before="30" w:line="230"/>
              <w:jc w:val="center"/>
            </w:pPr>
            <w:r>
              <w:rPr>
                <w:sz w:val="17"/>
                <w:szCs w:val="17"/>
              </w:rPr>
              <w:t xml:space="preserve">7</w:t>
            </w:r>
          </w:p>
        </w:tc>
        <w:tc>
          <w:tcPr>
            <w:tcW w:type="dxa" w:w="5100"/>
            <w:vAlign w:val="center"/>
          </w:tcPr>
          <w:p>
            <w:pPr>
              <w:spacing w:after="30" w:before="30" w:line="230"/>
              <w:jc w:val="left"/>
            </w:pPr>
            <w:r>
              <w:rPr>
                <w:b/>
                <w:bCs/>
                <w:sz w:val="17"/>
                <w:szCs w:val="17"/>
              </w:rPr>
              <w:t xml:space="preserve">= Cashflow des Referenzjahres</w:t>
            </w:r>
          </w:p>
        </w:tc>
        <w:tc>
          <w:tcPr>
            <w:tcW w:type="dxa" w:w="1200"/>
            <w:vAlign w:val="center"/>
          </w:tcPr>
          <w:p>
            <w:pPr>
              <w:spacing w:after="30" w:before="30" w:line="230"/>
              <w:jc w:val="center"/>
            </w:pPr>
            <w:r>
              <w:rPr>
                <w:sz w:val="17"/>
                <w:szCs w:val="17"/>
              </w:rPr>
              <w:t xml:space="preserve"/>
            </w:r>
          </w:p>
        </w:tc>
        <w:tc>
          <w:tcPr>
            <w:tcW w:type="dxa" w:w="2738"/>
            <w:vAlign w:val="center"/>
          </w:tcPr>
          <w:p>
            <w:pPr>
              <w:spacing w:after="30" w:before="30" w:line="230"/>
              <w:jc w:val="right"/>
            </w:pPr>
            <w:r>
              <w:rPr>
                <w:b/>
                <w:bCs/>
                <w:sz w:val="17"/>
                <w:szCs w:val="17"/>
              </w:rPr>
              <w:t xml:space="preserve">+ 6.450,34 €</w:t>
            </w:r>
          </w:p>
        </w:tc>
      </w:tr>
      <w:tr>
        <w:trPr>
          <w:cantSplit/>
        </w:trPr>
        <w:tc>
          <w:tcPr>
            <w:tcW w:type="dxa" w:w="600"/>
            <w:shd w:fill="F2F5FA" w:color="auto" w:val="clear"/>
            <w:vAlign w:val="center"/>
          </w:tcPr>
          <w:p>
            <w:pPr>
              <w:spacing w:after="30" w:before="30" w:line="230"/>
              <w:jc w:val="center"/>
            </w:pPr>
            <w:r>
              <w:rPr>
                <w:sz w:val="17"/>
                <w:szCs w:val="17"/>
              </w:rPr>
              <w:t xml:space="preserve">8</w:t>
            </w:r>
          </w:p>
        </w:tc>
        <w:tc>
          <w:tcPr>
            <w:tcW w:type="dxa" w:w="5100"/>
            <w:shd w:fill="F2F5FA" w:color="auto" w:val="clear"/>
            <w:vAlign w:val="center"/>
          </w:tcPr>
          <w:p>
            <w:pPr>
              <w:spacing w:after="30" w:before="30" w:line="230"/>
              <w:jc w:val="left"/>
            </w:pPr>
            <w:r>
              <w:rPr>
                <w:sz w:val="17"/>
                <w:szCs w:val="17"/>
              </w:rPr>
              <w:t xml:space="preserve">Investition in t = 0</w:t>
            </w:r>
          </w:p>
        </w:tc>
        <w:tc>
          <w:tcPr>
            <w:tcW w:type="dxa" w:w="1200"/>
            <w:shd w:fill="F2F5FA" w:color="auto" w:val="clear"/>
            <w:vAlign w:val="center"/>
          </w:tcPr>
          <w:p>
            <w:pPr>
              <w:spacing w:after="30" w:before="30" w:line="230"/>
              <w:jc w:val="center"/>
            </w:pPr>
            <w:r>
              <w:rPr>
                <w:b/>
                <w:bCs/>
                <w:sz w:val="17"/>
                <w:szCs w:val="17"/>
              </w:rPr>
              <w:t xml:space="preserve">A1</w:t>
            </w:r>
          </w:p>
        </w:tc>
        <w:tc>
          <w:tcPr>
            <w:tcW w:type="dxa" w:w="2738"/>
            <w:shd w:fill="F2F5FA" w:color="auto" w:val="clear"/>
            <w:vAlign w:val="center"/>
          </w:tcPr>
          <w:p>
            <w:pPr>
              <w:spacing w:after="30" w:before="30" w:line="230"/>
              <w:jc w:val="right"/>
            </w:pPr>
            <w:r>
              <w:rPr>
                <w:b/>
                <w:bCs/>
                <w:sz w:val="17"/>
                <w:szCs w:val="17"/>
              </w:rPr>
              <w:t xml:space="preserve">− 54.000,00 €</w:t>
            </w:r>
          </w:p>
        </w:tc>
      </w:tr>
    </w:tbl>
    <w:p>
      <w:pPr>
        <w:spacing w:after="100"/>
      </w:pPr>
      <w:r>
        <w:rPr>
          <w:sz w:val="8"/>
          <w:szCs w:val="8"/>
        </w:rPr>
        <w:t xml:space="preserve"/>
      </w:r>
    </w:p>
    <w:p>
      <w:pPr>
        <w:keepNext/>
        <w:spacing w:after="100" w:before="240"/>
      </w:pPr>
      <w:r>
        <w:rPr>
          <w:b/>
          <w:bCs/>
        </w:rPr>
        <w:t xml:space="preserve">Plan „Volleinspeisung“ (PV-Netz-Einspeisung 1)</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600"/>
        <w:gridCol w:w="5100"/>
        <w:gridCol w:w="1200"/>
        <w:gridCol w:w="2738"/>
      </w:tblGrid>
      <w:tr>
        <w:trPr>
          <w:tblHeader/>
        </w:trPr>
        <w:tc>
          <w:tcPr>
            <w:tcW w:type="dxa" w:w="600"/>
            <w:shd w:fill="1F3864" w:color="auto" w:val="clear"/>
            <w:vAlign w:val="center"/>
          </w:tcPr>
          <w:p>
            <w:pPr>
              <w:spacing w:after="30" w:before="30" w:line="230"/>
              <w:jc w:val="center"/>
            </w:pPr>
            <w:r>
              <w:rPr>
                <w:b/>
                <w:bCs/>
                <w:color w:val="FFFFFF"/>
                <w:sz w:val="17"/>
                <w:szCs w:val="17"/>
              </w:rPr>
              <w:t xml:space="preserve">Zeile</w:t>
            </w:r>
          </w:p>
        </w:tc>
        <w:tc>
          <w:tcPr>
            <w:tcW w:type="dxa" w:w="5100"/>
            <w:shd w:fill="1F3864" w:color="auto" w:val="clear"/>
            <w:vAlign w:val="center"/>
          </w:tcPr>
          <w:p>
            <w:pPr>
              <w:spacing w:after="30" w:before="30" w:line="230"/>
              <w:jc w:val="left"/>
            </w:pPr>
            <w:r>
              <w:rPr>
                <w:b/>
                <w:bCs/>
                <w:color w:val="FFFFFF"/>
                <w:sz w:val="17"/>
                <w:szCs w:val="17"/>
              </w:rPr>
              <w:t xml:space="preserve">Rechenschritt</w:t>
            </w:r>
          </w:p>
        </w:tc>
        <w:tc>
          <w:tcPr>
            <w:tcW w:type="dxa" w:w="1200"/>
            <w:shd w:fill="1F3864" w:color="auto" w:val="clear"/>
            <w:vAlign w:val="center"/>
          </w:tcPr>
          <w:p>
            <w:pPr>
              <w:spacing w:after="30" w:before="30" w:line="230"/>
              <w:jc w:val="center"/>
            </w:pPr>
            <w:r>
              <w:rPr>
                <w:b/>
                <w:bCs/>
                <w:color w:val="FFFFFF"/>
                <w:sz w:val="17"/>
                <w:szCs w:val="17"/>
              </w:rPr>
              <w:t xml:space="preserve">Baustein</w:t>
            </w:r>
          </w:p>
        </w:tc>
        <w:tc>
          <w:tcPr>
            <w:tcW w:type="dxa" w:w="2738"/>
            <w:shd w:fill="1F3864" w:color="auto" w:val="clear"/>
            <w:vAlign w:val="center"/>
          </w:tcPr>
          <w:p>
            <w:pPr>
              <w:spacing w:after="30" w:before="30" w:line="230"/>
              <w:jc w:val="left"/>
            </w:pPr>
            <w:r>
              <w:rPr>
                <w:b/>
                <w:bCs/>
                <w:color w:val="FFFFFF"/>
                <w:sz w:val="17"/>
                <w:szCs w:val="17"/>
              </w:rPr>
              <w:t xml:space="preserve">Wert</w:t>
            </w:r>
          </w:p>
        </w:tc>
      </w:tr>
      <w:tr>
        <w:trPr>
          <w:cantSplit/>
        </w:trPr>
        <w:tc>
          <w:tcPr>
            <w:tcW w:type="dxa" w:w="600"/>
            <w:vAlign w:val="center"/>
          </w:tcPr>
          <w:p>
            <w:pPr>
              <w:spacing w:after="30" w:before="30" w:line="230"/>
              <w:jc w:val="center"/>
            </w:pPr>
            <w:r>
              <w:rPr>
                <w:sz w:val="17"/>
                <w:szCs w:val="17"/>
              </w:rPr>
              <w:t xml:space="preserve">1</w:t>
            </w:r>
          </w:p>
        </w:tc>
        <w:tc>
          <w:tcPr>
            <w:tcW w:type="dxa" w:w="5100"/>
            <w:vAlign w:val="center"/>
          </w:tcPr>
          <w:p>
            <w:pPr>
              <w:spacing w:after="30" w:before="30" w:line="230"/>
              <w:jc w:val="left"/>
            </w:pPr>
            <w:r>
              <w:rPr>
                <w:sz w:val="17"/>
                <w:szCs w:val="17"/>
              </w:rPr>
              <w:t xml:space="preserve">Erzeugung: 30,00 kWp × 1.078 kWh/kWp</w:t>
            </w:r>
          </w:p>
        </w:tc>
        <w:tc>
          <w:tcPr>
            <w:tcW w:type="dxa" w:w="1200"/>
            <w:vAlign w:val="center"/>
          </w:tcPr>
          <w:p>
            <w:pPr>
              <w:spacing w:after="30" w:before="30" w:line="230"/>
              <w:jc w:val="center"/>
            </w:pPr>
            <w:r>
              <w:rPr>
                <w:sz w:val="17"/>
                <w:szCs w:val="17"/>
              </w:rPr>
              <w:t xml:space="preserve">–</w:t>
            </w:r>
          </w:p>
        </w:tc>
        <w:tc>
          <w:tcPr>
            <w:tcW w:type="dxa" w:w="2738"/>
            <w:vAlign w:val="center"/>
          </w:tcPr>
          <w:p>
            <w:pPr>
              <w:spacing w:after="30" w:before="30" w:line="230"/>
              <w:jc w:val="right"/>
            </w:pPr>
            <w:r>
              <w:rPr>
                <w:sz w:val="17"/>
                <w:szCs w:val="17"/>
              </w:rPr>
              <w:t xml:space="preserve">32.340 kWh</w:t>
            </w:r>
          </w:p>
        </w:tc>
      </w:tr>
      <w:tr>
        <w:trPr>
          <w:cantSplit/>
        </w:trPr>
        <w:tc>
          <w:tcPr>
            <w:tcW w:type="dxa" w:w="600"/>
            <w:shd w:fill="F2F5FA" w:color="auto" w:val="clear"/>
            <w:vAlign w:val="center"/>
          </w:tcPr>
          <w:p>
            <w:pPr>
              <w:spacing w:after="30" w:before="30" w:line="230"/>
              <w:jc w:val="center"/>
            </w:pPr>
            <w:r>
              <w:rPr>
                <w:sz w:val="17"/>
                <w:szCs w:val="17"/>
              </w:rPr>
              <w:t xml:space="preserve">2</w:t>
            </w:r>
          </w:p>
        </w:tc>
        <w:tc>
          <w:tcPr>
            <w:tcW w:type="dxa" w:w="5100"/>
            <w:shd w:fill="F2F5FA" w:color="auto" w:val="clear"/>
            <w:vAlign w:val="center"/>
          </w:tcPr>
          <w:p>
            <w:pPr>
              <w:spacing w:after="30" w:before="30" w:line="230"/>
              <w:jc w:val="left"/>
            </w:pPr>
            <w:r>
              <w:rPr>
                <w:sz w:val="17"/>
                <w:szCs w:val="17"/>
              </w:rPr>
              <w:t xml:space="preserve">davon EEG-vergütete Netzeinspeisung (100 %)</w:t>
            </w:r>
          </w:p>
        </w:tc>
        <w:tc>
          <w:tcPr>
            <w:tcW w:type="dxa" w:w="1200"/>
            <w:shd w:fill="F2F5FA" w:color="auto" w:val="clear"/>
            <w:vAlign w:val="center"/>
          </w:tcPr>
          <w:p>
            <w:pPr>
              <w:spacing w:after="30" w:before="30" w:line="230"/>
              <w:jc w:val="center"/>
            </w:pPr>
            <w:r>
              <w:rPr>
                <w:sz w:val="17"/>
                <w:szCs w:val="17"/>
              </w:rPr>
              <w:t xml:space="preserve">–</w:t>
            </w:r>
          </w:p>
        </w:tc>
        <w:tc>
          <w:tcPr>
            <w:tcW w:type="dxa" w:w="2738"/>
            <w:shd w:fill="F2F5FA" w:color="auto" w:val="clear"/>
            <w:vAlign w:val="center"/>
          </w:tcPr>
          <w:p>
            <w:pPr>
              <w:spacing w:after="30" w:before="30" w:line="230"/>
              <w:jc w:val="right"/>
            </w:pPr>
            <w:r>
              <w:rPr>
                <w:sz w:val="17"/>
                <w:szCs w:val="17"/>
              </w:rPr>
              <w:t xml:space="preserve">32.340 kWh</w:t>
            </w:r>
          </w:p>
        </w:tc>
      </w:tr>
      <w:tr>
        <w:trPr>
          <w:cantSplit/>
        </w:trPr>
        <w:tc>
          <w:tcPr>
            <w:tcW w:type="dxa" w:w="600"/>
            <w:vAlign w:val="center"/>
          </w:tcPr>
          <w:p>
            <w:pPr>
              <w:spacing w:after="30" w:before="30" w:line="230"/>
              <w:jc w:val="center"/>
            </w:pPr>
            <w:r>
              <w:rPr>
                <w:sz w:val="17"/>
                <w:szCs w:val="17"/>
              </w:rPr>
              <w:t xml:space="preserve">3</w:t>
            </w:r>
          </w:p>
        </w:tc>
        <w:tc>
          <w:tcPr>
            <w:tcW w:type="dxa" w:w="5100"/>
            <w:vAlign w:val="center"/>
          </w:tcPr>
          <w:p>
            <w:pPr>
              <w:spacing w:after="30" w:before="30" w:line="230"/>
              <w:jc w:val="left"/>
            </w:pPr>
            <w:r>
              <w:rPr>
                <w:sz w:val="17"/>
                <w:szCs w:val="17"/>
              </w:rPr>
              <w:t xml:space="preserve">EEG-Volleinspeisevergütung: 32.340 kWh × 11,60 ct/kWh (= 7,47 + 4,13 Zuschlag § 48 Abs. 2a)</w:t>
            </w:r>
          </w:p>
        </w:tc>
        <w:tc>
          <w:tcPr>
            <w:tcW w:type="dxa" w:w="1200"/>
            <w:vAlign w:val="center"/>
          </w:tcPr>
          <w:p>
            <w:pPr>
              <w:spacing w:after="30" w:before="30" w:line="230"/>
              <w:jc w:val="center"/>
            </w:pPr>
            <w:r>
              <w:rPr>
                <w:b/>
                <w:bCs/>
                <w:sz w:val="17"/>
                <w:szCs w:val="17"/>
              </w:rPr>
              <w:t xml:space="preserve">E1</w:t>
            </w:r>
          </w:p>
        </w:tc>
        <w:tc>
          <w:tcPr>
            <w:tcW w:type="dxa" w:w="2738"/>
            <w:vAlign w:val="center"/>
          </w:tcPr>
          <w:p>
            <w:pPr>
              <w:spacing w:after="30" w:before="30" w:line="230"/>
              <w:jc w:val="right"/>
            </w:pPr>
            <w:r>
              <w:rPr>
                <w:b/>
                <w:bCs/>
                <w:sz w:val="17"/>
                <w:szCs w:val="17"/>
              </w:rPr>
              <w:t xml:space="preserve">+ 3.751,44 €</w:t>
            </w:r>
          </w:p>
        </w:tc>
      </w:tr>
      <w:tr>
        <w:trPr>
          <w:cantSplit/>
        </w:trPr>
        <w:tc>
          <w:tcPr>
            <w:tcW w:type="dxa" w:w="600"/>
            <w:shd w:fill="F2F5FA" w:color="auto" w:val="clear"/>
            <w:vAlign w:val="center"/>
          </w:tcPr>
          <w:p>
            <w:pPr>
              <w:spacing w:after="30" w:before="30" w:line="230"/>
              <w:jc w:val="center"/>
            </w:pPr>
            <w:r>
              <w:rPr>
                <w:sz w:val="17"/>
                <w:szCs w:val="17"/>
              </w:rPr>
              <w:t xml:space="preserve">4</w:t>
            </w:r>
          </w:p>
        </w:tc>
        <w:tc>
          <w:tcPr>
            <w:tcW w:type="dxa" w:w="5100"/>
            <w:shd w:fill="F2F5FA" w:color="auto" w:val="clear"/>
            <w:vAlign w:val="center"/>
          </w:tcPr>
          <w:p>
            <w:pPr>
              <w:spacing w:after="30" w:before="30" w:line="230"/>
              <w:jc w:val="left"/>
            </w:pPr>
            <w:r>
              <w:rPr>
                <w:sz w:val="17"/>
                <w:szCs w:val="17"/>
              </w:rPr>
              <w:t xml:space="preserve">Betriebskosten: Messung 100 € + Versicherung 500 € + Verwaltung 1.000 €</w:t>
            </w:r>
          </w:p>
        </w:tc>
        <w:tc>
          <w:tcPr>
            <w:tcW w:type="dxa" w:w="1200"/>
            <w:shd w:fill="F2F5FA" w:color="auto" w:val="clear"/>
            <w:vAlign w:val="center"/>
          </w:tcPr>
          <w:p>
            <w:pPr>
              <w:spacing w:after="30" w:before="30" w:line="230"/>
              <w:jc w:val="center"/>
            </w:pPr>
            <w:r>
              <w:rPr>
                <w:b/>
                <w:bCs/>
                <w:sz w:val="17"/>
                <w:szCs w:val="17"/>
              </w:rPr>
              <w:t xml:space="preserve">A2</w:t>
            </w:r>
          </w:p>
        </w:tc>
        <w:tc>
          <w:tcPr>
            <w:tcW w:type="dxa" w:w="2738"/>
            <w:shd w:fill="F2F5FA" w:color="auto" w:val="clear"/>
            <w:vAlign w:val="center"/>
          </w:tcPr>
          <w:p>
            <w:pPr>
              <w:spacing w:after="30" w:before="30" w:line="230"/>
              <w:jc w:val="right"/>
            </w:pPr>
            <w:r>
              <w:rPr>
                <w:b/>
                <w:bCs/>
                <w:sz w:val="17"/>
                <w:szCs w:val="17"/>
              </w:rPr>
              <w:t xml:space="preserve">− 1.600,00 €</w:t>
            </w:r>
          </w:p>
        </w:tc>
      </w:tr>
      <w:tr>
        <w:trPr>
          <w:cantSplit/>
        </w:trPr>
        <w:tc>
          <w:tcPr>
            <w:tcW w:type="dxa" w:w="600"/>
            <w:vAlign w:val="center"/>
          </w:tcPr>
          <w:p>
            <w:pPr>
              <w:spacing w:after="30" w:before="30" w:line="230"/>
              <w:jc w:val="center"/>
            </w:pPr>
            <w:r>
              <w:rPr>
                <w:sz w:val="17"/>
                <w:szCs w:val="17"/>
              </w:rPr>
              <w:t xml:space="preserve">5</w:t>
            </w:r>
          </w:p>
        </w:tc>
        <w:tc>
          <w:tcPr>
            <w:tcW w:type="dxa" w:w="5100"/>
            <w:vAlign w:val="center"/>
          </w:tcPr>
          <w:p>
            <w:pPr>
              <w:spacing w:after="30" w:before="30" w:line="230"/>
              <w:jc w:val="left"/>
            </w:pPr>
            <w:r>
              <w:rPr>
                <w:b/>
                <w:bCs/>
                <w:sz w:val="17"/>
                <w:szCs w:val="17"/>
              </w:rPr>
              <w:t xml:space="preserve">= Cashflow des Referenzjahres</w:t>
            </w:r>
          </w:p>
        </w:tc>
        <w:tc>
          <w:tcPr>
            <w:tcW w:type="dxa" w:w="1200"/>
            <w:vAlign w:val="center"/>
          </w:tcPr>
          <w:p>
            <w:pPr>
              <w:spacing w:after="30" w:before="30" w:line="230"/>
              <w:jc w:val="center"/>
            </w:pPr>
            <w:r>
              <w:rPr>
                <w:sz w:val="17"/>
                <w:szCs w:val="17"/>
              </w:rPr>
              <w:t xml:space="preserve"/>
            </w:r>
          </w:p>
        </w:tc>
        <w:tc>
          <w:tcPr>
            <w:tcW w:type="dxa" w:w="2738"/>
            <w:vAlign w:val="center"/>
          </w:tcPr>
          <w:p>
            <w:pPr>
              <w:spacing w:after="30" w:before="30" w:line="230"/>
              <w:jc w:val="right"/>
            </w:pPr>
            <w:r>
              <w:rPr>
                <w:b/>
                <w:bCs/>
                <w:sz w:val="17"/>
                <w:szCs w:val="17"/>
              </w:rPr>
              <w:t xml:space="preserve">+ 2.151,44 €</w:t>
            </w:r>
          </w:p>
        </w:tc>
      </w:tr>
      <w:tr>
        <w:trPr>
          <w:cantSplit/>
        </w:trPr>
        <w:tc>
          <w:tcPr>
            <w:tcW w:type="dxa" w:w="600"/>
            <w:shd w:fill="F2F5FA" w:color="auto" w:val="clear"/>
            <w:vAlign w:val="center"/>
          </w:tcPr>
          <w:p>
            <w:pPr>
              <w:spacing w:after="30" w:before="30" w:line="230"/>
              <w:jc w:val="center"/>
            </w:pPr>
            <w:r>
              <w:rPr>
                <w:sz w:val="17"/>
                <w:szCs w:val="17"/>
              </w:rPr>
              <w:t xml:space="preserve">6</w:t>
            </w:r>
          </w:p>
        </w:tc>
        <w:tc>
          <w:tcPr>
            <w:tcW w:type="dxa" w:w="5100"/>
            <w:shd w:fill="F2F5FA" w:color="auto" w:val="clear"/>
            <w:vAlign w:val="center"/>
          </w:tcPr>
          <w:p>
            <w:pPr>
              <w:spacing w:after="30" w:before="30" w:line="230"/>
              <w:jc w:val="left"/>
            </w:pPr>
            <w:r>
              <w:rPr>
                <w:sz w:val="17"/>
                <w:szCs w:val="17"/>
              </w:rPr>
              <w:t xml:space="preserve">Investition in t = 0</w:t>
            </w:r>
          </w:p>
        </w:tc>
        <w:tc>
          <w:tcPr>
            <w:tcW w:type="dxa" w:w="1200"/>
            <w:shd w:fill="F2F5FA" w:color="auto" w:val="clear"/>
            <w:vAlign w:val="center"/>
          </w:tcPr>
          <w:p>
            <w:pPr>
              <w:spacing w:after="30" w:before="30" w:line="230"/>
              <w:jc w:val="center"/>
            </w:pPr>
            <w:r>
              <w:rPr>
                <w:b/>
                <w:bCs/>
                <w:sz w:val="17"/>
                <w:szCs w:val="17"/>
              </w:rPr>
              <w:t xml:space="preserve">A1</w:t>
            </w:r>
          </w:p>
        </w:tc>
        <w:tc>
          <w:tcPr>
            <w:tcW w:type="dxa" w:w="2738"/>
            <w:shd w:fill="F2F5FA" w:color="auto" w:val="clear"/>
            <w:vAlign w:val="center"/>
          </w:tcPr>
          <w:p>
            <w:pPr>
              <w:spacing w:after="30" w:before="30" w:line="230"/>
              <w:jc w:val="right"/>
            </w:pPr>
            <w:r>
              <w:rPr>
                <w:b/>
                <w:bCs/>
                <w:sz w:val="17"/>
                <w:szCs w:val="17"/>
              </w:rPr>
              <w:t xml:space="preserve">− 54.000,00 €</w:t>
            </w:r>
          </w:p>
        </w:tc>
      </w:tr>
    </w:tbl>
    <w:p>
      <w:pPr>
        <w:spacing w:after="100"/>
      </w:pPr>
      <w:r>
        <w:rPr>
          <w:sz w:val="8"/>
          <w:szCs w:val="8"/>
        </w:rPr>
        <w:t xml:space="preserve"/>
      </w:r>
    </w:p>
    <w:p>
      <w:r>
        <w:t xml:space="preserve">Der Vergleich der Zeile 7 gegen Zeile 5 enthält bereits das gesamte Ergebnis des Fallbeispiels: </w:t>
      </w:r>
      <w:r>
        <w:rPr>
          <w:b/>
          <w:bCs/>
        </w:rPr>
        <w:t xml:space="preserve">6.450 € gegenüber 2.151 € pro Jahr, also das Dreifache – bei identischer Anlage und identischer Investition.</w:t>
      </w:r>
      <w:r>
        <w:t xml:space="preserve"> Der Unterschied ist ein einziger Baustein, E6.</w:t>
      </w:r>
    </w:p>
    <w:p>
      <w:pPr>
        <w:pStyle w:val="Heading3"/>
      </w:pPr>
      <w:bookmarkStart w:id="900032" w:name="_Toc90000032"/>
      <w:r>
        <w:t xml:space="preserve">K3.3  Fortschreibungsregeln</w:t>
      </w:r>
      <w:bookmarkEnd w:id="900032"/>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300"/>
        <w:gridCol w:w="7338"/>
      </w:tblGrid>
      <w:tr>
        <w:trPr>
          <w:tblHeader/>
        </w:trPr>
        <w:tc>
          <w:tcPr>
            <w:tcW w:type="dxa" w:w="2300"/>
            <w:shd w:fill="1F3864" w:color="auto" w:val="clear"/>
            <w:vAlign w:val="center"/>
          </w:tcPr>
          <w:p>
            <w:pPr>
              <w:spacing w:after="30" w:before="30" w:line="230"/>
              <w:jc w:val="left"/>
            </w:pPr>
            <w:r>
              <w:rPr>
                <w:b/>
                <w:bCs/>
                <w:color w:val="FFFFFF"/>
                <w:sz w:val="17"/>
                <w:szCs w:val="17"/>
              </w:rPr>
              <w:t xml:space="preserve">Regel</w:t>
            </w:r>
          </w:p>
        </w:tc>
        <w:tc>
          <w:tcPr>
            <w:tcW w:type="dxa" w:w="7338"/>
            <w:shd w:fill="1F3864" w:color="auto" w:val="clear"/>
            <w:vAlign w:val="center"/>
          </w:tcPr>
          <w:p>
            <w:pPr>
              <w:spacing w:after="30" w:before="30" w:line="230"/>
              <w:jc w:val="left"/>
            </w:pPr>
            <w:r>
              <w:rPr>
                <w:b/>
                <w:bCs/>
                <w:color w:val="FFFFFF"/>
                <w:sz w:val="17"/>
                <w:szCs w:val="17"/>
              </w:rPr>
              <w:t xml:space="preserve">Wirkung</w:t>
            </w:r>
          </w:p>
        </w:tc>
      </w:tr>
      <w:tr>
        <w:trPr>
          <w:cantSplit/>
        </w:trPr>
        <w:tc>
          <w:tcPr>
            <w:tcW w:type="dxa" w:w="2300"/>
            <w:vAlign w:val="center"/>
          </w:tcPr>
          <w:p>
            <w:pPr>
              <w:spacing w:after="30" w:before="30" w:line="230"/>
              <w:jc w:val="left"/>
            </w:pPr>
            <w:r>
              <w:rPr>
                <w:b/>
                <w:bCs/>
                <w:sz w:val="17"/>
                <w:szCs w:val="17"/>
              </w:rPr>
              <w:t xml:space="preserve">Leistungsminderung</w:t>
            </w:r>
          </w:p>
        </w:tc>
        <w:tc>
          <w:tcPr>
            <w:tcW w:type="dxa" w:w="7338"/>
            <w:vAlign w:val="center"/>
          </w:tcPr>
          <w:p>
            <w:pPr>
              <w:spacing w:after="30" w:before="30" w:line="230"/>
              <w:jc w:val="left"/>
            </w:pPr>
            <w:r>
              <w:rPr>
                <w:sz w:val="17"/>
                <w:szCs w:val="17"/>
              </w:rPr>
              <w:t xml:space="preserve">Faktor(Kalenderjahr y) = 1 − 5,00 % × y/20 mit y = 0 für 2023; also 2023 = 100,00 %, 2024 = 99,75 %, …, 2043 = 95,00 %. Wirkt auf </w:t>
            </w:r>
            <w:r>
              <w:rPr>
                <w:b/>
                <w:bCs/>
                <w:sz w:val="17"/>
                <w:szCs w:val="17"/>
              </w:rPr>
              <w:t xml:space="preserve">alle</w:t>
            </w:r>
            <w:r>
              <w:rPr>
                <w:sz w:val="17"/>
                <w:szCs w:val="17"/>
              </w:rPr>
              <w:t xml:space="preserve"> Mengen gleichermaßen</w:t>
            </w:r>
          </w:p>
        </w:tc>
      </w:tr>
      <w:tr>
        <w:trPr>
          <w:cantSplit/>
        </w:trPr>
        <w:tc>
          <w:tcPr>
            <w:tcW w:type="dxa" w:w="2300"/>
            <w:shd w:fill="F2F5FA" w:color="auto" w:val="clear"/>
            <w:vAlign w:val="center"/>
          </w:tcPr>
          <w:p>
            <w:pPr>
              <w:spacing w:after="30" w:before="30" w:line="230"/>
              <w:jc w:val="left"/>
            </w:pPr>
            <w:r>
              <w:rPr>
                <w:b/>
                <w:bCs/>
                <w:sz w:val="17"/>
                <w:szCs w:val="17"/>
              </w:rPr>
              <w:t xml:space="preserve">Rumpfjahr 2023</w:t>
            </w:r>
          </w:p>
        </w:tc>
        <w:tc>
          <w:tcPr>
            <w:tcW w:type="dxa" w:w="7338"/>
            <w:shd w:fill="F2F5FA" w:color="auto" w:val="clear"/>
            <w:vAlign w:val="center"/>
          </w:tcPr>
          <w:p>
            <w:pPr>
              <w:spacing w:after="30" w:before="30" w:line="230"/>
              <w:jc w:val="left"/>
            </w:pPr>
            <w:r>
              <w:rPr>
                <w:sz w:val="17"/>
                <w:szCs w:val="17"/>
              </w:rPr>
              <w:t xml:space="preserve">Ertrag = 92,07 % eines vollen Jahres (Monate März–Dezember), Betriebskosten = 10/12 = 83,33 %</w:t>
            </w:r>
          </w:p>
        </w:tc>
      </w:tr>
      <w:tr>
        <w:trPr>
          <w:cantSplit/>
        </w:trPr>
        <w:tc>
          <w:tcPr>
            <w:tcW w:type="dxa" w:w="2300"/>
            <w:vAlign w:val="center"/>
          </w:tcPr>
          <w:p>
            <w:pPr>
              <w:spacing w:after="30" w:before="30" w:line="230"/>
              <w:jc w:val="left"/>
            </w:pPr>
            <w:r>
              <w:rPr>
                <w:b/>
                <w:bCs/>
                <w:sz w:val="17"/>
                <w:szCs w:val="17"/>
              </w:rPr>
              <w:t xml:space="preserve">EEG-Sätze</w:t>
            </w:r>
          </w:p>
        </w:tc>
        <w:tc>
          <w:tcPr>
            <w:tcW w:type="dxa" w:w="7338"/>
            <w:vAlign w:val="center"/>
          </w:tcPr>
          <w:p>
            <w:pPr>
              <w:spacing w:after="30" w:before="30" w:line="230"/>
              <w:jc w:val="left"/>
            </w:pPr>
            <w:r>
              <w:rPr>
                <w:sz w:val="17"/>
                <w:szCs w:val="17"/>
              </w:rPr>
              <w:t xml:space="preserve">konstant über die gesamten 250 Monate (20 Jahre zuzüglich der Inbetriebnahmemonate) – keine Indexierung, keine Degression innerhalb der Laufzeit</w:t>
            </w:r>
          </w:p>
        </w:tc>
      </w:tr>
      <w:tr>
        <w:trPr>
          <w:cantSplit/>
        </w:trPr>
        <w:tc>
          <w:tcPr>
            <w:tcW w:type="dxa" w:w="2300"/>
            <w:shd w:fill="F2F5FA" w:color="auto" w:val="clear"/>
            <w:vAlign w:val="center"/>
          </w:tcPr>
          <w:p>
            <w:pPr>
              <w:spacing w:after="30" w:before="30" w:line="230"/>
              <w:jc w:val="left"/>
            </w:pPr>
            <w:r>
              <w:rPr>
                <w:b/>
                <w:bCs/>
                <w:sz w:val="17"/>
                <w:szCs w:val="17"/>
              </w:rPr>
              <w:t xml:space="preserve">Netzstrompreis</w:t>
            </w:r>
          </w:p>
        </w:tc>
        <w:tc>
          <w:tcPr>
            <w:tcW w:type="dxa" w:w="7338"/>
            <w:shd w:fill="F2F5FA" w:color="auto" w:val="clear"/>
            <w:vAlign w:val="center"/>
          </w:tcPr>
          <w:p>
            <w:pPr>
              <w:spacing w:after="30" w:before="30" w:line="230"/>
              <w:jc w:val="left"/>
            </w:pPr>
            <w:r>
              <w:rPr>
                <w:sz w:val="17"/>
                <w:szCs w:val="17"/>
              </w:rPr>
              <w:t xml:space="preserve">30,00 ct/kWh in 2023, danach + 4,00 % zu jedem Kalenderjahreswechsel: 2033 = 44,41 ct, 2043 = </w:t>
            </w:r>
            <w:r>
              <w:rPr>
                <w:b/>
                <w:bCs/>
                <w:sz w:val="17"/>
                <w:szCs w:val="17"/>
              </w:rPr>
              <w:t xml:space="preserve">65,73 ct</w:t>
            </w:r>
            <w:r>
              <w:rPr>
                <w:sz w:val="17"/>
                <w:szCs w:val="17"/>
              </w:rPr>
              <w:t xml:space="preserve">; Laufzeitmittel </w:t>
            </w:r>
            <w:r>
              <w:rPr>
                <w:b/>
                <w:bCs/>
                <w:sz w:val="17"/>
                <w:szCs w:val="17"/>
              </w:rPr>
              <w:t xml:space="preserve">45,80 ct/kWh</w:t>
            </w:r>
            <w:r>
              <w:rPr>
                <w:sz w:val="17"/>
                <w:szCs w:val="17"/>
              </w:rPr>
              <w:t xml:space="preserve"> (Tool: 45,83)</w:t>
            </w:r>
          </w:p>
        </w:tc>
      </w:tr>
      <w:tr>
        <w:trPr>
          <w:cantSplit/>
        </w:trPr>
        <w:tc>
          <w:tcPr>
            <w:tcW w:type="dxa" w:w="2300"/>
            <w:vAlign w:val="center"/>
          </w:tcPr>
          <w:p>
            <w:pPr>
              <w:spacing w:after="30" w:before="30" w:line="230"/>
              <w:jc w:val="left"/>
            </w:pPr>
            <w:r>
              <w:rPr>
                <w:b/>
                <w:bCs/>
                <w:sz w:val="17"/>
                <w:szCs w:val="17"/>
              </w:rPr>
              <w:t xml:space="preserve">Betriebskosten</w:t>
            </w:r>
          </w:p>
        </w:tc>
        <w:tc>
          <w:tcPr>
            <w:tcW w:type="dxa" w:w="7338"/>
            <w:vAlign w:val="center"/>
          </w:tcPr>
          <w:p>
            <w:pPr>
              <w:spacing w:after="30" w:before="30" w:line="230"/>
              <w:jc w:val="left"/>
            </w:pPr>
            <w:r>
              <w:rPr>
                <w:sz w:val="17"/>
                <w:szCs w:val="17"/>
              </w:rPr>
              <w:t xml:space="preserve">konstant, keine Steigerungsrate hinterlegt</w:t>
            </w:r>
          </w:p>
        </w:tc>
      </w:tr>
      <w:tr>
        <w:trPr>
          <w:cantSplit/>
        </w:trPr>
        <w:tc>
          <w:tcPr>
            <w:tcW w:type="dxa" w:w="2300"/>
            <w:shd w:fill="F2F5FA" w:color="auto" w:val="clear"/>
            <w:vAlign w:val="center"/>
          </w:tcPr>
          <w:p>
            <w:pPr>
              <w:spacing w:after="30" w:before="30" w:line="230"/>
              <w:jc w:val="left"/>
            </w:pPr>
            <w:r>
              <w:rPr>
                <w:b/>
                <w:bCs/>
                <w:sz w:val="17"/>
                <w:szCs w:val="17"/>
              </w:rPr>
              <w:t xml:space="preserve">Steuern und Kapitaldienst</w:t>
            </w:r>
          </w:p>
        </w:tc>
        <w:tc>
          <w:tcPr>
            <w:tcW w:type="dxa" w:w="7338"/>
            <w:shd w:fill="F2F5FA" w:color="auto" w:val="clear"/>
            <w:vAlign w:val="center"/>
          </w:tcPr>
          <w:p>
            <w:pPr>
              <w:spacing w:after="30" w:before="30" w:line="230"/>
              <w:jc w:val="left"/>
            </w:pPr>
            <w:r>
              <w:rPr>
                <w:sz w:val="17"/>
                <w:szCs w:val="17"/>
              </w:rPr>
              <w:t xml:space="preserve">ohne Wirkung: kein Ertragsteuereinbezug, keine Abschreibung, 100 % Eigenkapital, kein Rückbau, kein Restwert (C1)</w:t>
            </w:r>
          </w:p>
        </w:tc>
      </w:tr>
    </w:tbl>
    <w:p>
      <w:pPr>
        <w:spacing w:after="100"/>
      </w:pPr>
      <w:r>
        <w:rPr>
          <w:sz w:val="8"/>
          <w:szCs w:val="8"/>
        </w:rPr>
        <w:t xml:space="preserve"/>
      </w:r>
    </w:p>
    <w:p>
      <w:r>
        <w:t xml:space="preserve">Nur die E6-Seite wächst also – und zwar mit 4 % pro Jahr, während die Leistungsminderung mit 0,25 %-Punkten pro Jahr gegenläuft. Netto steigt der Eigenverbrauchswert um rund 3,7 % pro Jahr. Die E1-Seite dagegen </w:t>
      </w:r>
      <w:r>
        <w:rPr>
          <w:b/>
          <w:bCs/>
        </w:rPr>
        <w:t xml:space="preserve">sinkt</w:t>
      </w:r>
      <w:r>
        <w:t xml:space="preserve"> in beiden Plänen leicht, weil der Satz fest ist und nur die Menge zurückgeht.</w:t>
      </w:r>
    </w:p>
    <w:p>
      <w:pPr>
        <w:pStyle w:val="Heading3"/>
      </w:pPr>
      <w:bookmarkStart w:id="900033" w:name="_Toc90000033"/>
      <w:r>
        <w:t xml:space="preserve">K3.4  Auszug aus der Jahrestabelle</w:t>
      </w:r>
      <w:bookmarkEnd w:id="900033"/>
    </w:p>
    <w:p>
      <w:r>
        <w:t xml:space="preserve">Alle Beträge in Euro, Mengen in kWh, Jahr 1 = 2023 (Rumpfjahr). Vollständige Tabellen über alle 21 Kalenderjahre liefert das Modell [36].</w:t>
      </w:r>
    </w:p>
    <w:p>
      <w:pPr>
        <w:keepNext/>
        <w:spacing w:after="100" w:before="240"/>
      </w:pPr>
      <w:r>
        <w:rPr>
          <w:b/>
          <w:bCs/>
        </w:rPr>
        <w:t xml:space="preserve">Plan „Überschuss“</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620"/>
        <w:gridCol w:w="1080"/>
        <w:gridCol w:w="1180"/>
        <w:gridCol w:w="900"/>
        <w:gridCol w:w="1900"/>
        <w:gridCol w:w="1500"/>
        <w:gridCol w:w="1150"/>
        <w:gridCol w:w="1308"/>
      </w:tblGrid>
      <w:tr>
        <w:trPr>
          <w:tblHeader/>
        </w:trPr>
        <w:tc>
          <w:tcPr>
            <w:tcW w:type="dxa" w:w="620"/>
            <w:shd w:fill="1F3864" w:color="auto" w:val="clear"/>
            <w:vAlign w:val="center"/>
          </w:tcPr>
          <w:p>
            <w:pPr>
              <w:spacing w:after="30" w:before="30" w:line="230"/>
              <w:jc w:val="center"/>
            </w:pPr>
            <w:r>
              <w:rPr>
                <w:b/>
                <w:bCs/>
                <w:color w:val="FFFFFF"/>
                <w:sz w:val="16"/>
                <w:szCs w:val="16"/>
              </w:rPr>
              <w:t xml:space="preserve">Jahr</w:t>
            </w:r>
          </w:p>
        </w:tc>
        <w:tc>
          <w:tcPr>
            <w:tcW w:type="dxa" w:w="1080"/>
            <w:shd w:fill="1F3864" w:color="auto" w:val="clear"/>
            <w:vAlign w:val="center"/>
          </w:tcPr>
          <w:p>
            <w:pPr>
              <w:spacing w:after="30" w:before="30" w:line="230"/>
              <w:jc w:val="center"/>
            </w:pPr>
            <w:r>
              <w:rPr>
                <w:b/>
                <w:bCs/>
                <w:color w:val="FFFFFF"/>
                <w:sz w:val="16"/>
                <w:szCs w:val="16"/>
              </w:rPr>
              <w:t xml:space="preserve">Kalenderjahr</w:t>
            </w:r>
          </w:p>
        </w:tc>
        <w:tc>
          <w:tcPr>
            <w:tcW w:type="dxa" w:w="1180"/>
            <w:shd w:fill="1F3864" w:color="auto" w:val="clear"/>
            <w:vAlign w:val="center"/>
          </w:tcPr>
          <w:p>
            <w:pPr>
              <w:spacing w:after="30" w:before="30" w:line="230"/>
              <w:jc w:val="left"/>
            </w:pPr>
            <w:r>
              <w:rPr>
                <w:b/>
                <w:bCs/>
                <w:color w:val="FFFFFF"/>
                <w:sz w:val="16"/>
                <w:szCs w:val="16"/>
              </w:rPr>
              <w:t xml:space="preserve">Erzeugung</w:t>
            </w:r>
          </w:p>
        </w:tc>
        <w:tc>
          <w:tcPr>
            <w:tcW w:type="dxa" w:w="900"/>
            <w:shd w:fill="1F3864" w:color="auto" w:val="clear"/>
            <w:vAlign w:val="center"/>
          </w:tcPr>
          <w:p>
            <w:pPr>
              <w:spacing w:after="30" w:before="30" w:line="230"/>
              <w:jc w:val="left"/>
            </w:pPr>
            <w:r>
              <w:rPr>
                <w:b/>
                <w:bCs/>
                <w:color w:val="FFFFFF"/>
                <w:sz w:val="16"/>
                <w:szCs w:val="16"/>
              </w:rPr>
              <w:t xml:space="preserve">E1 EEG</w:t>
            </w:r>
          </w:p>
        </w:tc>
        <w:tc>
          <w:tcPr>
            <w:tcW w:type="dxa" w:w="1900"/>
            <w:shd w:fill="1F3864" w:color="auto" w:val="clear"/>
            <w:vAlign w:val="center"/>
          </w:tcPr>
          <w:p>
            <w:pPr>
              <w:spacing w:after="30" w:before="30" w:line="230"/>
              <w:jc w:val="left"/>
            </w:pPr>
            <w:r>
              <w:rPr>
                <w:b/>
                <w:bCs/>
                <w:color w:val="FFFFFF"/>
                <w:sz w:val="16"/>
                <w:szCs w:val="16"/>
              </w:rPr>
              <w:t xml:space="preserve">E6 vermied. Netzbezug</w:t>
            </w:r>
          </w:p>
        </w:tc>
        <w:tc>
          <w:tcPr>
            <w:tcW w:type="dxa" w:w="1500"/>
            <w:shd w:fill="1F3864" w:color="auto" w:val="clear"/>
            <w:vAlign w:val="center"/>
          </w:tcPr>
          <w:p>
            <w:pPr>
              <w:spacing w:after="30" w:before="30" w:line="230"/>
              <w:jc w:val="left"/>
            </w:pPr>
            <w:r>
              <w:rPr>
                <w:b/>
                <w:bCs/>
                <w:color w:val="FFFFFF"/>
                <w:sz w:val="16"/>
                <w:szCs w:val="16"/>
              </w:rPr>
              <w:t xml:space="preserve">A2 Betriebskosten</w:t>
            </w:r>
          </w:p>
        </w:tc>
        <w:tc>
          <w:tcPr>
            <w:tcW w:type="dxa" w:w="1150"/>
            <w:shd w:fill="1F3864" w:color="auto" w:val="clear"/>
            <w:vAlign w:val="center"/>
          </w:tcPr>
          <w:p>
            <w:pPr>
              <w:spacing w:after="30" w:before="30" w:line="230"/>
              <w:jc w:val="left"/>
            </w:pPr>
            <w:r>
              <w:rPr>
                <w:b/>
                <w:bCs/>
                <w:color w:val="FFFFFF"/>
                <w:sz w:val="16"/>
                <w:szCs w:val="16"/>
              </w:rPr>
              <w:t xml:space="preserve">CF</w:t>
            </w:r>
          </w:p>
        </w:tc>
        <w:tc>
          <w:tcPr>
            <w:tcW w:type="dxa" w:w="1308"/>
            <w:shd w:fill="1F3864" w:color="auto" w:val="clear"/>
            <w:vAlign w:val="center"/>
          </w:tcPr>
          <w:p>
            <w:pPr>
              <w:spacing w:after="30" w:before="30" w:line="230"/>
              <w:jc w:val="left"/>
            </w:pPr>
            <w:r>
              <w:rPr>
                <w:b/>
                <w:bCs/>
                <w:color w:val="FFFFFF"/>
                <w:sz w:val="16"/>
                <w:szCs w:val="16"/>
              </w:rPr>
              <w:t xml:space="preserve">kumulierter CF</w:t>
            </w:r>
          </w:p>
        </w:tc>
      </w:tr>
      <w:tr>
        <w:trPr>
          <w:cantSplit/>
        </w:trPr>
        <w:tc>
          <w:tcPr>
            <w:tcW w:type="dxa" w:w="620"/>
            <w:vAlign w:val="center"/>
          </w:tcPr>
          <w:p>
            <w:pPr>
              <w:spacing w:after="30" w:before="30" w:line="230"/>
              <w:jc w:val="center"/>
            </w:pPr>
            <w:r>
              <w:rPr>
                <w:sz w:val="16"/>
                <w:szCs w:val="16"/>
              </w:rPr>
              <w:t xml:space="preserve">0</w:t>
            </w:r>
          </w:p>
        </w:tc>
        <w:tc>
          <w:tcPr>
            <w:tcW w:type="dxa" w:w="1080"/>
            <w:vAlign w:val="center"/>
          </w:tcPr>
          <w:p>
            <w:pPr>
              <w:spacing w:after="30" w:before="30" w:line="230"/>
              <w:jc w:val="center"/>
            </w:pPr>
            <w:r>
              <w:rPr>
                <w:sz w:val="16"/>
                <w:szCs w:val="16"/>
              </w:rPr>
              <w:t xml:space="preserve">–</w:t>
            </w:r>
          </w:p>
        </w:tc>
        <w:tc>
          <w:tcPr>
            <w:tcW w:type="dxa" w:w="1180"/>
            <w:vAlign w:val="center"/>
          </w:tcPr>
          <w:p>
            <w:pPr>
              <w:spacing w:after="30" w:before="30" w:line="230"/>
              <w:jc w:val="right"/>
            </w:pPr>
            <w:r>
              <w:rPr>
                <w:sz w:val="16"/>
                <w:szCs w:val="16"/>
              </w:rPr>
              <w:t xml:space="preserve">–</w:t>
            </w:r>
          </w:p>
        </w:tc>
        <w:tc>
          <w:tcPr>
            <w:tcW w:type="dxa" w:w="900"/>
            <w:vAlign w:val="center"/>
          </w:tcPr>
          <w:p>
            <w:pPr>
              <w:spacing w:after="30" w:before="30" w:line="230"/>
              <w:jc w:val="right"/>
            </w:pPr>
            <w:r>
              <w:rPr>
                <w:sz w:val="16"/>
                <w:szCs w:val="16"/>
              </w:rPr>
              <w:t xml:space="preserve">–</w:t>
            </w:r>
          </w:p>
        </w:tc>
        <w:tc>
          <w:tcPr>
            <w:tcW w:type="dxa" w:w="1900"/>
            <w:vAlign w:val="center"/>
          </w:tcPr>
          <w:p>
            <w:pPr>
              <w:spacing w:after="30" w:before="30" w:line="230"/>
              <w:jc w:val="right"/>
            </w:pPr>
            <w:r>
              <w:rPr>
                <w:sz w:val="16"/>
                <w:szCs w:val="16"/>
              </w:rPr>
              <w:t xml:space="preserve">–</w:t>
            </w:r>
          </w:p>
        </w:tc>
        <w:tc>
          <w:tcPr>
            <w:tcW w:type="dxa" w:w="1500"/>
            <w:vAlign w:val="center"/>
          </w:tcPr>
          <w:p>
            <w:pPr>
              <w:spacing w:after="30" w:before="30" w:line="230"/>
              <w:jc w:val="right"/>
            </w:pPr>
            <w:r>
              <w:rPr>
                <w:sz w:val="16"/>
                <w:szCs w:val="16"/>
              </w:rPr>
              <w:t xml:space="preserve">–</w:t>
            </w:r>
          </w:p>
        </w:tc>
        <w:tc>
          <w:tcPr>
            <w:tcW w:type="dxa" w:w="1150"/>
            <w:vAlign w:val="center"/>
          </w:tcPr>
          <w:p>
            <w:pPr>
              <w:spacing w:after="30" w:before="30" w:line="230"/>
              <w:jc w:val="right"/>
            </w:pPr>
            <w:r>
              <w:rPr>
                <w:b/>
                <w:bCs/>
                <w:sz w:val="16"/>
                <w:szCs w:val="16"/>
              </w:rPr>
              <w:t xml:space="preserve">− 54.000</w:t>
            </w:r>
          </w:p>
        </w:tc>
        <w:tc>
          <w:tcPr>
            <w:tcW w:type="dxa" w:w="1308"/>
            <w:vAlign w:val="center"/>
          </w:tcPr>
          <w:p>
            <w:pPr>
              <w:spacing w:after="30" w:before="30" w:line="230"/>
              <w:jc w:val="right"/>
            </w:pPr>
            <w:r>
              <w:rPr>
                <w:b/>
                <w:bCs/>
                <w:sz w:val="16"/>
                <w:szCs w:val="16"/>
              </w:rPr>
              <w:t xml:space="preserve">− 54.000</w:t>
            </w:r>
          </w:p>
        </w:tc>
      </w:tr>
      <w:tr>
        <w:trPr>
          <w:cantSplit/>
        </w:trPr>
        <w:tc>
          <w:tcPr>
            <w:tcW w:type="dxa" w:w="620"/>
            <w:shd w:fill="F2F5FA" w:color="auto" w:val="clear"/>
            <w:vAlign w:val="center"/>
          </w:tcPr>
          <w:p>
            <w:pPr>
              <w:spacing w:after="30" w:before="30" w:line="230"/>
              <w:jc w:val="center"/>
            </w:pPr>
            <w:r>
              <w:rPr>
                <w:sz w:val="16"/>
                <w:szCs w:val="16"/>
              </w:rPr>
              <w:t xml:space="preserve">1</w:t>
            </w:r>
          </w:p>
        </w:tc>
        <w:tc>
          <w:tcPr>
            <w:tcW w:type="dxa" w:w="1080"/>
            <w:shd w:fill="F2F5FA" w:color="auto" w:val="clear"/>
            <w:vAlign w:val="center"/>
          </w:tcPr>
          <w:p>
            <w:pPr>
              <w:spacing w:after="30" w:before="30" w:line="230"/>
              <w:jc w:val="center"/>
            </w:pPr>
            <w:r>
              <w:rPr>
                <w:sz w:val="16"/>
                <w:szCs w:val="16"/>
              </w:rPr>
              <w:t xml:space="preserve">2023</w:t>
            </w:r>
          </w:p>
        </w:tc>
        <w:tc>
          <w:tcPr>
            <w:tcW w:type="dxa" w:w="1180"/>
            <w:shd w:fill="F2F5FA" w:color="auto" w:val="clear"/>
            <w:vAlign w:val="center"/>
          </w:tcPr>
          <w:p>
            <w:pPr>
              <w:spacing w:after="30" w:before="30" w:line="230"/>
              <w:jc w:val="right"/>
            </w:pPr>
            <w:r>
              <w:rPr>
                <w:sz w:val="16"/>
                <w:szCs w:val="16"/>
              </w:rPr>
              <w:t xml:space="preserve">29.777</w:t>
            </w:r>
          </w:p>
        </w:tc>
        <w:tc>
          <w:tcPr>
            <w:tcW w:type="dxa" w:w="900"/>
            <w:shd w:fill="F2F5FA" w:color="auto" w:val="clear"/>
            <w:vAlign w:val="center"/>
          </w:tcPr>
          <w:p>
            <w:pPr>
              <w:spacing w:after="30" w:before="30" w:line="230"/>
              <w:jc w:val="right"/>
            </w:pPr>
            <w:r>
              <w:rPr>
                <w:sz w:val="16"/>
                <w:szCs w:val="16"/>
              </w:rPr>
              <w:t xml:space="preserve">370</w:t>
            </w:r>
          </w:p>
        </w:tc>
        <w:tc>
          <w:tcPr>
            <w:tcW w:type="dxa" w:w="1900"/>
            <w:shd w:fill="F2F5FA" w:color="auto" w:val="clear"/>
            <w:vAlign w:val="center"/>
          </w:tcPr>
          <w:p>
            <w:pPr>
              <w:spacing w:after="30" w:before="30" w:line="230"/>
              <w:jc w:val="right"/>
            </w:pPr>
            <w:r>
              <w:rPr>
                <w:sz w:val="16"/>
                <w:szCs w:val="16"/>
              </w:rPr>
              <w:t xml:space="preserve">7.448</w:t>
            </w:r>
          </w:p>
        </w:tc>
        <w:tc>
          <w:tcPr>
            <w:tcW w:type="dxa" w:w="1500"/>
            <w:shd w:fill="F2F5FA" w:color="auto" w:val="clear"/>
            <w:vAlign w:val="center"/>
          </w:tcPr>
          <w:p>
            <w:pPr>
              <w:spacing w:after="30" w:before="30" w:line="230"/>
              <w:jc w:val="right"/>
            </w:pPr>
            <w:r>
              <w:rPr>
                <w:sz w:val="16"/>
                <w:szCs w:val="16"/>
              </w:rPr>
              <w:t xml:space="preserve">1.700</w:t>
            </w:r>
          </w:p>
        </w:tc>
        <w:tc>
          <w:tcPr>
            <w:tcW w:type="dxa" w:w="1150"/>
            <w:shd w:fill="F2F5FA" w:color="auto" w:val="clear"/>
            <w:vAlign w:val="center"/>
          </w:tcPr>
          <w:p>
            <w:pPr>
              <w:spacing w:after="30" w:before="30" w:line="230"/>
              <w:jc w:val="right"/>
            </w:pPr>
            <w:r>
              <w:rPr>
                <w:b/>
                <w:bCs/>
                <w:sz w:val="16"/>
                <w:szCs w:val="16"/>
              </w:rPr>
              <w:t xml:space="preserve">6.117</w:t>
            </w:r>
          </w:p>
        </w:tc>
        <w:tc>
          <w:tcPr>
            <w:tcW w:type="dxa" w:w="1308"/>
            <w:shd w:fill="F2F5FA" w:color="auto" w:val="clear"/>
            <w:vAlign w:val="center"/>
          </w:tcPr>
          <w:p>
            <w:pPr>
              <w:spacing w:after="30" w:before="30" w:line="230"/>
              <w:jc w:val="right"/>
            </w:pPr>
            <w:r>
              <w:rPr>
                <w:sz w:val="16"/>
                <w:szCs w:val="16"/>
              </w:rPr>
              <w:t xml:space="preserve">− 47.883</w:t>
            </w:r>
          </w:p>
        </w:tc>
      </w:tr>
      <w:tr>
        <w:trPr>
          <w:cantSplit/>
        </w:trPr>
        <w:tc>
          <w:tcPr>
            <w:tcW w:type="dxa" w:w="620"/>
            <w:vAlign w:val="center"/>
          </w:tcPr>
          <w:p>
            <w:pPr>
              <w:spacing w:after="30" w:before="30" w:line="230"/>
              <w:jc w:val="center"/>
            </w:pPr>
            <w:r>
              <w:rPr>
                <w:sz w:val="16"/>
                <w:szCs w:val="16"/>
              </w:rPr>
              <w:t xml:space="preserve">2</w:t>
            </w:r>
          </w:p>
        </w:tc>
        <w:tc>
          <w:tcPr>
            <w:tcW w:type="dxa" w:w="1080"/>
            <w:vAlign w:val="center"/>
          </w:tcPr>
          <w:p>
            <w:pPr>
              <w:spacing w:after="30" w:before="30" w:line="230"/>
              <w:jc w:val="center"/>
            </w:pPr>
            <w:r>
              <w:rPr>
                <w:sz w:val="16"/>
                <w:szCs w:val="16"/>
              </w:rPr>
              <w:t xml:space="preserve">2024</w:t>
            </w:r>
          </w:p>
        </w:tc>
        <w:tc>
          <w:tcPr>
            <w:tcW w:type="dxa" w:w="1180"/>
            <w:vAlign w:val="center"/>
          </w:tcPr>
          <w:p>
            <w:pPr>
              <w:spacing w:after="30" w:before="30" w:line="230"/>
              <w:jc w:val="right"/>
            </w:pPr>
            <w:r>
              <w:rPr>
                <w:sz w:val="16"/>
                <w:szCs w:val="16"/>
              </w:rPr>
              <w:t xml:space="preserve">32.259</w:t>
            </w:r>
          </w:p>
        </w:tc>
        <w:tc>
          <w:tcPr>
            <w:tcW w:type="dxa" w:w="900"/>
            <w:vAlign w:val="center"/>
          </w:tcPr>
          <w:p>
            <w:pPr>
              <w:spacing w:after="30" w:before="30" w:line="230"/>
              <w:jc w:val="right"/>
            </w:pPr>
            <w:r>
              <w:rPr>
                <w:sz w:val="16"/>
                <w:szCs w:val="16"/>
              </w:rPr>
              <w:t xml:space="preserve">401</w:t>
            </w:r>
          </w:p>
        </w:tc>
        <w:tc>
          <w:tcPr>
            <w:tcW w:type="dxa" w:w="1900"/>
            <w:vAlign w:val="center"/>
          </w:tcPr>
          <w:p>
            <w:pPr>
              <w:spacing w:after="30" w:before="30" w:line="230"/>
              <w:jc w:val="right"/>
            </w:pPr>
            <w:r>
              <w:rPr>
                <w:sz w:val="16"/>
                <w:szCs w:val="16"/>
              </w:rPr>
              <w:t xml:space="preserve">8.391</w:t>
            </w:r>
          </w:p>
        </w:tc>
        <w:tc>
          <w:tcPr>
            <w:tcW w:type="dxa" w:w="1500"/>
            <w:vAlign w:val="center"/>
          </w:tcPr>
          <w:p>
            <w:pPr>
              <w:spacing w:after="30" w:before="30" w:line="230"/>
              <w:jc w:val="right"/>
            </w:pPr>
            <w:r>
              <w:rPr>
                <w:sz w:val="16"/>
                <w:szCs w:val="16"/>
              </w:rPr>
              <w:t xml:space="preserve">2.040</w:t>
            </w:r>
          </w:p>
        </w:tc>
        <w:tc>
          <w:tcPr>
            <w:tcW w:type="dxa" w:w="1150"/>
            <w:vAlign w:val="center"/>
          </w:tcPr>
          <w:p>
            <w:pPr>
              <w:spacing w:after="30" w:before="30" w:line="230"/>
              <w:jc w:val="right"/>
            </w:pPr>
            <w:r>
              <w:rPr>
                <w:b/>
                <w:bCs/>
                <w:sz w:val="16"/>
                <w:szCs w:val="16"/>
              </w:rPr>
              <w:t xml:space="preserve">6.752</w:t>
            </w:r>
          </w:p>
        </w:tc>
        <w:tc>
          <w:tcPr>
            <w:tcW w:type="dxa" w:w="1308"/>
            <w:vAlign w:val="center"/>
          </w:tcPr>
          <w:p>
            <w:pPr>
              <w:spacing w:after="30" w:before="30" w:line="230"/>
              <w:jc w:val="right"/>
            </w:pPr>
            <w:r>
              <w:rPr>
                <w:sz w:val="16"/>
                <w:szCs w:val="16"/>
              </w:rPr>
              <w:t xml:space="preserve">− 41.131</w:t>
            </w:r>
          </w:p>
        </w:tc>
      </w:tr>
      <w:tr>
        <w:trPr>
          <w:cantSplit/>
        </w:trPr>
        <w:tc>
          <w:tcPr>
            <w:tcW w:type="dxa" w:w="620"/>
            <w:shd w:fill="F2F5FA" w:color="auto" w:val="clear"/>
            <w:vAlign w:val="center"/>
          </w:tcPr>
          <w:p>
            <w:pPr>
              <w:spacing w:after="30" w:before="30" w:line="230"/>
              <w:jc w:val="center"/>
            </w:pPr>
            <w:r>
              <w:rPr>
                <w:sz w:val="16"/>
                <w:szCs w:val="16"/>
              </w:rPr>
              <w:t xml:space="preserve">5</w:t>
            </w:r>
          </w:p>
        </w:tc>
        <w:tc>
          <w:tcPr>
            <w:tcW w:type="dxa" w:w="1080"/>
            <w:shd w:fill="F2F5FA" w:color="auto" w:val="clear"/>
            <w:vAlign w:val="center"/>
          </w:tcPr>
          <w:p>
            <w:pPr>
              <w:spacing w:after="30" w:before="30" w:line="230"/>
              <w:jc w:val="center"/>
            </w:pPr>
            <w:r>
              <w:rPr>
                <w:sz w:val="16"/>
                <w:szCs w:val="16"/>
              </w:rPr>
              <w:t xml:space="preserve">2027</w:t>
            </w:r>
          </w:p>
        </w:tc>
        <w:tc>
          <w:tcPr>
            <w:tcW w:type="dxa" w:w="1180"/>
            <w:shd w:fill="F2F5FA" w:color="auto" w:val="clear"/>
            <w:vAlign w:val="center"/>
          </w:tcPr>
          <w:p>
            <w:pPr>
              <w:spacing w:after="30" w:before="30" w:line="230"/>
              <w:jc w:val="right"/>
            </w:pPr>
            <w:r>
              <w:rPr>
                <w:sz w:val="16"/>
                <w:szCs w:val="16"/>
              </w:rPr>
              <w:t xml:space="preserve">32.017</w:t>
            </w:r>
          </w:p>
        </w:tc>
        <w:tc>
          <w:tcPr>
            <w:tcW w:type="dxa" w:w="900"/>
            <w:shd w:fill="F2F5FA" w:color="auto" w:val="clear"/>
            <w:vAlign w:val="center"/>
          </w:tcPr>
          <w:p>
            <w:pPr>
              <w:spacing w:after="30" w:before="30" w:line="230"/>
              <w:jc w:val="right"/>
            </w:pPr>
            <w:r>
              <w:rPr>
                <w:sz w:val="16"/>
                <w:szCs w:val="16"/>
              </w:rPr>
              <w:t xml:space="preserve">398</w:t>
            </w:r>
          </w:p>
        </w:tc>
        <w:tc>
          <w:tcPr>
            <w:tcW w:type="dxa" w:w="1900"/>
            <w:shd w:fill="F2F5FA" w:color="auto" w:val="clear"/>
            <w:vAlign w:val="center"/>
          </w:tcPr>
          <w:p>
            <w:pPr>
              <w:spacing w:after="30" w:before="30" w:line="230"/>
              <w:jc w:val="right"/>
            </w:pPr>
            <w:r>
              <w:rPr>
                <w:sz w:val="16"/>
                <w:szCs w:val="16"/>
              </w:rPr>
              <w:t xml:space="preserve">9.368</w:t>
            </w:r>
          </w:p>
        </w:tc>
        <w:tc>
          <w:tcPr>
            <w:tcW w:type="dxa" w:w="1500"/>
            <w:shd w:fill="F2F5FA" w:color="auto" w:val="clear"/>
            <w:vAlign w:val="center"/>
          </w:tcPr>
          <w:p>
            <w:pPr>
              <w:spacing w:after="30" w:before="30" w:line="230"/>
              <w:jc w:val="right"/>
            </w:pPr>
            <w:r>
              <w:rPr>
                <w:sz w:val="16"/>
                <w:szCs w:val="16"/>
              </w:rPr>
              <w:t xml:space="preserve">2.040</w:t>
            </w:r>
          </w:p>
        </w:tc>
        <w:tc>
          <w:tcPr>
            <w:tcW w:type="dxa" w:w="1150"/>
            <w:shd w:fill="F2F5FA" w:color="auto" w:val="clear"/>
            <w:vAlign w:val="center"/>
          </w:tcPr>
          <w:p>
            <w:pPr>
              <w:spacing w:after="30" w:before="30" w:line="230"/>
              <w:jc w:val="right"/>
            </w:pPr>
            <w:r>
              <w:rPr>
                <w:b/>
                <w:bCs/>
                <w:sz w:val="16"/>
                <w:szCs w:val="16"/>
              </w:rPr>
              <w:t xml:space="preserve">7.726</w:t>
            </w:r>
          </w:p>
        </w:tc>
        <w:tc>
          <w:tcPr>
            <w:tcW w:type="dxa" w:w="1308"/>
            <w:shd w:fill="F2F5FA" w:color="auto" w:val="clear"/>
            <w:vAlign w:val="center"/>
          </w:tcPr>
          <w:p>
            <w:pPr>
              <w:spacing w:after="30" w:before="30" w:line="230"/>
              <w:jc w:val="right"/>
            </w:pPr>
            <w:r>
              <w:rPr>
                <w:sz w:val="16"/>
                <w:szCs w:val="16"/>
              </w:rPr>
              <w:t xml:space="preserve">− 18.951</w:t>
            </w:r>
          </w:p>
        </w:tc>
      </w:tr>
      <w:tr>
        <w:trPr>
          <w:cantSplit/>
        </w:trPr>
        <w:tc>
          <w:tcPr>
            <w:tcW w:type="dxa" w:w="620"/>
            <w:vAlign w:val="center"/>
          </w:tcPr>
          <w:p>
            <w:pPr>
              <w:spacing w:after="30" w:before="30" w:line="230"/>
              <w:jc w:val="center"/>
            </w:pPr>
            <w:r>
              <w:rPr>
                <w:sz w:val="16"/>
                <w:szCs w:val="16"/>
              </w:rPr>
              <w:t xml:space="preserve">7</w:t>
            </w:r>
          </w:p>
        </w:tc>
        <w:tc>
          <w:tcPr>
            <w:tcW w:type="dxa" w:w="1080"/>
            <w:vAlign w:val="center"/>
          </w:tcPr>
          <w:p>
            <w:pPr>
              <w:spacing w:after="30" w:before="30" w:line="230"/>
              <w:jc w:val="center"/>
            </w:pPr>
            <w:r>
              <w:rPr>
                <w:sz w:val="16"/>
                <w:szCs w:val="16"/>
              </w:rPr>
              <w:t xml:space="preserve">2029</w:t>
            </w:r>
          </w:p>
        </w:tc>
        <w:tc>
          <w:tcPr>
            <w:tcW w:type="dxa" w:w="1180"/>
            <w:vAlign w:val="center"/>
          </w:tcPr>
          <w:p>
            <w:pPr>
              <w:spacing w:after="30" w:before="30" w:line="230"/>
              <w:jc w:val="right"/>
            </w:pPr>
            <w:r>
              <w:rPr>
                <w:sz w:val="16"/>
                <w:szCs w:val="16"/>
              </w:rPr>
              <w:t xml:space="preserve">31.855</w:t>
            </w:r>
          </w:p>
        </w:tc>
        <w:tc>
          <w:tcPr>
            <w:tcW w:type="dxa" w:w="900"/>
            <w:vAlign w:val="center"/>
          </w:tcPr>
          <w:p>
            <w:pPr>
              <w:spacing w:after="30" w:before="30" w:line="230"/>
              <w:jc w:val="right"/>
            </w:pPr>
            <w:r>
              <w:rPr>
                <w:sz w:val="16"/>
                <w:szCs w:val="16"/>
              </w:rPr>
              <w:t xml:space="preserve">396</w:t>
            </w:r>
          </w:p>
        </w:tc>
        <w:tc>
          <w:tcPr>
            <w:tcW w:type="dxa" w:w="1900"/>
            <w:vAlign w:val="center"/>
          </w:tcPr>
          <w:p>
            <w:pPr>
              <w:spacing w:after="30" w:before="30" w:line="230"/>
              <w:jc w:val="right"/>
            </w:pPr>
            <w:r>
              <w:rPr>
                <w:sz w:val="16"/>
                <w:szCs w:val="16"/>
              </w:rPr>
              <w:t xml:space="preserve">10.081</w:t>
            </w:r>
          </w:p>
        </w:tc>
        <w:tc>
          <w:tcPr>
            <w:tcW w:type="dxa" w:w="1500"/>
            <w:vAlign w:val="center"/>
          </w:tcPr>
          <w:p>
            <w:pPr>
              <w:spacing w:after="30" w:before="30" w:line="230"/>
              <w:jc w:val="right"/>
            </w:pPr>
            <w:r>
              <w:rPr>
                <w:sz w:val="16"/>
                <w:szCs w:val="16"/>
              </w:rPr>
              <w:t xml:space="preserve">2.040</w:t>
            </w:r>
          </w:p>
        </w:tc>
        <w:tc>
          <w:tcPr>
            <w:tcW w:type="dxa" w:w="1150"/>
            <w:vAlign w:val="center"/>
          </w:tcPr>
          <w:p>
            <w:pPr>
              <w:spacing w:after="30" w:before="30" w:line="230"/>
              <w:jc w:val="right"/>
            </w:pPr>
            <w:r>
              <w:rPr>
                <w:b/>
                <w:bCs/>
                <w:sz w:val="16"/>
                <w:szCs w:val="16"/>
              </w:rPr>
              <w:t xml:space="preserve">8.437</w:t>
            </w:r>
          </w:p>
        </w:tc>
        <w:tc>
          <w:tcPr>
            <w:tcW w:type="dxa" w:w="1308"/>
            <w:vAlign w:val="center"/>
          </w:tcPr>
          <w:p>
            <w:pPr>
              <w:spacing w:after="30" w:before="30" w:line="230"/>
              <w:jc w:val="right"/>
            </w:pPr>
            <w:r>
              <w:rPr>
                <w:sz w:val="16"/>
                <w:szCs w:val="16"/>
              </w:rPr>
              <w:t xml:space="preserve">− 2.440</w:t>
            </w:r>
          </w:p>
        </w:tc>
      </w:tr>
      <w:tr>
        <w:trPr>
          <w:cantSplit/>
        </w:trPr>
        <w:tc>
          <w:tcPr>
            <w:tcW w:type="dxa" w:w="620"/>
            <w:shd w:fill="E8F0FB" w:color="auto" w:val="clear"/>
            <w:vAlign w:val="center"/>
          </w:tcPr>
          <w:p>
            <w:pPr>
              <w:spacing w:after="30" w:before="30" w:line="230"/>
              <w:jc w:val="center"/>
            </w:pPr>
            <w:r>
              <w:rPr>
                <w:b/>
                <w:bCs/>
                <w:sz w:val="16"/>
                <w:szCs w:val="16"/>
              </w:rPr>
              <w:t xml:space="preserve">8</w:t>
            </w:r>
          </w:p>
        </w:tc>
        <w:tc>
          <w:tcPr>
            <w:tcW w:type="dxa" w:w="1080"/>
            <w:shd w:fill="E8F0FB" w:color="auto" w:val="clear"/>
            <w:vAlign w:val="center"/>
          </w:tcPr>
          <w:p>
            <w:pPr>
              <w:spacing w:after="30" w:before="30" w:line="230"/>
              <w:jc w:val="center"/>
            </w:pPr>
            <w:r>
              <w:rPr>
                <w:b/>
                <w:bCs/>
                <w:sz w:val="16"/>
                <w:szCs w:val="16"/>
              </w:rPr>
              <w:t xml:space="preserve">2030</w:t>
            </w:r>
          </w:p>
        </w:tc>
        <w:tc>
          <w:tcPr>
            <w:tcW w:type="dxa" w:w="1180"/>
            <w:shd w:fill="E8F0FB" w:color="auto" w:val="clear"/>
            <w:vAlign w:val="center"/>
          </w:tcPr>
          <w:p>
            <w:pPr>
              <w:spacing w:after="30" w:before="30" w:line="230"/>
              <w:jc w:val="right"/>
            </w:pPr>
            <w:r>
              <w:rPr>
                <w:sz w:val="16"/>
                <w:szCs w:val="16"/>
              </w:rPr>
              <w:t xml:space="preserve">31.774</w:t>
            </w:r>
          </w:p>
        </w:tc>
        <w:tc>
          <w:tcPr>
            <w:tcW w:type="dxa" w:w="900"/>
            <w:shd w:fill="E8F0FB" w:color="auto" w:val="clear"/>
            <w:vAlign w:val="center"/>
          </w:tcPr>
          <w:p>
            <w:pPr>
              <w:spacing w:after="30" w:before="30" w:line="230"/>
              <w:jc w:val="right"/>
            </w:pPr>
            <w:r>
              <w:rPr>
                <w:sz w:val="16"/>
                <w:szCs w:val="16"/>
              </w:rPr>
              <w:t xml:space="preserve">395</w:t>
            </w:r>
          </w:p>
        </w:tc>
        <w:tc>
          <w:tcPr>
            <w:tcW w:type="dxa" w:w="1900"/>
            <w:shd w:fill="E8F0FB" w:color="auto" w:val="clear"/>
            <w:vAlign w:val="center"/>
          </w:tcPr>
          <w:p>
            <w:pPr>
              <w:spacing w:after="30" w:before="30" w:line="230"/>
              <w:jc w:val="right"/>
            </w:pPr>
            <w:r>
              <w:rPr>
                <w:sz w:val="16"/>
                <w:szCs w:val="16"/>
              </w:rPr>
              <w:t xml:space="preserve">10.458</w:t>
            </w:r>
          </w:p>
        </w:tc>
        <w:tc>
          <w:tcPr>
            <w:tcW w:type="dxa" w:w="1500"/>
            <w:shd w:fill="E8F0FB" w:color="auto" w:val="clear"/>
            <w:vAlign w:val="center"/>
          </w:tcPr>
          <w:p>
            <w:pPr>
              <w:spacing w:after="30" w:before="30" w:line="230"/>
              <w:jc w:val="right"/>
            </w:pPr>
            <w:r>
              <w:rPr>
                <w:sz w:val="16"/>
                <w:szCs w:val="16"/>
              </w:rPr>
              <w:t xml:space="preserve">2.040</w:t>
            </w:r>
          </w:p>
        </w:tc>
        <w:tc>
          <w:tcPr>
            <w:tcW w:type="dxa" w:w="1150"/>
            <w:shd w:fill="E8F0FB" w:color="auto" w:val="clear"/>
            <w:vAlign w:val="center"/>
          </w:tcPr>
          <w:p>
            <w:pPr>
              <w:spacing w:after="30" w:before="30" w:line="230"/>
              <w:jc w:val="right"/>
            </w:pPr>
            <w:r>
              <w:rPr>
                <w:b/>
                <w:bCs/>
                <w:sz w:val="16"/>
                <w:szCs w:val="16"/>
              </w:rPr>
              <w:t xml:space="preserve">8.812</w:t>
            </w:r>
          </w:p>
        </w:tc>
        <w:tc>
          <w:tcPr>
            <w:tcW w:type="dxa" w:w="1308"/>
            <w:shd w:fill="E8F0FB" w:color="auto" w:val="clear"/>
            <w:vAlign w:val="center"/>
          </w:tcPr>
          <w:p>
            <w:pPr>
              <w:spacing w:after="30" w:before="30" w:line="230"/>
              <w:jc w:val="right"/>
            </w:pPr>
            <w:r>
              <w:rPr>
                <w:b/>
                <w:bCs/>
                <w:sz w:val="16"/>
                <w:szCs w:val="16"/>
              </w:rPr>
              <w:t xml:space="preserve">+ 6.373 ← statische Amortisation</w:t>
            </w:r>
          </w:p>
        </w:tc>
      </w:tr>
      <w:tr>
        <w:trPr>
          <w:cantSplit/>
        </w:trPr>
        <w:tc>
          <w:tcPr>
            <w:tcW w:type="dxa" w:w="620"/>
            <w:vAlign w:val="center"/>
          </w:tcPr>
          <w:p>
            <w:pPr>
              <w:spacing w:after="30" w:before="30" w:line="230"/>
              <w:jc w:val="center"/>
            </w:pPr>
            <w:r>
              <w:rPr>
                <w:sz w:val="16"/>
                <w:szCs w:val="16"/>
              </w:rPr>
              <w:t xml:space="preserve">10</w:t>
            </w:r>
          </w:p>
        </w:tc>
        <w:tc>
          <w:tcPr>
            <w:tcW w:type="dxa" w:w="1080"/>
            <w:vAlign w:val="center"/>
          </w:tcPr>
          <w:p>
            <w:pPr>
              <w:spacing w:after="30" w:before="30" w:line="230"/>
              <w:jc w:val="center"/>
            </w:pPr>
            <w:r>
              <w:rPr>
                <w:sz w:val="16"/>
                <w:szCs w:val="16"/>
              </w:rPr>
              <w:t xml:space="preserve">2032</w:t>
            </w:r>
          </w:p>
        </w:tc>
        <w:tc>
          <w:tcPr>
            <w:tcW w:type="dxa" w:w="1180"/>
            <w:vAlign w:val="center"/>
          </w:tcPr>
          <w:p>
            <w:pPr>
              <w:spacing w:after="30" w:before="30" w:line="230"/>
              <w:jc w:val="right"/>
            </w:pPr>
            <w:r>
              <w:rPr>
                <w:sz w:val="16"/>
                <w:szCs w:val="16"/>
              </w:rPr>
              <w:t xml:space="preserve">31.612</w:t>
            </w:r>
          </w:p>
        </w:tc>
        <w:tc>
          <w:tcPr>
            <w:tcW w:type="dxa" w:w="900"/>
            <w:vAlign w:val="center"/>
          </w:tcPr>
          <w:p>
            <w:pPr>
              <w:spacing w:after="30" w:before="30" w:line="230"/>
              <w:jc w:val="right"/>
            </w:pPr>
            <w:r>
              <w:rPr>
                <w:sz w:val="16"/>
                <w:szCs w:val="16"/>
              </w:rPr>
              <w:t xml:space="preserve">393</w:t>
            </w:r>
          </w:p>
        </w:tc>
        <w:tc>
          <w:tcPr>
            <w:tcW w:type="dxa" w:w="1900"/>
            <w:vAlign w:val="center"/>
          </w:tcPr>
          <w:p>
            <w:pPr>
              <w:spacing w:after="30" w:before="30" w:line="230"/>
              <w:jc w:val="right"/>
            </w:pPr>
            <w:r>
              <w:rPr>
                <w:sz w:val="16"/>
                <w:szCs w:val="16"/>
              </w:rPr>
              <w:t xml:space="preserve">11.254</w:t>
            </w:r>
          </w:p>
        </w:tc>
        <w:tc>
          <w:tcPr>
            <w:tcW w:type="dxa" w:w="1500"/>
            <w:vAlign w:val="center"/>
          </w:tcPr>
          <w:p>
            <w:pPr>
              <w:spacing w:after="30" w:before="30" w:line="230"/>
              <w:jc w:val="right"/>
            </w:pPr>
            <w:r>
              <w:rPr>
                <w:sz w:val="16"/>
                <w:szCs w:val="16"/>
              </w:rPr>
              <w:t xml:space="preserve">2.040</w:t>
            </w:r>
          </w:p>
        </w:tc>
        <w:tc>
          <w:tcPr>
            <w:tcW w:type="dxa" w:w="1150"/>
            <w:vAlign w:val="center"/>
          </w:tcPr>
          <w:p>
            <w:pPr>
              <w:spacing w:after="30" w:before="30" w:line="230"/>
              <w:jc w:val="right"/>
            </w:pPr>
            <w:r>
              <w:rPr>
                <w:b/>
                <w:bCs/>
                <w:sz w:val="16"/>
                <w:szCs w:val="16"/>
              </w:rPr>
              <w:t xml:space="preserve">9.606</w:t>
            </w:r>
          </w:p>
        </w:tc>
        <w:tc>
          <w:tcPr>
            <w:tcW w:type="dxa" w:w="1308"/>
            <w:vAlign w:val="center"/>
          </w:tcPr>
          <w:p>
            <w:pPr>
              <w:spacing w:after="30" w:before="30" w:line="230"/>
              <w:jc w:val="right"/>
            </w:pPr>
            <w:r>
              <w:rPr>
                <w:sz w:val="16"/>
                <w:szCs w:val="16"/>
              </w:rPr>
              <w:t xml:space="preserve">+ 25.181</w:t>
            </w:r>
          </w:p>
        </w:tc>
      </w:tr>
      <w:tr>
        <w:trPr>
          <w:cantSplit/>
        </w:trPr>
        <w:tc>
          <w:tcPr>
            <w:tcW w:type="dxa" w:w="620"/>
            <w:shd w:fill="F2F5FA" w:color="auto" w:val="clear"/>
            <w:vAlign w:val="center"/>
          </w:tcPr>
          <w:p>
            <w:pPr>
              <w:spacing w:after="30" w:before="30" w:line="230"/>
              <w:jc w:val="center"/>
            </w:pPr>
            <w:r>
              <w:rPr>
                <w:sz w:val="16"/>
                <w:szCs w:val="16"/>
              </w:rPr>
              <w:t xml:space="preserve">20</w:t>
            </w:r>
          </w:p>
        </w:tc>
        <w:tc>
          <w:tcPr>
            <w:tcW w:type="dxa" w:w="1080"/>
            <w:shd w:fill="F2F5FA" w:color="auto" w:val="clear"/>
            <w:vAlign w:val="center"/>
          </w:tcPr>
          <w:p>
            <w:pPr>
              <w:spacing w:after="30" w:before="30" w:line="230"/>
              <w:jc w:val="center"/>
            </w:pPr>
            <w:r>
              <w:rPr>
                <w:sz w:val="16"/>
                <w:szCs w:val="16"/>
              </w:rPr>
              <w:t xml:space="preserve">2042</w:t>
            </w:r>
          </w:p>
        </w:tc>
        <w:tc>
          <w:tcPr>
            <w:tcW w:type="dxa" w:w="1180"/>
            <w:shd w:fill="F2F5FA" w:color="auto" w:val="clear"/>
            <w:vAlign w:val="center"/>
          </w:tcPr>
          <w:p>
            <w:pPr>
              <w:spacing w:after="30" w:before="30" w:line="230"/>
              <w:jc w:val="right"/>
            </w:pPr>
            <w:r>
              <w:rPr>
                <w:sz w:val="16"/>
                <w:szCs w:val="16"/>
              </w:rPr>
              <w:t xml:space="preserve">30.804</w:t>
            </w:r>
          </w:p>
        </w:tc>
        <w:tc>
          <w:tcPr>
            <w:tcW w:type="dxa" w:w="900"/>
            <w:shd w:fill="F2F5FA" w:color="auto" w:val="clear"/>
            <w:vAlign w:val="center"/>
          </w:tcPr>
          <w:p>
            <w:pPr>
              <w:spacing w:after="30" w:before="30" w:line="230"/>
              <w:jc w:val="right"/>
            </w:pPr>
            <w:r>
              <w:rPr>
                <w:sz w:val="16"/>
                <w:szCs w:val="16"/>
              </w:rPr>
              <w:t xml:space="preserve">383</w:t>
            </w:r>
          </w:p>
        </w:tc>
        <w:tc>
          <w:tcPr>
            <w:tcW w:type="dxa" w:w="1900"/>
            <w:shd w:fill="F2F5FA" w:color="auto" w:val="clear"/>
            <w:vAlign w:val="center"/>
          </w:tcPr>
          <w:p>
            <w:pPr>
              <w:spacing w:after="30" w:before="30" w:line="230"/>
              <w:jc w:val="right"/>
            </w:pPr>
            <w:r>
              <w:rPr>
                <w:sz w:val="16"/>
                <w:szCs w:val="16"/>
              </w:rPr>
              <w:t xml:space="preserve">16.232</w:t>
            </w:r>
          </w:p>
        </w:tc>
        <w:tc>
          <w:tcPr>
            <w:tcW w:type="dxa" w:w="1500"/>
            <w:shd w:fill="F2F5FA" w:color="auto" w:val="clear"/>
            <w:vAlign w:val="center"/>
          </w:tcPr>
          <w:p>
            <w:pPr>
              <w:spacing w:after="30" w:before="30" w:line="230"/>
              <w:jc w:val="right"/>
            </w:pPr>
            <w:r>
              <w:rPr>
                <w:sz w:val="16"/>
                <w:szCs w:val="16"/>
              </w:rPr>
              <w:t xml:space="preserve">2.040</w:t>
            </w:r>
          </w:p>
        </w:tc>
        <w:tc>
          <w:tcPr>
            <w:tcW w:type="dxa" w:w="1150"/>
            <w:shd w:fill="F2F5FA" w:color="auto" w:val="clear"/>
            <w:vAlign w:val="center"/>
          </w:tcPr>
          <w:p>
            <w:pPr>
              <w:spacing w:after="30" w:before="30" w:line="230"/>
              <w:jc w:val="right"/>
            </w:pPr>
            <w:r>
              <w:rPr>
                <w:b/>
                <w:bCs/>
                <w:sz w:val="16"/>
                <w:szCs w:val="16"/>
              </w:rPr>
              <w:t xml:space="preserve">14.575</w:t>
            </w:r>
          </w:p>
        </w:tc>
        <w:tc>
          <w:tcPr>
            <w:tcW w:type="dxa" w:w="1308"/>
            <w:shd w:fill="F2F5FA" w:color="auto" w:val="clear"/>
            <w:vAlign w:val="center"/>
          </w:tcPr>
          <w:p>
            <w:pPr>
              <w:spacing w:after="30" w:before="30" w:line="230"/>
              <w:jc w:val="right"/>
            </w:pPr>
            <w:r>
              <w:rPr>
                <w:sz w:val="16"/>
                <w:szCs w:val="16"/>
              </w:rPr>
              <w:t xml:space="preserve">+ 147.076</w:t>
            </w:r>
          </w:p>
        </w:tc>
      </w:tr>
      <w:tr>
        <w:trPr>
          <w:cantSplit/>
        </w:trPr>
        <w:tc>
          <w:tcPr>
            <w:tcW w:type="dxa" w:w="620"/>
            <w:vAlign w:val="center"/>
          </w:tcPr>
          <w:p>
            <w:pPr>
              <w:spacing w:after="30" w:before="30" w:line="230"/>
              <w:jc w:val="center"/>
            </w:pPr>
            <w:r>
              <w:rPr>
                <w:sz w:val="16"/>
                <w:szCs w:val="16"/>
              </w:rPr>
              <w:t xml:space="preserve">21</w:t>
            </w:r>
          </w:p>
        </w:tc>
        <w:tc>
          <w:tcPr>
            <w:tcW w:type="dxa" w:w="1080"/>
            <w:vAlign w:val="center"/>
          </w:tcPr>
          <w:p>
            <w:pPr>
              <w:spacing w:after="30" w:before="30" w:line="230"/>
              <w:jc w:val="center"/>
            </w:pPr>
            <w:r>
              <w:rPr>
                <w:sz w:val="16"/>
                <w:szCs w:val="16"/>
              </w:rPr>
              <w:t xml:space="preserve">2043</w:t>
            </w:r>
          </w:p>
        </w:tc>
        <w:tc>
          <w:tcPr>
            <w:tcW w:type="dxa" w:w="1180"/>
            <w:vAlign w:val="center"/>
          </w:tcPr>
          <w:p>
            <w:pPr>
              <w:spacing w:after="30" w:before="30" w:line="230"/>
              <w:jc w:val="right"/>
            </w:pPr>
            <w:r>
              <w:rPr>
                <w:sz w:val="16"/>
                <w:szCs w:val="16"/>
              </w:rPr>
              <w:t xml:space="preserve">30.723</w:t>
            </w:r>
          </w:p>
        </w:tc>
        <w:tc>
          <w:tcPr>
            <w:tcW w:type="dxa" w:w="900"/>
            <w:vAlign w:val="center"/>
          </w:tcPr>
          <w:p>
            <w:pPr>
              <w:spacing w:after="30" w:before="30" w:line="230"/>
              <w:jc w:val="right"/>
            </w:pPr>
            <w:r>
              <w:rPr>
                <w:sz w:val="16"/>
                <w:szCs w:val="16"/>
              </w:rPr>
              <w:t xml:space="preserve">382</w:t>
            </w:r>
          </w:p>
        </w:tc>
        <w:tc>
          <w:tcPr>
            <w:tcW w:type="dxa" w:w="1900"/>
            <w:vAlign w:val="center"/>
          </w:tcPr>
          <w:p>
            <w:pPr>
              <w:spacing w:after="30" w:before="30" w:line="230"/>
              <w:jc w:val="right"/>
            </w:pPr>
            <w:r>
              <w:rPr>
                <w:sz w:val="16"/>
                <w:szCs w:val="16"/>
              </w:rPr>
              <w:t xml:space="preserve">16.837</w:t>
            </w:r>
          </w:p>
        </w:tc>
        <w:tc>
          <w:tcPr>
            <w:tcW w:type="dxa" w:w="1500"/>
            <w:vAlign w:val="center"/>
          </w:tcPr>
          <w:p>
            <w:pPr>
              <w:spacing w:after="30" w:before="30" w:line="230"/>
              <w:jc w:val="right"/>
            </w:pPr>
            <w:r>
              <w:rPr>
                <w:sz w:val="16"/>
                <w:szCs w:val="16"/>
              </w:rPr>
              <w:t xml:space="preserve">2.040</w:t>
            </w:r>
          </w:p>
        </w:tc>
        <w:tc>
          <w:tcPr>
            <w:tcW w:type="dxa" w:w="1150"/>
            <w:vAlign w:val="center"/>
          </w:tcPr>
          <w:p>
            <w:pPr>
              <w:spacing w:after="30" w:before="30" w:line="230"/>
              <w:jc w:val="right"/>
            </w:pPr>
            <w:r>
              <w:rPr>
                <w:b/>
                <w:bCs/>
                <w:sz w:val="16"/>
                <w:szCs w:val="16"/>
              </w:rPr>
              <w:t xml:space="preserve">15.179</w:t>
            </w:r>
          </w:p>
        </w:tc>
        <w:tc>
          <w:tcPr>
            <w:tcW w:type="dxa" w:w="1308"/>
            <w:vAlign w:val="center"/>
          </w:tcPr>
          <w:p>
            <w:pPr>
              <w:spacing w:after="30" w:before="30" w:line="230"/>
              <w:jc w:val="right"/>
            </w:pPr>
            <w:r>
              <w:rPr>
                <w:sz w:val="16"/>
                <w:szCs w:val="16"/>
              </w:rPr>
              <w:t xml:space="preserve">+ 162.255</w:t>
            </w:r>
          </w:p>
        </w:tc>
      </w:tr>
      <w:tr>
        <w:trPr>
          <w:cantSplit/>
        </w:trPr>
        <w:tc>
          <w:tcPr>
            <w:tcW w:type="dxa" w:w="620"/>
            <w:shd w:fill="E8F0FB" w:color="auto" w:val="clear"/>
            <w:vAlign w:val="center"/>
          </w:tcPr>
          <w:p>
            <w:pPr>
              <w:spacing w:after="30" w:before="30" w:line="230"/>
              <w:jc w:val="center"/>
            </w:pPr>
            <w:r>
              <w:rPr>
                <w:b/>
                <w:bCs/>
                <w:sz w:val="16"/>
                <w:szCs w:val="16"/>
              </w:rPr>
              <w:t xml:space="preserve">Σ</w:t>
            </w:r>
          </w:p>
        </w:tc>
        <w:tc>
          <w:tcPr>
            <w:tcW w:type="dxa" w:w="1080"/>
            <w:shd w:fill="E8F0FB" w:color="auto" w:val="clear"/>
            <w:vAlign w:val="center"/>
          </w:tcPr>
          <w:p>
            <w:pPr>
              <w:spacing w:after="30" w:before="30" w:line="230"/>
              <w:jc w:val="center"/>
            </w:pPr>
            <w:r>
              <w:rPr>
                <w:b/>
                <w:bCs/>
                <w:sz w:val="16"/>
                <w:szCs w:val="16"/>
              </w:rPr>
              <w:t xml:space="preserve">2023–2043</w:t>
            </w:r>
          </w:p>
        </w:tc>
        <w:tc>
          <w:tcPr>
            <w:tcW w:type="dxa" w:w="1180"/>
            <w:shd w:fill="E8F0FB" w:color="auto" w:val="clear"/>
            <w:vAlign w:val="center"/>
          </w:tcPr>
          <w:p>
            <w:pPr>
              <w:spacing w:after="30" w:before="30" w:line="230"/>
              <w:jc w:val="right"/>
            </w:pPr>
            <w:r>
              <w:rPr>
                <w:b/>
                <w:bCs/>
                <w:sz w:val="16"/>
                <w:szCs w:val="16"/>
              </w:rPr>
              <w:t xml:space="preserve">659.598</w:t>
            </w:r>
          </w:p>
        </w:tc>
        <w:tc>
          <w:tcPr>
            <w:tcW w:type="dxa" w:w="900"/>
            <w:shd w:fill="E8F0FB" w:color="auto" w:val="clear"/>
            <w:vAlign w:val="center"/>
          </w:tcPr>
          <w:p>
            <w:pPr>
              <w:spacing w:after="30" w:before="30" w:line="230"/>
              <w:jc w:val="right"/>
            </w:pPr>
            <w:r>
              <w:rPr>
                <w:b/>
                <w:bCs/>
                <w:sz w:val="16"/>
                <w:szCs w:val="16"/>
              </w:rPr>
              <w:t xml:space="preserve">8.194</w:t>
            </w:r>
          </w:p>
        </w:tc>
        <w:tc>
          <w:tcPr>
            <w:tcW w:type="dxa" w:w="1900"/>
            <w:shd w:fill="E8F0FB" w:color="auto" w:val="clear"/>
            <w:vAlign w:val="center"/>
          </w:tcPr>
          <w:p>
            <w:pPr>
              <w:spacing w:after="30" w:before="30" w:line="230"/>
              <w:jc w:val="right"/>
            </w:pPr>
            <w:r>
              <w:rPr>
                <w:b/>
                <w:bCs/>
                <w:sz w:val="16"/>
                <w:szCs w:val="16"/>
              </w:rPr>
              <w:t xml:space="preserve">250.561</w:t>
            </w:r>
          </w:p>
        </w:tc>
        <w:tc>
          <w:tcPr>
            <w:tcW w:type="dxa" w:w="1500"/>
            <w:shd w:fill="E8F0FB" w:color="auto" w:val="clear"/>
            <w:vAlign w:val="center"/>
          </w:tcPr>
          <w:p>
            <w:pPr>
              <w:spacing w:after="30" w:before="30" w:line="230"/>
              <w:jc w:val="right"/>
            </w:pPr>
            <w:r>
              <w:rPr>
                <w:b/>
                <w:bCs/>
                <w:sz w:val="16"/>
                <w:szCs w:val="16"/>
              </w:rPr>
              <w:t xml:space="preserve">42.500</w:t>
            </w:r>
          </w:p>
        </w:tc>
        <w:tc>
          <w:tcPr>
            <w:tcW w:type="dxa" w:w="1150"/>
            <w:shd w:fill="E8F0FB" w:color="auto" w:val="clear"/>
            <w:vAlign w:val="center"/>
          </w:tcPr>
          <w:p>
            <w:pPr>
              <w:spacing w:after="30" w:before="30" w:line="230"/>
              <w:jc w:val="right"/>
            </w:pPr>
            <w:r>
              <w:rPr>
                <w:b/>
                <w:bCs/>
                <w:sz w:val="16"/>
                <w:szCs w:val="16"/>
              </w:rPr>
              <w:t xml:space="preserve">216.255</w:t>
            </w:r>
          </w:p>
        </w:tc>
        <w:tc>
          <w:tcPr>
            <w:tcW w:type="dxa" w:w="1308"/>
            <w:shd w:fill="E8F0FB" w:color="auto" w:val="clear"/>
            <w:vAlign w:val="center"/>
          </w:tcPr>
          <w:p>
            <w:pPr>
              <w:spacing w:after="30" w:before="30" w:line="230"/>
              <w:jc w:val="right"/>
            </w:pPr>
            <w:r>
              <w:rPr>
                <w:b/>
                <w:bCs/>
                <w:sz w:val="16"/>
                <w:szCs w:val="16"/>
              </w:rPr>
              <w:t xml:space="preserve">+ 162.255</w:t>
            </w:r>
          </w:p>
        </w:tc>
      </w:tr>
    </w:tbl>
    <w:p>
      <w:pPr>
        <w:spacing w:after="100"/>
      </w:pPr>
      <w:r>
        <w:rPr>
          <w:sz w:val="8"/>
          <w:szCs w:val="8"/>
        </w:rPr>
        <w:t xml:space="preserve"/>
      </w:r>
    </w:p>
    <w:p>
      <w:pPr>
        <w:spacing w:after="160"/>
      </w:pPr>
      <w:r>
        <w:rPr>
          <w:i/>
          <w:iCs/>
          <w:color w:val="44546A"/>
          <w:sz w:val="17"/>
          <w:szCs w:val="17"/>
        </w:rPr>
        <w:t xml:space="preserve">Alle Beträge kaufmännisch gerundet; die Zeilensumme E1 + E6 − A2 kann dadurch um 1 € vom ausgewiesenen Cashflow abweichen.</w:t>
      </w:r>
    </w:p>
    <w:p>
      <w:r>
        <w:t xml:space="preserve">Die </w:t>
      </w:r>
      <w:r>
        <w:rPr>
          <w:b/>
          <w:bCs/>
        </w:rPr>
        <w:t xml:space="preserve">dynamische</w:t>
      </w:r>
      <w:r>
        <w:t xml:space="preserve"> Amortisation liegt ein Jahr später: Der diskontierte kumulierte Cashflow beträgt nach Jahr 8 noch − 1.435 € und erreicht in Jahr 9 (2031) + 5.467 €.</w:t>
      </w:r>
    </w:p>
    <w:p>
      <w:pPr>
        <w:keepNext/>
        <w:spacing w:after="100" w:before="240"/>
      </w:pPr>
      <w:r>
        <w:rPr>
          <w:b/>
          <w:bCs/>
        </w:rPr>
        <w:t xml:space="preserve">Plan „Volleinspeisung“</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620"/>
        <w:gridCol w:w="1080"/>
        <w:gridCol w:w="1180"/>
        <w:gridCol w:w="900"/>
        <w:gridCol w:w="1900"/>
        <w:gridCol w:w="1500"/>
        <w:gridCol w:w="1150"/>
        <w:gridCol w:w="1308"/>
      </w:tblGrid>
      <w:tr>
        <w:trPr>
          <w:tblHeader/>
        </w:trPr>
        <w:tc>
          <w:tcPr>
            <w:tcW w:type="dxa" w:w="620"/>
            <w:shd w:fill="1F3864" w:color="auto" w:val="clear"/>
            <w:vAlign w:val="center"/>
          </w:tcPr>
          <w:p>
            <w:pPr>
              <w:spacing w:after="30" w:before="30" w:line="230"/>
              <w:jc w:val="center"/>
            </w:pPr>
            <w:r>
              <w:rPr>
                <w:b/>
                <w:bCs/>
                <w:color w:val="FFFFFF"/>
                <w:sz w:val="16"/>
                <w:szCs w:val="16"/>
              </w:rPr>
              <w:t xml:space="preserve">Jahr</w:t>
            </w:r>
          </w:p>
        </w:tc>
        <w:tc>
          <w:tcPr>
            <w:tcW w:type="dxa" w:w="1080"/>
            <w:shd w:fill="1F3864" w:color="auto" w:val="clear"/>
            <w:vAlign w:val="center"/>
          </w:tcPr>
          <w:p>
            <w:pPr>
              <w:spacing w:after="30" w:before="30" w:line="230"/>
              <w:jc w:val="center"/>
            </w:pPr>
            <w:r>
              <w:rPr>
                <w:b/>
                <w:bCs/>
                <w:color w:val="FFFFFF"/>
                <w:sz w:val="16"/>
                <w:szCs w:val="16"/>
              </w:rPr>
              <w:t xml:space="preserve">Kalenderjahr</w:t>
            </w:r>
          </w:p>
        </w:tc>
        <w:tc>
          <w:tcPr>
            <w:tcW w:type="dxa" w:w="1180"/>
            <w:shd w:fill="1F3864" w:color="auto" w:val="clear"/>
            <w:vAlign w:val="center"/>
          </w:tcPr>
          <w:p>
            <w:pPr>
              <w:spacing w:after="30" w:before="30" w:line="230"/>
              <w:jc w:val="left"/>
            </w:pPr>
            <w:r>
              <w:rPr>
                <w:b/>
                <w:bCs/>
                <w:color w:val="FFFFFF"/>
                <w:sz w:val="16"/>
                <w:szCs w:val="16"/>
              </w:rPr>
              <w:t xml:space="preserve">Erzeugung</w:t>
            </w:r>
          </w:p>
        </w:tc>
        <w:tc>
          <w:tcPr>
            <w:tcW w:type="dxa" w:w="900"/>
            <w:shd w:fill="1F3864" w:color="auto" w:val="clear"/>
            <w:vAlign w:val="center"/>
          </w:tcPr>
          <w:p>
            <w:pPr>
              <w:spacing w:after="30" w:before="30" w:line="230"/>
              <w:jc w:val="left"/>
            </w:pPr>
            <w:r>
              <w:rPr>
                <w:b/>
                <w:bCs/>
                <w:color w:val="FFFFFF"/>
                <w:sz w:val="16"/>
                <w:szCs w:val="16"/>
              </w:rPr>
              <w:t xml:space="preserve">E1 EEG</w:t>
            </w:r>
          </w:p>
        </w:tc>
        <w:tc>
          <w:tcPr>
            <w:tcW w:type="dxa" w:w="1900"/>
            <w:shd w:fill="1F3864" w:color="auto" w:val="clear"/>
            <w:vAlign w:val="center"/>
          </w:tcPr>
          <w:p>
            <w:pPr>
              <w:spacing w:after="30" w:before="30" w:line="230"/>
              <w:jc w:val="left"/>
            </w:pPr>
            <w:r>
              <w:rPr>
                <w:b/>
                <w:bCs/>
                <w:color w:val="FFFFFF"/>
                <w:sz w:val="16"/>
                <w:szCs w:val="16"/>
              </w:rPr>
              <w:t xml:space="preserve">E6 vermied. Netzbezug</w:t>
            </w:r>
          </w:p>
        </w:tc>
        <w:tc>
          <w:tcPr>
            <w:tcW w:type="dxa" w:w="1500"/>
            <w:shd w:fill="1F3864" w:color="auto" w:val="clear"/>
            <w:vAlign w:val="center"/>
          </w:tcPr>
          <w:p>
            <w:pPr>
              <w:spacing w:after="30" w:before="30" w:line="230"/>
              <w:jc w:val="left"/>
            </w:pPr>
            <w:r>
              <w:rPr>
                <w:b/>
                <w:bCs/>
                <w:color w:val="FFFFFF"/>
                <w:sz w:val="16"/>
                <w:szCs w:val="16"/>
              </w:rPr>
              <w:t xml:space="preserve">A2 Betriebskosten</w:t>
            </w:r>
          </w:p>
        </w:tc>
        <w:tc>
          <w:tcPr>
            <w:tcW w:type="dxa" w:w="1150"/>
            <w:shd w:fill="1F3864" w:color="auto" w:val="clear"/>
            <w:vAlign w:val="center"/>
          </w:tcPr>
          <w:p>
            <w:pPr>
              <w:spacing w:after="30" w:before="30" w:line="230"/>
              <w:jc w:val="left"/>
            </w:pPr>
            <w:r>
              <w:rPr>
                <w:b/>
                <w:bCs/>
                <w:color w:val="FFFFFF"/>
                <w:sz w:val="16"/>
                <w:szCs w:val="16"/>
              </w:rPr>
              <w:t xml:space="preserve">CF</w:t>
            </w:r>
          </w:p>
        </w:tc>
        <w:tc>
          <w:tcPr>
            <w:tcW w:type="dxa" w:w="1308"/>
            <w:shd w:fill="1F3864" w:color="auto" w:val="clear"/>
            <w:vAlign w:val="center"/>
          </w:tcPr>
          <w:p>
            <w:pPr>
              <w:spacing w:after="30" w:before="30" w:line="230"/>
              <w:jc w:val="left"/>
            </w:pPr>
            <w:r>
              <w:rPr>
                <w:b/>
                <w:bCs/>
                <w:color w:val="FFFFFF"/>
                <w:sz w:val="16"/>
                <w:szCs w:val="16"/>
              </w:rPr>
              <w:t xml:space="preserve">kumulierter CF</w:t>
            </w:r>
          </w:p>
        </w:tc>
      </w:tr>
      <w:tr>
        <w:trPr>
          <w:cantSplit/>
        </w:trPr>
        <w:tc>
          <w:tcPr>
            <w:tcW w:type="dxa" w:w="620"/>
            <w:vAlign w:val="center"/>
          </w:tcPr>
          <w:p>
            <w:pPr>
              <w:spacing w:after="30" w:before="30" w:line="230"/>
              <w:jc w:val="center"/>
            </w:pPr>
            <w:r>
              <w:rPr>
                <w:sz w:val="16"/>
                <w:szCs w:val="16"/>
              </w:rPr>
              <w:t xml:space="preserve">0</w:t>
            </w:r>
          </w:p>
        </w:tc>
        <w:tc>
          <w:tcPr>
            <w:tcW w:type="dxa" w:w="1080"/>
            <w:vAlign w:val="center"/>
          </w:tcPr>
          <w:p>
            <w:pPr>
              <w:spacing w:after="30" w:before="30" w:line="230"/>
              <w:jc w:val="center"/>
            </w:pPr>
            <w:r>
              <w:rPr>
                <w:sz w:val="16"/>
                <w:szCs w:val="16"/>
              </w:rPr>
              <w:t xml:space="preserve">–</w:t>
            </w:r>
          </w:p>
        </w:tc>
        <w:tc>
          <w:tcPr>
            <w:tcW w:type="dxa" w:w="1180"/>
            <w:vAlign w:val="center"/>
          </w:tcPr>
          <w:p>
            <w:pPr>
              <w:spacing w:after="30" w:before="30" w:line="230"/>
              <w:jc w:val="right"/>
            </w:pPr>
            <w:r>
              <w:rPr>
                <w:sz w:val="16"/>
                <w:szCs w:val="16"/>
              </w:rPr>
              <w:t xml:space="preserve">–</w:t>
            </w:r>
          </w:p>
        </w:tc>
        <w:tc>
          <w:tcPr>
            <w:tcW w:type="dxa" w:w="900"/>
            <w:vAlign w:val="center"/>
          </w:tcPr>
          <w:p>
            <w:pPr>
              <w:spacing w:after="30" w:before="30" w:line="230"/>
              <w:jc w:val="right"/>
            </w:pPr>
            <w:r>
              <w:rPr>
                <w:sz w:val="16"/>
                <w:szCs w:val="16"/>
              </w:rPr>
              <w:t xml:space="preserve">–</w:t>
            </w:r>
          </w:p>
        </w:tc>
        <w:tc>
          <w:tcPr>
            <w:tcW w:type="dxa" w:w="1900"/>
            <w:vAlign w:val="center"/>
          </w:tcPr>
          <w:p>
            <w:pPr>
              <w:spacing w:after="30" w:before="30" w:line="230"/>
              <w:jc w:val="right"/>
            </w:pPr>
            <w:r>
              <w:rPr>
                <w:sz w:val="16"/>
                <w:szCs w:val="16"/>
              </w:rPr>
              <w:t xml:space="preserve">–</w:t>
            </w:r>
          </w:p>
        </w:tc>
        <w:tc>
          <w:tcPr>
            <w:tcW w:type="dxa" w:w="1500"/>
            <w:vAlign w:val="center"/>
          </w:tcPr>
          <w:p>
            <w:pPr>
              <w:spacing w:after="30" w:before="30" w:line="230"/>
              <w:jc w:val="right"/>
            </w:pPr>
            <w:r>
              <w:rPr>
                <w:sz w:val="16"/>
                <w:szCs w:val="16"/>
              </w:rPr>
              <w:t xml:space="preserve">–</w:t>
            </w:r>
          </w:p>
        </w:tc>
        <w:tc>
          <w:tcPr>
            <w:tcW w:type="dxa" w:w="1150"/>
            <w:vAlign w:val="center"/>
          </w:tcPr>
          <w:p>
            <w:pPr>
              <w:spacing w:after="30" w:before="30" w:line="230"/>
              <w:jc w:val="right"/>
            </w:pPr>
            <w:r>
              <w:rPr>
                <w:b/>
                <w:bCs/>
                <w:sz w:val="16"/>
                <w:szCs w:val="16"/>
              </w:rPr>
              <w:t xml:space="preserve">− 54.000</w:t>
            </w:r>
          </w:p>
        </w:tc>
        <w:tc>
          <w:tcPr>
            <w:tcW w:type="dxa" w:w="1308"/>
            <w:vAlign w:val="center"/>
          </w:tcPr>
          <w:p>
            <w:pPr>
              <w:spacing w:after="30" w:before="30" w:line="230"/>
              <w:jc w:val="right"/>
            </w:pPr>
            <w:r>
              <w:rPr>
                <w:b/>
                <w:bCs/>
                <w:sz w:val="16"/>
                <w:szCs w:val="16"/>
              </w:rPr>
              <w:t xml:space="preserve">− 54.000</w:t>
            </w:r>
          </w:p>
        </w:tc>
      </w:tr>
      <w:tr>
        <w:trPr>
          <w:cantSplit/>
        </w:trPr>
        <w:tc>
          <w:tcPr>
            <w:tcW w:type="dxa" w:w="620"/>
            <w:shd w:fill="F2F5FA" w:color="auto" w:val="clear"/>
            <w:vAlign w:val="center"/>
          </w:tcPr>
          <w:p>
            <w:pPr>
              <w:spacing w:after="30" w:before="30" w:line="230"/>
              <w:jc w:val="center"/>
            </w:pPr>
            <w:r>
              <w:rPr>
                <w:sz w:val="16"/>
                <w:szCs w:val="16"/>
              </w:rPr>
              <w:t xml:space="preserve">1</w:t>
            </w:r>
          </w:p>
        </w:tc>
        <w:tc>
          <w:tcPr>
            <w:tcW w:type="dxa" w:w="1080"/>
            <w:shd w:fill="F2F5FA" w:color="auto" w:val="clear"/>
            <w:vAlign w:val="center"/>
          </w:tcPr>
          <w:p>
            <w:pPr>
              <w:spacing w:after="30" w:before="30" w:line="230"/>
              <w:jc w:val="center"/>
            </w:pPr>
            <w:r>
              <w:rPr>
                <w:sz w:val="16"/>
                <w:szCs w:val="16"/>
              </w:rPr>
              <w:t xml:space="preserve">2023</w:t>
            </w:r>
          </w:p>
        </w:tc>
        <w:tc>
          <w:tcPr>
            <w:tcW w:type="dxa" w:w="1180"/>
            <w:shd w:fill="F2F5FA" w:color="auto" w:val="clear"/>
            <w:vAlign w:val="center"/>
          </w:tcPr>
          <w:p>
            <w:pPr>
              <w:spacing w:after="30" w:before="30" w:line="230"/>
              <w:jc w:val="right"/>
            </w:pPr>
            <w:r>
              <w:rPr>
                <w:sz w:val="16"/>
                <w:szCs w:val="16"/>
              </w:rPr>
              <w:t xml:space="preserve">29.777</w:t>
            </w:r>
          </w:p>
        </w:tc>
        <w:tc>
          <w:tcPr>
            <w:tcW w:type="dxa" w:w="900"/>
            <w:shd w:fill="F2F5FA" w:color="auto" w:val="clear"/>
            <w:vAlign w:val="center"/>
          </w:tcPr>
          <w:p>
            <w:pPr>
              <w:spacing w:after="30" w:before="30" w:line="230"/>
              <w:jc w:val="right"/>
            </w:pPr>
            <w:r>
              <w:rPr>
                <w:sz w:val="16"/>
                <w:szCs w:val="16"/>
              </w:rPr>
              <w:t xml:space="preserve">3.454</w:t>
            </w:r>
          </w:p>
        </w:tc>
        <w:tc>
          <w:tcPr>
            <w:tcW w:type="dxa" w:w="1900"/>
            <w:shd w:fill="F2F5FA" w:color="auto" w:val="clear"/>
            <w:vAlign w:val="center"/>
          </w:tcPr>
          <w:p>
            <w:pPr>
              <w:spacing w:after="30" w:before="30" w:line="230"/>
              <w:jc w:val="right"/>
            </w:pPr>
            <w:r>
              <w:rPr>
                <w:sz w:val="16"/>
                <w:szCs w:val="16"/>
              </w:rPr>
              <w:t xml:space="preserve">–</w:t>
            </w:r>
          </w:p>
        </w:tc>
        <w:tc>
          <w:tcPr>
            <w:tcW w:type="dxa" w:w="1500"/>
            <w:shd w:fill="F2F5FA" w:color="auto" w:val="clear"/>
            <w:vAlign w:val="center"/>
          </w:tcPr>
          <w:p>
            <w:pPr>
              <w:spacing w:after="30" w:before="30" w:line="230"/>
              <w:jc w:val="right"/>
            </w:pPr>
            <w:r>
              <w:rPr>
                <w:sz w:val="16"/>
                <w:szCs w:val="16"/>
              </w:rPr>
              <w:t xml:space="preserve">1.333</w:t>
            </w:r>
          </w:p>
        </w:tc>
        <w:tc>
          <w:tcPr>
            <w:tcW w:type="dxa" w:w="1150"/>
            <w:shd w:fill="F2F5FA" w:color="auto" w:val="clear"/>
            <w:vAlign w:val="center"/>
          </w:tcPr>
          <w:p>
            <w:pPr>
              <w:spacing w:after="30" w:before="30" w:line="230"/>
              <w:jc w:val="right"/>
            </w:pPr>
            <w:r>
              <w:rPr>
                <w:b/>
                <w:bCs/>
                <w:sz w:val="16"/>
                <w:szCs w:val="16"/>
              </w:rPr>
              <w:t xml:space="preserve">2.121</w:t>
            </w:r>
          </w:p>
        </w:tc>
        <w:tc>
          <w:tcPr>
            <w:tcW w:type="dxa" w:w="1308"/>
            <w:shd w:fill="F2F5FA" w:color="auto" w:val="clear"/>
            <w:vAlign w:val="center"/>
          </w:tcPr>
          <w:p>
            <w:pPr>
              <w:spacing w:after="30" w:before="30" w:line="230"/>
              <w:jc w:val="right"/>
            </w:pPr>
            <w:r>
              <w:rPr>
                <w:sz w:val="16"/>
                <w:szCs w:val="16"/>
              </w:rPr>
              <w:t xml:space="preserve">− 51.879</w:t>
            </w:r>
          </w:p>
        </w:tc>
      </w:tr>
      <w:tr>
        <w:trPr>
          <w:cantSplit/>
        </w:trPr>
        <w:tc>
          <w:tcPr>
            <w:tcW w:type="dxa" w:w="620"/>
            <w:vAlign w:val="center"/>
          </w:tcPr>
          <w:p>
            <w:pPr>
              <w:spacing w:after="30" w:before="30" w:line="230"/>
              <w:jc w:val="center"/>
            </w:pPr>
            <w:r>
              <w:rPr>
                <w:sz w:val="16"/>
                <w:szCs w:val="16"/>
              </w:rPr>
              <w:t xml:space="preserve">2</w:t>
            </w:r>
          </w:p>
        </w:tc>
        <w:tc>
          <w:tcPr>
            <w:tcW w:type="dxa" w:w="1080"/>
            <w:vAlign w:val="center"/>
          </w:tcPr>
          <w:p>
            <w:pPr>
              <w:spacing w:after="30" w:before="30" w:line="230"/>
              <w:jc w:val="center"/>
            </w:pPr>
            <w:r>
              <w:rPr>
                <w:sz w:val="16"/>
                <w:szCs w:val="16"/>
              </w:rPr>
              <w:t xml:space="preserve">2024</w:t>
            </w:r>
          </w:p>
        </w:tc>
        <w:tc>
          <w:tcPr>
            <w:tcW w:type="dxa" w:w="1180"/>
            <w:vAlign w:val="center"/>
          </w:tcPr>
          <w:p>
            <w:pPr>
              <w:spacing w:after="30" w:before="30" w:line="230"/>
              <w:jc w:val="right"/>
            </w:pPr>
            <w:r>
              <w:rPr>
                <w:sz w:val="16"/>
                <w:szCs w:val="16"/>
              </w:rPr>
              <w:t xml:space="preserve">32.259</w:t>
            </w:r>
          </w:p>
        </w:tc>
        <w:tc>
          <w:tcPr>
            <w:tcW w:type="dxa" w:w="900"/>
            <w:vAlign w:val="center"/>
          </w:tcPr>
          <w:p>
            <w:pPr>
              <w:spacing w:after="30" w:before="30" w:line="230"/>
              <w:jc w:val="right"/>
            </w:pPr>
            <w:r>
              <w:rPr>
                <w:sz w:val="16"/>
                <w:szCs w:val="16"/>
              </w:rPr>
              <w:t xml:space="preserve">3.742</w:t>
            </w:r>
          </w:p>
        </w:tc>
        <w:tc>
          <w:tcPr>
            <w:tcW w:type="dxa" w:w="1900"/>
            <w:vAlign w:val="center"/>
          </w:tcPr>
          <w:p>
            <w:pPr>
              <w:spacing w:after="30" w:before="30" w:line="230"/>
              <w:jc w:val="right"/>
            </w:pPr>
            <w:r>
              <w:rPr>
                <w:sz w:val="16"/>
                <w:szCs w:val="16"/>
              </w:rPr>
              <w:t xml:space="preserve">–</w:t>
            </w:r>
          </w:p>
        </w:tc>
        <w:tc>
          <w:tcPr>
            <w:tcW w:type="dxa" w:w="1500"/>
            <w:vAlign w:val="center"/>
          </w:tcPr>
          <w:p>
            <w:pPr>
              <w:spacing w:after="30" w:before="30" w:line="230"/>
              <w:jc w:val="right"/>
            </w:pPr>
            <w:r>
              <w:rPr>
                <w:sz w:val="16"/>
                <w:szCs w:val="16"/>
              </w:rPr>
              <w:t xml:space="preserve">1.600</w:t>
            </w:r>
          </w:p>
        </w:tc>
        <w:tc>
          <w:tcPr>
            <w:tcW w:type="dxa" w:w="1150"/>
            <w:vAlign w:val="center"/>
          </w:tcPr>
          <w:p>
            <w:pPr>
              <w:spacing w:after="30" w:before="30" w:line="230"/>
              <w:jc w:val="right"/>
            </w:pPr>
            <w:r>
              <w:rPr>
                <w:b/>
                <w:bCs/>
                <w:sz w:val="16"/>
                <w:szCs w:val="16"/>
              </w:rPr>
              <w:t xml:space="preserve">2.142</w:t>
            </w:r>
          </w:p>
        </w:tc>
        <w:tc>
          <w:tcPr>
            <w:tcW w:type="dxa" w:w="1308"/>
            <w:vAlign w:val="center"/>
          </w:tcPr>
          <w:p>
            <w:pPr>
              <w:spacing w:after="30" w:before="30" w:line="230"/>
              <w:jc w:val="right"/>
            </w:pPr>
            <w:r>
              <w:rPr>
                <w:sz w:val="16"/>
                <w:szCs w:val="16"/>
              </w:rPr>
              <w:t xml:space="preserve">− 49.737</w:t>
            </w:r>
          </w:p>
        </w:tc>
      </w:tr>
      <w:tr>
        <w:trPr>
          <w:cantSplit/>
        </w:trPr>
        <w:tc>
          <w:tcPr>
            <w:tcW w:type="dxa" w:w="620"/>
            <w:shd w:fill="F2F5FA" w:color="auto" w:val="clear"/>
            <w:vAlign w:val="center"/>
          </w:tcPr>
          <w:p>
            <w:pPr>
              <w:spacing w:after="30" w:before="30" w:line="230"/>
              <w:jc w:val="center"/>
            </w:pPr>
            <w:r>
              <w:rPr>
                <w:sz w:val="16"/>
                <w:szCs w:val="16"/>
              </w:rPr>
              <w:t xml:space="preserve">5</w:t>
            </w:r>
          </w:p>
        </w:tc>
        <w:tc>
          <w:tcPr>
            <w:tcW w:type="dxa" w:w="1080"/>
            <w:shd w:fill="F2F5FA" w:color="auto" w:val="clear"/>
            <w:vAlign w:val="center"/>
          </w:tcPr>
          <w:p>
            <w:pPr>
              <w:spacing w:after="30" w:before="30" w:line="230"/>
              <w:jc w:val="center"/>
            </w:pPr>
            <w:r>
              <w:rPr>
                <w:sz w:val="16"/>
                <w:szCs w:val="16"/>
              </w:rPr>
              <w:t xml:space="preserve">2027</w:t>
            </w:r>
          </w:p>
        </w:tc>
        <w:tc>
          <w:tcPr>
            <w:tcW w:type="dxa" w:w="1180"/>
            <w:shd w:fill="F2F5FA" w:color="auto" w:val="clear"/>
            <w:vAlign w:val="center"/>
          </w:tcPr>
          <w:p>
            <w:pPr>
              <w:spacing w:after="30" w:before="30" w:line="230"/>
              <w:jc w:val="right"/>
            </w:pPr>
            <w:r>
              <w:rPr>
                <w:sz w:val="16"/>
                <w:szCs w:val="16"/>
              </w:rPr>
              <w:t xml:space="preserve">32.017</w:t>
            </w:r>
          </w:p>
        </w:tc>
        <w:tc>
          <w:tcPr>
            <w:tcW w:type="dxa" w:w="900"/>
            <w:shd w:fill="F2F5FA" w:color="auto" w:val="clear"/>
            <w:vAlign w:val="center"/>
          </w:tcPr>
          <w:p>
            <w:pPr>
              <w:spacing w:after="30" w:before="30" w:line="230"/>
              <w:jc w:val="right"/>
            </w:pPr>
            <w:r>
              <w:rPr>
                <w:sz w:val="16"/>
                <w:szCs w:val="16"/>
              </w:rPr>
              <w:t xml:space="preserve">3.714</w:t>
            </w:r>
          </w:p>
        </w:tc>
        <w:tc>
          <w:tcPr>
            <w:tcW w:type="dxa" w:w="1900"/>
            <w:shd w:fill="F2F5FA" w:color="auto" w:val="clear"/>
            <w:vAlign w:val="center"/>
          </w:tcPr>
          <w:p>
            <w:pPr>
              <w:spacing w:after="30" w:before="30" w:line="230"/>
              <w:jc w:val="right"/>
            </w:pPr>
            <w:r>
              <w:rPr>
                <w:sz w:val="16"/>
                <w:szCs w:val="16"/>
              </w:rPr>
              <w:t xml:space="preserve">–</w:t>
            </w:r>
          </w:p>
        </w:tc>
        <w:tc>
          <w:tcPr>
            <w:tcW w:type="dxa" w:w="1500"/>
            <w:shd w:fill="F2F5FA" w:color="auto" w:val="clear"/>
            <w:vAlign w:val="center"/>
          </w:tcPr>
          <w:p>
            <w:pPr>
              <w:spacing w:after="30" w:before="30" w:line="230"/>
              <w:jc w:val="right"/>
            </w:pPr>
            <w:r>
              <w:rPr>
                <w:sz w:val="16"/>
                <w:szCs w:val="16"/>
              </w:rPr>
              <w:t xml:space="preserve">1.600</w:t>
            </w:r>
          </w:p>
        </w:tc>
        <w:tc>
          <w:tcPr>
            <w:tcW w:type="dxa" w:w="1150"/>
            <w:shd w:fill="F2F5FA" w:color="auto" w:val="clear"/>
            <w:vAlign w:val="center"/>
          </w:tcPr>
          <w:p>
            <w:pPr>
              <w:spacing w:after="30" w:before="30" w:line="230"/>
              <w:jc w:val="right"/>
            </w:pPr>
            <w:r>
              <w:rPr>
                <w:b/>
                <w:bCs/>
                <w:sz w:val="16"/>
                <w:szCs w:val="16"/>
              </w:rPr>
              <w:t xml:space="preserve">2.114</w:t>
            </w:r>
          </w:p>
        </w:tc>
        <w:tc>
          <w:tcPr>
            <w:tcW w:type="dxa" w:w="1308"/>
            <w:shd w:fill="F2F5FA" w:color="auto" w:val="clear"/>
            <w:vAlign w:val="center"/>
          </w:tcPr>
          <w:p>
            <w:pPr>
              <w:spacing w:after="30" w:before="30" w:line="230"/>
              <w:jc w:val="right"/>
            </w:pPr>
            <w:r>
              <w:rPr>
                <w:sz w:val="16"/>
                <w:szCs w:val="16"/>
              </w:rPr>
              <w:t xml:space="preserve">− 43.367</w:t>
            </w:r>
          </w:p>
        </w:tc>
      </w:tr>
      <w:tr>
        <w:trPr>
          <w:cantSplit/>
        </w:trPr>
        <w:tc>
          <w:tcPr>
            <w:tcW w:type="dxa" w:w="620"/>
            <w:vAlign w:val="center"/>
          </w:tcPr>
          <w:p>
            <w:pPr>
              <w:spacing w:after="30" w:before="30" w:line="230"/>
              <w:jc w:val="center"/>
            </w:pPr>
            <w:r>
              <w:rPr>
                <w:sz w:val="16"/>
                <w:szCs w:val="16"/>
              </w:rPr>
              <w:t xml:space="preserve">7</w:t>
            </w:r>
          </w:p>
        </w:tc>
        <w:tc>
          <w:tcPr>
            <w:tcW w:type="dxa" w:w="1080"/>
            <w:vAlign w:val="center"/>
          </w:tcPr>
          <w:p>
            <w:pPr>
              <w:spacing w:after="30" w:before="30" w:line="230"/>
              <w:jc w:val="center"/>
            </w:pPr>
            <w:r>
              <w:rPr>
                <w:sz w:val="16"/>
                <w:szCs w:val="16"/>
              </w:rPr>
              <w:t xml:space="preserve">2029</w:t>
            </w:r>
          </w:p>
        </w:tc>
        <w:tc>
          <w:tcPr>
            <w:tcW w:type="dxa" w:w="1180"/>
            <w:vAlign w:val="center"/>
          </w:tcPr>
          <w:p>
            <w:pPr>
              <w:spacing w:after="30" w:before="30" w:line="230"/>
              <w:jc w:val="right"/>
            </w:pPr>
            <w:r>
              <w:rPr>
                <w:sz w:val="16"/>
                <w:szCs w:val="16"/>
              </w:rPr>
              <w:t xml:space="preserve">31.855</w:t>
            </w:r>
          </w:p>
        </w:tc>
        <w:tc>
          <w:tcPr>
            <w:tcW w:type="dxa" w:w="900"/>
            <w:vAlign w:val="center"/>
          </w:tcPr>
          <w:p>
            <w:pPr>
              <w:spacing w:after="30" w:before="30" w:line="230"/>
              <w:jc w:val="right"/>
            </w:pPr>
            <w:r>
              <w:rPr>
                <w:sz w:val="16"/>
                <w:szCs w:val="16"/>
              </w:rPr>
              <w:t xml:space="preserve">3.695</w:t>
            </w:r>
          </w:p>
        </w:tc>
        <w:tc>
          <w:tcPr>
            <w:tcW w:type="dxa" w:w="1900"/>
            <w:vAlign w:val="center"/>
          </w:tcPr>
          <w:p>
            <w:pPr>
              <w:spacing w:after="30" w:before="30" w:line="230"/>
              <w:jc w:val="right"/>
            </w:pPr>
            <w:r>
              <w:rPr>
                <w:sz w:val="16"/>
                <w:szCs w:val="16"/>
              </w:rPr>
              <w:t xml:space="preserve">–</w:t>
            </w:r>
          </w:p>
        </w:tc>
        <w:tc>
          <w:tcPr>
            <w:tcW w:type="dxa" w:w="1500"/>
            <w:vAlign w:val="center"/>
          </w:tcPr>
          <w:p>
            <w:pPr>
              <w:spacing w:after="30" w:before="30" w:line="230"/>
              <w:jc w:val="right"/>
            </w:pPr>
            <w:r>
              <w:rPr>
                <w:sz w:val="16"/>
                <w:szCs w:val="16"/>
              </w:rPr>
              <w:t xml:space="preserve">1.600</w:t>
            </w:r>
          </w:p>
        </w:tc>
        <w:tc>
          <w:tcPr>
            <w:tcW w:type="dxa" w:w="1150"/>
            <w:vAlign w:val="center"/>
          </w:tcPr>
          <w:p>
            <w:pPr>
              <w:spacing w:after="30" w:before="30" w:line="230"/>
              <w:jc w:val="right"/>
            </w:pPr>
            <w:r>
              <w:rPr>
                <w:b/>
                <w:bCs/>
                <w:sz w:val="16"/>
                <w:szCs w:val="16"/>
              </w:rPr>
              <w:t xml:space="preserve">2.095</w:t>
            </w:r>
          </w:p>
        </w:tc>
        <w:tc>
          <w:tcPr>
            <w:tcW w:type="dxa" w:w="1308"/>
            <w:vAlign w:val="center"/>
          </w:tcPr>
          <w:p>
            <w:pPr>
              <w:spacing w:after="30" w:before="30" w:line="230"/>
              <w:jc w:val="right"/>
            </w:pPr>
            <w:r>
              <w:rPr>
                <w:sz w:val="16"/>
                <w:szCs w:val="16"/>
              </w:rPr>
              <w:t xml:space="preserve">− 39.168</w:t>
            </w:r>
          </w:p>
        </w:tc>
      </w:tr>
      <w:tr>
        <w:trPr>
          <w:cantSplit/>
        </w:trPr>
        <w:tc>
          <w:tcPr>
            <w:tcW w:type="dxa" w:w="620"/>
            <w:shd w:fill="F2F5FA" w:color="auto" w:val="clear"/>
            <w:vAlign w:val="center"/>
          </w:tcPr>
          <w:p>
            <w:pPr>
              <w:spacing w:after="30" w:before="30" w:line="230"/>
              <w:jc w:val="center"/>
            </w:pPr>
            <w:r>
              <w:rPr>
                <w:sz w:val="16"/>
                <w:szCs w:val="16"/>
              </w:rPr>
              <w:t xml:space="preserve">8</w:t>
            </w:r>
          </w:p>
        </w:tc>
        <w:tc>
          <w:tcPr>
            <w:tcW w:type="dxa" w:w="1080"/>
            <w:shd w:fill="F2F5FA" w:color="auto" w:val="clear"/>
            <w:vAlign w:val="center"/>
          </w:tcPr>
          <w:p>
            <w:pPr>
              <w:spacing w:after="30" w:before="30" w:line="230"/>
              <w:jc w:val="center"/>
            </w:pPr>
            <w:r>
              <w:rPr>
                <w:sz w:val="16"/>
                <w:szCs w:val="16"/>
              </w:rPr>
              <w:t xml:space="preserve">2030</w:t>
            </w:r>
          </w:p>
        </w:tc>
        <w:tc>
          <w:tcPr>
            <w:tcW w:type="dxa" w:w="1180"/>
            <w:shd w:fill="F2F5FA" w:color="auto" w:val="clear"/>
            <w:vAlign w:val="center"/>
          </w:tcPr>
          <w:p>
            <w:pPr>
              <w:spacing w:after="30" w:before="30" w:line="230"/>
              <w:jc w:val="right"/>
            </w:pPr>
            <w:r>
              <w:rPr>
                <w:sz w:val="16"/>
                <w:szCs w:val="16"/>
              </w:rPr>
              <w:t xml:space="preserve">31.774</w:t>
            </w:r>
          </w:p>
        </w:tc>
        <w:tc>
          <w:tcPr>
            <w:tcW w:type="dxa" w:w="900"/>
            <w:shd w:fill="F2F5FA" w:color="auto" w:val="clear"/>
            <w:vAlign w:val="center"/>
          </w:tcPr>
          <w:p>
            <w:pPr>
              <w:spacing w:after="30" w:before="30" w:line="230"/>
              <w:jc w:val="right"/>
            </w:pPr>
            <w:r>
              <w:rPr>
                <w:sz w:val="16"/>
                <w:szCs w:val="16"/>
              </w:rPr>
              <w:t xml:space="preserve">3.686</w:t>
            </w:r>
          </w:p>
        </w:tc>
        <w:tc>
          <w:tcPr>
            <w:tcW w:type="dxa" w:w="1900"/>
            <w:shd w:fill="F2F5FA" w:color="auto" w:val="clear"/>
            <w:vAlign w:val="center"/>
          </w:tcPr>
          <w:p>
            <w:pPr>
              <w:spacing w:after="30" w:before="30" w:line="230"/>
              <w:jc w:val="right"/>
            </w:pPr>
            <w:r>
              <w:rPr>
                <w:sz w:val="16"/>
                <w:szCs w:val="16"/>
              </w:rPr>
              <w:t xml:space="preserve">–</w:t>
            </w:r>
          </w:p>
        </w:tc>
        <w:tc>
          <w:tcPr>
            <w:tcW w:type="dxa" w:w="1500"/>
            <w:shd w:fill="F2F5FA" w:color="auto" w:val="clear"/>
            <w:vAlign w:val="center"/>
          </w:tcPr>
          <w:p>
            <w:pPr>
              <w:spacing w:after="30" w:before="30" w:line="230"/>
              <w:jc w:val="right"/>
            </w:pPr>
            <w:r>
              <w:rPr>
                <w:sz w:val="16"/>
                <w:szCs w:val="16"/>
              </w:rPr>
              <w:t xml:space="preserve">1.600</w:t>
            </w:r>
          </w:p>
        </w:tc>
        <w:tc>
          <w:tcPr>
            <w:tcW w:type="dxa" w:w="1150"/>
            <w:shd w:fill="F2F5FA" w:color="auto" w:val="clear"/>
            <w:vAlign w:val="center"/>
          </w:tcPr>
          <w:p>
            <w:pPr>
              <w:spacing w:after="30" w:before="30" w:line="230"/>
              <w:jc w:val="right"/>
            </w:pPr>
            <w:r>
              <w:rPr>
                <w:b/>
                <w:bCs/>
                <w:sz w:val="16"/>
                <w:szCs w:val="16"/>
              </w:rPr>
              <w:t xml:space="preserve">2.086</w:t>
            </w:r>
          </w:p>
        </w:tc>
        <w:tc>
          <w:tcPr>
            <w:tcW w:type="dxa" w:w="1308"/>
            <w:shd w:fill="F2F5FA" w:color="auto" w:val="clear"/>
            <w:vAlign w:val="center"/>
          </w:tcPr>
          <w:p>
            <w:pPr>
              <w:spacing w:after="30" w:before="30" w:line="230"/>
              <w:jc w:val="right"/>
            </w:pPr>
            <w:r>
              <w:rPr>
                <w:sz w:val="16"/>
                <w:szCs w:val="16"/>
              </w:rPr>
              <w:t xml:space="preserve">− 37.082</w:t>
            </w:r>
          </w:p>
        </w:tc>
      </w:tr>
      <w:tr>
        <w:trPr>
          <w:cantSplit/>
        </w:trPr>
        <w:tc>
          <w:tcPr>
            <w:tcW w:type="dxa" w:w="620"/>
            <w:vAlign w:val="center"/>
          </w:tcPr>
          <w:p>
            <w:pPr>
              <w:spacing w:after="30" w:before="30" w:line="230"/>
              <w:jc w:val="center"/>
            </w:pPr>
            <w:r>
              <w:rPr>
                <w:sz w:val="16"/>
                <w:szCs w:val="16"/>
              </w:rPr>
              <w:t xml:space="preserve">10</w:t>
            </w:r>
          </w:p>
        </w:tc>
        <w:tc>
          <w:tcPr>
            <w:tcW w:type="dxa" w:w="1080"/>
            <w:vAlign w:val="center"/>
          </w:tcPr>
          <w:p>
            <w:pPr>
              <w:spacing w:after="30" w:before="30" w:line="230"/>
              <w:jc w:val="center"/>
            </w:pPr>
            <w:r>
              <w:rPr>
                <w:sz w:val="16"/>
                <w:szCs w:val="16"/>
              </w:rPr>
              <w:t xml:space="preserve">2032</w:t>
            </w:r>
          </w:p>
        </w:tc>
        <w:tc>
          <w:tcPr>
            <w:tcW w:type="dxa" w:w="1180"/>
            <w:vAlign w:val="center"/>
          </w:tcPr>
          <w:p>
            <w:pPr>
              <w:spacing w:after="30" w:before="30" w:line="230"/>
              <w:jc w:val="right"/>
            </w:pPr>
            <w:r>
              <w:rPr>
                <w:sz w:val="16"/>
                <w:szCs w:val="16"/>
              </w:rPr>
              <w:t xml:space="preserve">31.612</w:t>
            </w:r>
          </w:p>
        </w:tc>
        <w:tc>
          <w:tcPr>
            <w:tcW w:type="dxa" w:w="900"/>
            <w:vAlign w:val="center"/>
          </w:tcPr>
          <w:p>
            <w:pPr>
              <w:spacing w:after="30" w:before="30" w:line="230"/>
              <w:jc w:val="right"/>
            </w:pPr>
            <w:r>
              <w:rPr>
                <w:sz w:val="16"/>
                <w:szCs w:val="16"/>
              </w:rPr>
              <w:t xml:space="preserve">3.667</w:t>
            </w:r>
          </w:p>
        </w:tc>
        <w:tc>
          <w:tcPr>
            <w:tcW w:type="dxa" w:w="1900"/>
            <w:vAlign w:val="center"/>
          </w:tcPr>
          <w:p>
            <w:pPr>
              <w:spacing w:after="30" w:before="30" w:line="230"/>
              <w:jc w:val="right"/>
            </w:pPr>
            <w:r>
              <w:rPr>
                <w:sz w:val="16"/>
                <w:szCs w:val="16"/>
              </w:rPr>
              <w:t xml:space="preserve">–</w:t>
            </w:r>
          </w:p>
        </w:tc>
        <w:tc>
          <w:tcPr>
            <w:tcW w:type="dxa" w:w="1500"/>
            <w:vAlign w:val="center"/>
          </w:tcPr>
          <w:p>
            <w:pPr>
              <w:spacing w:after="30" w:before="30" w:line="230"/>
              <w:jc w:val="right"/>
            </w:pPr>
            <w:r>
              <w:rPr>
                <w:sz w:val="16"/>
                <w:szCs w:val="16"/>
              </w:rPr>
              <w:t xml:space="preserve">1.600</w:t>
            </w:r>
          </w:p>
        </w:tc>
        <w:tc>
          <w:tcPr>
            <w:tcW w:type="dxa" w:w="1150"/>
            <w:vAlign w:val="center"/>
          </w:tcPr>
          <w:p>
            <w:pPr>
              <w:spacing w:after="30" w:before="30" w:line="230"/>
              <w:jc w:val="right"/>
            </w:pPr>
            <w:r>
              <w:rPr>
                <w:b/>
                <w:bCs/>
                <w:sz w:val="16"/>
                <w:szCs w:val="16"/>
              </w:rPr>
              <w:t xml:space="preserve">2.067</w:t>
            </w:r>
          </w:p>
        </w:tc>
        <w:tc>
          <w:tcPr>
            <w:tcW w:type="dxa" w:w="1308"/>
            <w:vAlign w:val="center"/>
          </w:tcPr>
          <w:p>
            <w:pPr>
              <w:spacing w:after="30" w:before="30" w:line="230"/>
              <w:jc w:val="right"/>
            </w:pPr>
            <w:r>
              <w:rPr>
                <w:sz w:val="16"/>
                <w:szCs w:val="16"/>
              </w:rPr>
              <w:t xml:space="preserve">− 32.938</w:t>
            </w:r>
          </w:p>
        </w:tc>
      </w:tr>
      <w:tr>
        <w:trPr>
          <w:cantSplit/>
        </w:trPr>
        <w:tc>
          <w:tcPr>
            <w:tcW w:type="dxa" w:w="620"/>
            <w:shd w:fill="F2F5FA" w:color="auto" w:val="clear"/>
            <w:vAlign w:val="center"/>
          </w:tcPr>
          <w:p>
            <w:pPr>
              <w:spacing w:after="30" w:before="30" w:line="230"/>
              <w:jc w:val="center"/>
            </w:pPr>
            <w:r>
              <w:rPr>
                <w:sz w:val="16"/>
                <w:szCs w:val="16"/>
              </w:rPr>
              <w:t xml:space="preserve">20</w:t>
            </w:r>
          </w:p>
        </w:tc>
        <w:tc>
          <w:tcPr>
            <w:tcW w:type="dxa" w:w="1080"/>
            <w:shd w:fill="F2F5FA" w:color="auto" w:val="clear"/>
            <w:vAlign w:val="center"/>
          </w:tcPr>
          <w:p>
            <w:pPr>
              <w:spacing w:after="30" w:before="30" w:line="230"/>
              <w:jc w:val="center"/>
            </w:pPr>
            <w:r>
              <w:rPr>
                <w:sz w:val="16"/>
                <w:szCs w:val="16"/>
              </w:rPr>
              <w:t xml:space="preserve">2042</w:t>
            </w:r>
          </w:p>
        </w:tc>
        <w:tc>
          <w:tcPr>
            <w:tcW w:type="dxa" w:w="1180"/>
            <w:shd w:fill="F2F5FA" w:color="auto" w:val="clear"/>
            <w:vAlign w:val="center"/>
          </w:tcPr>
          <w:p>
            <w:pPr>
              <w:spacing w:after="30" w:before="30" w:line="230"/>
              <w:jc w:val="right"/>
            </w:pPr>
            <w:r>
              <w:rPr>
                <w:sz w:val="16"/>
                <w:szCs w:val="16"/>
              </w:rPr>
              <w:t xml:space="preserve">30.804</w:t>
            </w:r>
          </w:p>
        </w:tc>
        <w:tc>
          <w:tcPr>
            <w:tcW w:type="dxa" w:w="900"/>
            <w:shd w:fill="F2F5FA" w:color="auto" w:val="clear"/>
            <w:vAlign w:val="center"/>
          </w:tcPr>
          <w:p>
            <w:pPr>
              <w:spacing w:after="30" w:before="30" w:line="230"/>
              <w:jc w:val="right"/>
            </w:pPr>
            <w:r>
              <w:rPr>
                <w:sz w:val="16"/>
                <w:szCs w:val="16"/>
              </w:rPr>
              <w:t xml:space="preserve">3.573</w:t>
            </w:r>
          </w:p>
        </w:tc>
        <w:tc>
          <w:tcPr>
            <w:tcW w:type="dxa" w:w="1900"/>
            <w:shd w:fill="F2F5FA" w:color="auto" w:val="clear"/>
            <w:vAlign w:val="center"/>
          </w:tcPr>
          <w:p>
            <w:pPr>
              <w:spacing w:after="30" w:before="30" w:line="230"/>
              <w:jc w:val="right"/>
            </w:pPr>
            <w:r>
              <w:rPr>
                <w:sz w:val="16"/>
                <w:szCs w:val="16"/>
              </w:rPr>
              <w:t xml:space="preserve">–</w:t>
            </w:r>
          </w:p>
        </w:tc>
        <w:tc>
          <w:tcPr>
            <w:tcW w:type="dxa" w:w="1500"/>
            <w:shd w:fill="F2F5FA" w:color="auto" w:val="clear"/>
            <w:vAlign w:val="center"/>
          </w:tcPr>
          <w:p>
            <w:pPr>
              <w:spacing w:after="30" w:before="30" w:line="230"/>
              <w:jc w:val="right"/>
            </w:pPr>
            <w:r>
              <w:rPr>
                <w:sz w:val="16"/>
                <w:szCs w:val="16"/>
              </w:rPr>
              <w:t xml:space="preserve">1.600</w:t>
            </w:r>
          </w:p>
        </w:tc>
        <w:tc>
          <w:tcPr>
            <w:tcW w:type="dxa" w:w="1150"/>
            <w:shd w:fill="F2F5FA" w:color="auto" w:val="clear"/>
            <w:vAlign w:val="center"/>
          </w:tcPr>
          <w:p>
            <w:pPr>
              <w:spacing w:after="30" w:before="30" w:line="230"/>
              <w:jc w:val="right"/>
            </w:pPr>
            <w:r>
              <w:rPr>
                <w:b/>
                <w:bCs/>
                <w:sz w:val="16"/>
                <w:szCs w:val="16"/>
              </w:rPr>
              <w:t xml:space="preserve">1.973</w:t>
            </w:r>
          </w:p>
        </w:tc>
        <w:tc>
          <w:tcPr>
            <w:tcW w:type="dxa" w:w="1308"/>
            <w:shd w:fill="F2F5FA" w:color="auto" w:val="clear"/>
            <w:vAlign w:val="center"/>
          </w:tcPr>
          <w:p>
            <w:pPr>
              <w:spacing w:after="30" w:before="30" w:line="230"/>
              <w:jc w:val="right"/>
            </w:pPr>
            <w:r>
              <w:rPr>
                <w:sz w:val="16"/>
                <w:szCs w:val="16"/>
              </w:rPr>
              <w:t xml:space="preserve">− 12.784</w:t>
            </w:r>
          </w:p>
        </w:tc>
      </w:tr>
      <w:tr>
        <w:trPr>
          <w:cantSplit/>
        </w:trPr>
        <w:tc>
          <w:tcPr>
            <w:tcW w:type="dxa" w:w="620"/>
            <w:shd w:fill="E8F0FB" w:color="auto" w:val="clear"/>
            <w:vAlign w:val="center"/>
          </w:tcPr>
          <w:p>
            <w:pPr>
              <w:spacing w:after="30" w:before="30" w:line="230"/>
              <w:jc w:val="center"/>
            </w:pPr>
            <w:r>
              <w:rPr>
                <w:sz w:val="16"/>
                <w:szCs w:val="16"/>
              </w:rPr>
              <w:t xml:space="preserve">21</w:t>
            </w:r>
          </w:p>
        </w:tc>
        <w:tc>
          <w:tcPr>
            <w:tcW w:type="dxa" w:w="1080"/>
            <w:shd w:fill="E8F0FB" w:color="auto" w:val="clear"/>
            <w:vAlign w:val="center"/>
          </w:tcPr>
          <w:p>
            <w:pPr>
              <w:spacing w:after="30" w:before="30" w:line="230"/>
              <w:jc w:val="center"/>
            </w:pPr>
            <w:r>
              <w:rPr>
                <w:sz w:val="16"/>
                <w:szCs w:val="16"/>
              </w:rPr>
              <w:t xml:space="preserve">2043</w:t>
            </w:r>
          </w:p>
        </w:tc>
        <w:tc>
          <w:tcPr>
            <w:tcW w:type="dxa" w:w="1180"/>
            <w:shd w:fill="E8F0FB" w:color="auto" w:val="clear"/>
            <w:vAlign w:val="center"/>
          </w:tcPr>
          <w:p>
            <w:pPr>
              <w:spacing w:after="30" w:before="30" w:line="230"/>
              <w:jc w:val="right"/>
            </w:pPr>
            <w:r>
              <w:rPr>
                <w:sz w:val="16"/>
                <w:szCs w:val="16"/>
              </w:rPr>
              <w:t xml:space="preserve">30.723</w:t>
            </w:r>
          </w:p>
        </w:tc>
        <w:tc>
          <w:tcPr>
            <w:tcW w:type="dxa" w:w="900"/>
            <w:shd w:fill="E8F0FB" w:color="auto" w:val="clear"/>
            <w:vAlign w:val="center"/>
          </w:tcPr>
          <w:p>
            <w:pPr>
              <w:spacing w:after="30" w:before="30" w:line="230"/>
              <w:jc w:val="right"/>
            </w:pPr>
            <w:r>
              <w:rPr>
                <w:sz w:val="16"/>
                <w:szCs w:val="16"/>
              </w:rPr>
              <w:t xml:space="preserve">3.564</w:t>
            </w:r>
          </w:p>
        </w:tc>
        <w:tc>
          <w:tcPr>
            <w:tcW w:type="dxa" w:w="1900"/>
            <w:shd w:fill="E8F0FB" w:color="auto" w:val="clear"/>
            <w:vAlign w:val="center"/>
          </w:tcPr>
          <w:p>
            <w:pPr>
              <w:spacing w:after="30" w:before="30" w:line="230"/>
              <w:jc w:val="right"/>
            </w:pPr>
            <w:r>
              <w:rPr>
                <w:sz w:val="16"/>
                <w:szCs w:val="16"/>
              </w:rPr>
              <w:t xml:space="preserve">–</w:t>
            </w:r>
          </w:p>
        </w:tc>
        <w:tc>
          <w:tcPr>
            <w:tcW w:type="dxa" w:w="1500"/>
            <w:shd w:fill="E8F0FB" w:color="auto" w:val="clear"/>
            <w:vAlign w:val="center"/>
          </w:tcPr>
          <w:p>
            <w:pPr>
              <w:spacing w:after="30" w:before="30" w:line="230"/>
              <w:jc w:val="right"/>
            </w:pPr>
            <w:r>
              <w:rPr>
                <w:sz w:val="16"/>
                <w:szCs w:val="16"/>
              </w:rPr>
              <w:t xml:space="preserve">1.600</w:t>
            </w:r>
          </w:p>
        </w:tc>
        <w:tc>
          <w:tcPr>
            <w:tcW w:type="dxa" w:w="1150"/>
            <w:shd w:fill="E8F0FB" w:color="auto" w:val="clear"/>
            <w:vAlign w:val="center"/>
          </w:tcPr>
          <w:p>
            <w:pPr>
              <w:spacing w:after="30" w:before="30" w:line="230"/>
              <w:jc w:val="right"/>
            </w:pPr>
            <w:r>
              <w:rPr>
                <w:b/>
                <w:bCs/>
                <w:sz w:val="16"/>
                <w:szCs w:val="16"/>
              </w:rPr>
              <w:t xml:space="preserve">1.964</w:t>
            </w:r>
          </w:p>
        </w:tc>
        <w:tc>
          <w:tcPr>
            <w:tcW w:type="dxa" w:w="1308"/>
            <w:shd w:fill="E8F0FB" w:color="auto" w:val="clear"/>
            <w:vAlign w:val="center"/>
          </w:tcPr>
          <w:p>
            <w:pPr>
              <w:spacing w:after="30" w:before="30" w:line="230"/>
              <w:jc w:val="right"/>
            </w:pPr>
            <w:r>
              <w:rPr>
                <w:b/>
                <w:bCs/>
                <w:sz w:val="16"/>
                <w:szCs w:val="16"/>
              </w:rPr>
              <w:t xml:space="preserve">− 10.820 ← keine Amortisation</w:t>
            </w:r>
          </w:p>
        </w:tc>
      </w:tr>
      <w:tr>
        <w:trPr>
          <w:cantSplit/>
        </w:trPr>
        <w:tc>
          <w:tcPr>
            <w:tcW w:type="dxa" w:w="620"/>
            <w:shd w:fill="E8F0FB" w:color="auto" w:val="clear"/>
            <w:vAlign w:val="center"/>
          </w:tcPr>
          <w:p>
            <w:pPr>
              <w:spacing w:after="30" w:before="30" w:line="230"/>
              <w:jc w:val="center"/>
            </w:pPr>
            <w:r>
              <w:rPr>
                <w:b/>
                <w:bCs/>
                <w:sz w:val="16"/>
                <w:szCs w:val="16"/>
              </w:rPr>
              <w:t xml:space="preserve">Σ</w:t>
            </w:r>
          </w:p>
        </w:tc>
        <w:tc>
          <w:tcPr>
            <w:tcW w:type="dxa" w:w="1080"/>
            <w:shd w:fill="E8F0FB" w:color="auto" w:val="clear"/>
            <w:vAlign w:val="center"/>
          </w:tcPr>
          <w:p>
            <w:pPr>
              <w:spacing w:after="30" w:before="30" w:line="230"/>
              <w:jc w:val="center"/>
            </w:pPr>
            <w:r>
              <w:rPr>
                <w:b/>
                <w:bCs/>
                <w:sz w:val="16"/>
                <w:szCs w:val="16"/>
              </w:rPr>
              <w:t xml:space="preserve">2023–2043</w:t>
            </w:r>
          </w:p>
        </w:tc>
        <w:tc>
          <w:tcPr>
            <w:tcW w:type="dxa" w:w="1180"/>
            <w:shd w:fill="E8F0FB" w:color="auto" w:val="clear"/>
            <w:vAlign w:val="center"/>
          </w:tcPr>
          <w:p>
            <w:pPr>
              <w:spacing w:after="30" w:before="30" w:line="230"/>
              <w:jc w:val="right"/>
            </w:pPr>
            <w:r>
              <w:rPr>
                <w:b/>
                <w:bCs/>
                <w:sz w:val="16"/>
                <w:szCs w:val="16"/>
              </w:rPr>
              <w:t xml:space="preserve">659.598</w:t>
            </w:r>
          </w:p>
        </w:tc>
        <w:tc>
          <w:tcPr>
            <w:tcW w:type="dxa" w:w="900"/>
            <w:shd w:fill="E8F0FB" w:color="auto" w:val="clear"/>
            <w:vAlign w:val="center"/>
          </w:tcPr>
          <w:p>
            <w:pPr>
              <w:spacing w:after="30" w:before="30" w:line="230"/>
              <w:jc w:val="right"/>
            </w:pPr>
            <w:r>
              <w:rPr>
                <w:b/>
                <w:bCs/>
                <w:sz w:val="16"/>
                <w:szCs w:val="16"/>
              </w:rPr>
              <w:t xml:space="preserve">76.513</w:t>
            </w:r>
          </w:p>
        </w:tc>
        <w:tc>
          <w:tcPr>
            <w:tcW w:type="dxa" w:w="1900"/>
            <w:shd w:fill="E8F0FB" w:color="auto" w:val="clear"/>
            <w:vAlign w:val="center"/>
          </w:tcPr>
          <w:p>
            <w:pPr>
              <w:spacing w:after="30" w:before="30" w:line="230"/>
              <w:jc w:val="right"/>
            </w:pPr>
            <w:r>
              <w:rPr>
                <w:sz w:val="16"/>
                <w:szCs w:val="16"/>
              </w:rPr>
              <w:t xml:space="preserve">–</w:t>
            </w:r>
          </w:p>
        </w:tc>
        <w:tc>
          <w:tcPr>
            <w:tcW w:type="dxa" w:w="1500"/>
            <w:shd w:fill="E8F0FB" w:color="auto" w:val="clear"/>
            <w:vAlign w:val="center"/>
          </w:tcPr>
          <w:p>
            <w:pPr>
              <w:spacing w:after="30" w:before="30" w:line="230"/>
              <w:jc w:val="right"/>
            </w:pPr>
            <w:r>
              <w:rPr>
                <w:b/>
                <w:bCs/>
                <w:sz w:val="16"/>
                <w:szCs w:val="16"/>
              </w:rPr>
              <w:t xml:space="preserve">33.333</w:t>
            </w:r>
          </w:p>
        </w:tc>
        <w:tc>
          <w:tcPr>
            <w:tcW w:type="dxa" w:w="1150"/>
            <w:shd w:fill="E8F0FB" w:color="auto" w:val="clear"/>
            <w:vAlign w:val="center"/>
          </w:tcPr>
          <w:p>
            <w:pPr>
              <w:spacing w:after="30" w:before="30" w:line="230"/>
              <w:jc w:val="right"/>
            </w:pPr>
            <w:r>
              <w:rPr>
                <w:b/>
                <w:bCs/>
                <w:sz w:val="16"/>
                <w:szCs w:val="16"/>
              </w:rPr>
              <w:t xml:space="preserve">43.180</w:t>
            </w:r>
          </w:p>
        </w:tc>
        <w:tc>
          <w:tcPr>
            <w:tcW w:type="dxa" w:w="1308"/>
            <w:shd w:fill="E8F0FB" w:color="auto" w:val="clear"/>
            <w:vAlign w:val="center"/>
          </w:tcPr>
          <w:p>
            <w:pPr>
              <w:spacing w:after="30" w:before="30" w:line="230"/>
              <w:jc w:val="right"/>
            </w:pPr>
            <w:r>
              <w:rPr>
                <w:b/>
                <w:bCs/>
                <w:sz w:val="16"/>
                <w:szCs w:val="16"/>
              </w:rPr>
              <w:t xml:space="preserve">− 10.820</w:t>
            </w:r>
          </w:p>
        </w:tc>
      </w:tr>
    </w:tbl>
    <w:p>
      <w:pPr>
        <w:spacing w:after="100"/>
      </w:pPr>
      <w:r>
        <w:rPr>
          <w:sz w:val="8"/>
          <w:szCs w:val="8"/>
        </w:rPr>
        <w:t xml:space="preserve"/>
      </w:r>
    </w:p>
    <w:p>
      <w:pPr>
        <w:spacing w:after="160"/>
      </w:pPr>
      <w:r>
        <w:rPr>
          <w:i/>
          <w:iCs/>
          <w:color w:val="44546A"/>
          <w:sz w:val="17"/>
          <w:szCs w:val="17"/>
        </w:rPr>
        <w:t xml:space="preserve">Alle Beträge kaufmännisch gerundet.</w:t>
      </w:r>
    </w:p>
    <w:p>
      <w:r>
        <w:t xml:space="preserve">Die Gegenüberstellung der beiden Summenzeilen ist der Kern der Sache: Beide Pläne erzeugen </w:t>
      </w:r>
      <w:r>
        <w:rPr>
          <w:b/>
          <w:bCs/>
        </w:rPr>
        <w:t xml:space="preserve">dieselben 659.598 kWh</w:t>
      </w:r>
      <w:r>
        <w:t xml:space="preserve"> und tragen </w:t>
      </w:r>
      <w:r>
        <w:rPr>
          <w:b/>
          <w:bCs/>
        </w:rPr>
        <w:t xml:space="preserve">dieselbe Investition von 54.000 €</w:t>
      </w:r>
      <w:r>
        <w:t xml:space="preserve">. Der Plan „Volleinspeisung“ verwertet sie zu 76.513 €, der Plan „Überschuss“ zu 258.755 € (8.194 € E1 + 250.561 € E6) – bei um 9.167 € höheren Betriebskosten. Die Differenz von rund 182.000 € über die Laufzeit ist ausschließlich der Baustein E6.</w:t>
      </w:r>
    </w:p>
    <w:p>
      <w:pPr>
        <w:pStyle w:val="Heading3"/>
      </w:pPr>
      <w:bookmarkStart w:id="900034" w:name="_Toc90000034"/>
      <w:r>
        <w:t xml:space="preserve">K3.5  Verifikation gegen die Tool-Werte</w:t>
      </w:r>
      <w:bookmarkEnd w:id="900034"/>
    </w:p>
    <w:p>
      <w:r>
        <w:t xml:space="preserve">Das Herzstück dieses Teils: </w:t>
      </w:r>
      <w:r>
        <w:rPr>
          <w:b/>
          <w:bCs/>
        </w:rPr>
        <w:t xml:space="preserve">jede vom Werkzeug ausgewiesene Kennzahl, daneben der nachgerechnete Wert und die Abweichung.</w:t>
      </w:r>
      <w:r>
        <w:t xml:space="preserve"> Tool-Werte nach [29], nachgerechnete Werte nach [36].</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750"/>
        <w:gridCol w:w="1350"/>
        <w:gridCol w:w="1450"/>
        <w:gridCol w:w="1350"/>
        <w:gridCol w:w="2738"/>
      </w:tblGrid>
      <w:tr>
        <w:trPr>
          <w:tblHeader/>
        </w:trPr>
        <w:tc>
          <w:tcPr>
            <w:tcW w:type="dxa" w:w="2750"/>
            <w:shd w:fill="1F3864" w:color="auto" w:val="clear"/>
            <w:vAlign w:val="center"/>
          </w:tcPr>
          <w:p>
            <w:pPr>
              <w:spacing w:after="30" w:before="30" w:line="230"/>
              <w:jc w:val="left"/>
            </w:pPr>
            <w:r>
              <w:rPr>
                <w:b/>
                <w:bCs/>
                <w:color w:val="FFFFFF"/>
                <w:sz w:val="18"/>
                <w:szCs w:val="18"/>
              </w:rPr>
              <w:t xml:space="preserve">Kennzahl</w:t>
            </w:r>
          </w:p>
        </w:tc>
        <w:tc>
          <w:tcPr>
            <w:tcW w:type="dxa" w:w="1350"/>
            <w:shd w:fill="1F3864" w:color="auto" w:val="clear"/>
            <w:vAlign w:val="center"/>
          </w:tcPr>
          <w:p>
            <w:pPr>
              <w:spacing w:after="30" w:before="30" w:line="230"/>
              <w:jc w:val="center"/>
            </w:pPr>
            <w:r>
              <w:rPr>
                <w:b/>
                <w:bCs/>
                <w:color w:val="FFFFFF"/>
                <w:sz w:val="18"/>
                <w:szCs w:val="18"/>
              </w:rPr>
              <w:t xml:space="preserve">Tool-Wert [29]</w:t>
            </w:r>
          </w:p>
        </w:tc>
        <w:tc>
          <w:tcPr>
            <w:tcW w:type="dxa" w:w="1450"/>
            <w:shd w:fill="1F3864" w:color="auto" w:val="clear"/>
            <w:vAlign w:val="center"/>
          </w:tcPr>
          <w:p>
            <w:pPr>
              <w:spacing w:after="30" w:before="30" w:line="230"/>
              <w:jc w:val="center"/>
            </w:pPr>
            <w:r>
              <w:rPr>
                <w:b/>
                <w:bCs/>
                <w:color w:val="FFFFFF"/>
                <w:sz w:val="18"/>
                <w:szCs w:val="18"/>
              </w:rPr>
              <w:t xml:space="preserve">nachgerechnet [36]</w:t>
            </w:r>
          </w:p>
        </w:tc>
        <w:tc>
          <w:tcPr>
            <w:tcW w:type="dxa" w:w="1350"/>
            <w:shd w:fill="1F3864" w:color="auto" w:val="clear"/>
            <w:vAlign w:val="center"/>
          </w:tcPr>
          <w:p>
            <w:pPr>
              <w:spacing w:after="30" w:before="30" w:line="230"/>
              <w:jc w:val="center"/>
            </w:pPr>
            <w:r>
              <w:rPr>
                <w:b/>
                <w:bCs/>
                <w:color w:val="FFFFFF"/>
                <w:sz w:val="18"/>
                <w:szCs w:val="18"/>
              </w:rPr>
              <w:t xml:space="preserve">Abweichung</w:t>
            </w:r>
          </w:p>
        </w:tc>
        <w:tc>
          <w:tcPr>
            <w:tcW w:type="dxa" w:w="2738"/>
            <w:shd w:fill="1F3864" w:color="auto" w:val="clear"/>
            <w:vAlign w:val="center"/>
          </w:tcPr>
          <w:p>
            <w:pPr>
              <w:spacing w:after="30" w:before="30" w:line="230"/>
              <w:jc w:val="left"/>
            </w:pPr>
            <w:r>
              <w:rPr>
                <w:b/>
                <w:bCs/>
                <w:color w:val="FFFFFF"/>
                <w:sz w:val="18"/>
                <w:szCs w:val="18"/>
              </w:rPr>
              <w:t xml:space="preserve">Ursache der Restabweichung</w:t>
            </w:r>
          </w:p>
        </w:tc>
      </w:tr>
      <w:tr>
        <w:trPr>
          <w:cantSplit/>
        </w:trPr>
        <w:tc>
          <w:tcPr>
            <w:tcW w:type="dxa" w:w="2750"/>
            <w:vAlign w:val="center"/>
          </w:tcPr>
          <w:p>
            <w:pPr>
              <w:spacing w:after="30" w:before="30" w:line="230"/>
              <w:jc w:val="left"/>
            </w:pPr>
            <w:r>
              <w:rPr>
                <w:sz w:val="18"/>
                <w:szCs w:val="18"/>
              </w:rPr>
              <w:t xml:space="preserve">Erzeugung über die Laufzeit</w:t>
            </w:r>
          </w:p>
        </w:tc>
        <w:tc>
          <w:tcPr>
            <w:tcW w:type="dxa" w:w="1350"/>
            <w:vAlign w:val="center"/>
          </w:tcPr>
          <w:p>
            <w:pPr>
              <w:spacing w:after="30" w:before="30" w:line="230"/>
              <w:jc w:val="center"/>
            </w:pPr>
            <w:r>
              <w:rPr>
                <w:sz w:val="18"/>
                <w:szCs w:val="18"/>
              </w:rPr>
              <w:t xml:space="preserve">659.150 kWh ¹</w:t>
            </w:r>
          </w:p>
        </w:tc>
        <w:tc>
          <w:tcPr>
            <w:tcW w:type="dxa" w:w="1450"/>
            <w:vAlign w:val="center"/>
          </w:tcPr>
          <w:p>
            <w:pPr>
              <w:spacing w:after="30" w:before="30" w:line="230"/>
              <w:jc w:val="center"/>
            </w:pPr>
            <w:r>
              <w:rPr>
                <w:sz w:val="18"/>
                <w:szCs w:val="18"/>
              </w:rPr>
              <w:t xml:space="preserve">659.598 kWh</w:t>
            </w:r>
          </w:p>
        </w:tc>
        <w:tc>
          <w:tcPr>
            <w:tcW w:type="dxa" w:w="1350"/>
            <w:vAlign w:val="center"/>
          </w:tcPr>
          <w:p>
            <w:pPr>
              <w:spacing w:after="30" w:before="30" w:line="230"/>
              <w:jc w:val="center"/>
            </w:pPr>
            <w:r>
              <w:rPr>
                <w:sz w:val="18"/>
                <w:szCs w:val="18"/>
              </w:rPr>
              <w:t xml:space="preserve">+ 0,07 %</w:t>
            </w:r>
          </w:p>
        </w:tc>
        <w:tc>
          <w:tcPr>
            <w:tcW w:type="dxa" w:w="2738"/>
            <w:vAlign w:val="center"/>
          </w:tcPr>
          <w:p>
            <w:pPr>
              <w:spacing w:after="30" w:before="30" w:line="230"/>
              <w:jc w:val="left"/>
            </w:pPr>
            <w:r>
              <w:rPr>
                <w:sz w:val="18"/>
                <w:szCs w:val="18"/>
              </w:rPr>
              <w:t xml:space="preserve">Verteilung des Rumpfjahresertrags über die zehn Monate</w:t>
            </w:r>
          </w:p>
        </w:tc>
      </w:tr>
      <w:tr>
        <w:trPr>
          <w:cantSplit/>
        </w:trPr>
        <w:tc>
          <w:tcPr>
            <w:tcW w:type="dxa" w:w="2750"/>
            <w:shd w:fill="F2F5FA" w:color="auto" w:val="clear"/>
            <w:vAlign w:val="center"/>
          </w:tcPr>
          <w:p>
            <w:pPr>
              <w:spacing w:after="30" w:before="30" w:line="230"/>
              <w:jc w:val="left"/>
            </w:pPr>
            <w:r>
              <w:rPr>
                <w:b/>
                <w:bCs/>
                <w:sz w:val="18"/>
                <w:szCs w:val="18"/>
              </w:rPr>
              <w:t xml:space="preserve">Liquiditätsüberschuss Überschuss</w:t>
            </w:r>
          </w:p>
        </w:tc>
        <w:tc>
          <w:tcPr>
            <w:tcW w:type="dxa" w:w="1350"/>
            <w:shd w:fill="F2F5FA" w:color="auto" w:val="clear"/>
            <w:vAlign w:val="center"/>
          </w:tcPr>
          <w:p>
            <w:pPr>
              <w:spacing w:after="30" w:before="30" w:line="230"/>
              <w:jc w:val="center"/>
            </w:pPr>
            <w:r>
              <w:rPr>
                <w:b/>
                <w:bCs/>
                <w:sz w:val="18"/>
                <w:szCs w:val="18"/>
              </w:rPr>
              <w:t xml:space="preserve">162.850 €</w:t>
            </w:r>
          </w:p>
        </w:tc>
        <w:tc>
          <w:tcPr>
            <w:tcW w:type="dxa" w:w="1450"/>
            <w:shd w:fill="F2F5FA" w:color="auto" w:val="clear"/>
            <w:vAlign w:val="center"/>
          </w:tcPr>
          <w:p>
            <w:pPr>
              <w:spacing w:after="30" w:before="30" w:line="230"/>
              <w:jc w:val="center"/>
            </w:pPr>
            <w:r>
              <w:rPr>
                <w:b/>
                <w:bCs/>
                <w:sz w:val="18"/>
                <w:szCs w:val="18"/>
              </w:rPr>
              <w:t xml:space="preserve">162.255 €</w:t>
            </w:r>
          </w:p>
        </w:tc>
        <w:tc>
          <w:tcPr>
            <w:tcW w:type="dxa" w:w="1350"/>
            <w:shd w:fill="F2F5FA" w:color="auto" w:val="clear"/>
            <w:vAlign w:val="center"/>
          </w:tcPr>
          <w:p>
            <w:pPr>
              <w:spacing w:after="30" w:before="30" w:line="230"/>
              <w:jc w:val="center"/>
            </w:pPr>
            <w:r>
              <w:rPr>
                <w:b/>
                <w:bCs/>
                <w:sz w:val="18"/>
                <w:szCs w:val="18"/>
              </w:rPr>
              <w:t xml:space="preserve">− 0,37 %</w:t>
            </w:r>
          </w:p>
        </w:tc>
        <w:tc>
          <w:tcPr>
            <w:tcW w:type="dxa" w:w="2738"/>
            <w:shd w:fill="F2F5FA" w:color="auto" w:val="clear"/>
            <w:vAlign w:val="center"/>
          </w:tcPr>
          <w:p>
            <w:pPr>
              <w:spacing w:after="30" w:before="30" w:line="230"/>
              <w:jc w:val="left"/>
            </w:pPr>
            <w:r>
              <w:rPr>
                <w:sz w:val="18"/>
                <w:szCs w:val="18"/>
              </w:rPr>
              <w:t xml:space="preserve">zeitliche Verteilung des Eigenverbrauchs – siehe Fußnote ²</w:t>
            </w:r>
          </w:p>
        </w:tc>
      </w:tr>
      <w:tr>
        <w:trPr>
          <w:cantSplit/>
        </w:trPr>
        <w:tc>
          <w:tcPr>
            <w:tcW w:type="dxa" w:w="2750"/>
            <w:vAlign w:val="center"/>
          </w:tcPr>
          <w:p>
            <w:pPr>
              <w:spacing w:after="30" w:before="30" w:line="230"/>
              <w:jc w:val="left"/>
            </w:pPr>
            <w:r>
              <w:rPr>
                <w:b/>
                <w:bCs/>
                <w:sz w:val="18"/>
                <w:szCs w:val="18"/>
              </w:rPr>
              <w:t xml:space="preserve">Liquiditätsüberschuss Volleinspeisung</w:t>
            </w:r>
          </w:p>
        </w:tc>
        <w:tc>
          <w:tcPr>
            <w:tcW w:type="dxa" w:w="1350"/>
            <w:vAlign w:val="center"/>
          </w:tcPr>
          <w:p>
            <w:pPr>
              <w:spacing w:after="30" w:before="30" w:line="230"/>
              <w:jc w:val="center"/>
            </w:pPr>
            <w:r>
              <w:rPr>
                <w:b/>
                <w:bCs/>
                <w:sz w:val="18"/>
                <w:szCs w:val="18"/>
              </w:rPr>
              <w:t xml:space="preserve">− 10.867 €</w:t>
            </w:r>
          </w:p>
        </w:tc>
        <w:tc>
          <w:tcPr>
            <w:tcW w:type="dxa" w:w="1450"/>
            <w:vAlign w:val="center"/>
          </w:tcPr>
          <w:p>
            <w:pPr>
              <w:spacing w:after="30" w:before="30" w:line="230"/>
              <w:jc w:val="center"/>
            </w:pPr>
            <w:r>
              <w:rPr>
                <w:b/>
                <w:bCs/>
                <w:sz w:val="18"/>
                <w:szCs w:val="18"/>
              </w:rPr>
              <w:t xml:space="preserve">− 10.820 €</w:t>
            </w:r>
          </w:p>
        </w:tc>
        <w:tc>
          <w:tcPr>
            <w:tcW w:type="dxa" w:w="1350"/>
            <w:vAlign w:val="center"/>
          </w:tcPr>
          <w:p>
            <w:pPr>
              <w:spacing w:after="30" w:before="30" w:line="230"/>
              <w:jc w:val="center"/>
            </w:pPr>
            <w:r>
              <w:rPr>
                <w:b/>
                <w:bCs/>
                <w:sz w:val="18"/>
                <w:szCs w:val="18"/>
              </w:rPr>
              <w:t xml:space="preserve">+ 0,43 %</w:t>
            </w:r>
          </w:p>
        </w:tc>
        <w:tc>
          <w:tcPr>
            <w:tcW w:type="dxa" w:w="2738"/>
            <w:vAlign w:val="center"/>
          </w:tcPr>
          <w:p>
            <w:pPr>
              <w:spacing w:after="30" w:before="30" w:line="230"/>
              <w:jc w:val="left"/>
            </w:pPr>
            <w:r>
              <w:rPr>
                <w:sz w:val="18"/>
                <w:szCs w:val="18"/>
              </w:rPr>
              <w:t xml:space="preserve">Rumpfjahresertrag</w:t>
            </w:r>
          </w:p>
        </w:tc>
      </w:tr>
      <w:tr>
        <w:trPr>
          <w:cantSplit/>
        </w:trPr>
        <w:tc>
          <w:tcPr>
            <w:tcW w:type="dxa" w:w="2750"/>
            <w:shd w:fill="F2F5FA" w:color="auto" w:val="clear"/>
            <w:vAlign w:val="center"/>
          </w:tcPr>
          <w:p>
            <w:pPr>
              <w:spacing w:after="30" w:before="30" w:line="230"/>
              <w:jc w:val="left"/>
            </w:pPr>
            <w:r>
              <w:rPr>
                <w:b/>
                <w:bCs/>
                <w:sz w:val="18"/>
                <w:szCs w:val="18"/>
              </w:rPr>
              <w:t xml:space="preserve">Kapitalwert Überschuss</w:t>
            </w:r>
          </w:p>
        </w:tc>
        <w:tc>
          <w:tcPr>
            <w:tcW w:type="dxa" w:w="1350"/>
            <w:shd w:fill="F2F5FA" w:color="auto" w:val="clear"/>
            <w:vAlign w:val="center"/>
          </w:tcPr>
          <w:p>
            <w:pPr>
              <w:spacing w:after="30" w:before="30" w:line="230"/>
              <w:jc w:val="center"/>
            </w:pPr>
            <w:r>
              <w:rPr>
                <w:b/>
                <w:bCs/>
                <w:sz w:val="18"/>
                <w:szCs w:val="18"/>
              </w:rPr>
              <w:t xml:space="preserve">92.568 €</w:t>
            </w:r>
          </w:p>
        </w:tc>
        <w:tc>
          <w:tcPr>
            <w:tcW w:type="dxa" w:w="1450"/>
            <w:shd w:fill="F2F5FA" w:color="auto" w:val="clear"/>
            <w:vAlign w:val="center"/>
          </w:tcPr>
          <w:p>
            <w:pPr>
              <w:spacing w:after="30" w:before="30" w:line="230"/>
              <w:jc w:val="center"/>
            </w:pPr>
            <w:r>
              <w:rPr>
                <w:b/>
                <w:bCs/>
                <w:sz w:val="18"/>
                <w:szCs w:val="18"/>
              </w:rPr>
              <w:t xml:space="preserve">92.572 €</w:t>
            </w:r>
          </w:p>
        </w:tc>
        <w:tc>
          <w:tcPr>
            <w:tcW w:type="dxa" w:w="1350"/>
            <w:shd w:fill="F2F5FA" w:color="auto" w:val="clear"/>
            <w:vAlign w:val="center"/>
          </w:tcPr>
          <w:p>
            <w:pPr>
              <w:spacing w:after="30" w:before="30" w:line="230"/>
              <w:jc w:val="center"/>
            </w:pPr>
            <w:r>
              <w:rPr>
                <w:b/>
                <w:bCs/>
                <w:sz w:val="18"/>
                <w:szCs w:val="18"/>
              </w:rPr>
              <w:t xml:space="preserve">+ 0,00 %</w:t>
            </w:r>
          </w:p>
        </w:tc>
        <w:tc>
          <w:tcPr>
            <w:tcW w:type="dxa" w:w="2738"/>
            <w:shd w:fill="F2F5FA" w:color="auto" w:val="clear"/>
            <w:vAlign w:val="center"/>
          </w:tcPr>
          <w:p>
            <w:pPr>
              <w:spacing w:after="30" w:before="30" w:line="230"/>
              <w:jc w:val="left"/>
            </w:pPr>
            <w:r>
              <w:rPr>
                <w:sz w:val="18"/>
                <w:szCs w:val="18"/>
              </w:rPr>
              <w:t xml:space="preserve">–</w:t>
            </w:r>
          </w:p>
        </w:tc>
      </w:tr>
      <w:tr>
        <w:trPr>
          <w:cantSplit/>
        </w:trPr>
        <w:tc>
          <w:tcPr>
            <w:tcW w:type="dxa" w:w="2750"/>
            <w:vAlign w:val="center"/>
          </w:tcPr>
          <w:p>
            <w:pPr>
              <w:spacing w:after="30" w:before="30" w:line="230"/>
              <w:jc w:val="left"/>
            </w:pPr>
            <w:r>
              <w:rPr>
                <w:b/>
                <w:bCs/>
                <w:sz w:val="18"/>
                <w:szCs w:val="18"/>
              </w:rPr>
              <w:t xml:space="preserve">Kapitalwert Volleinspeisung</w:t>
            </w:r>
          </w:p>
        </w:tc>
        <w:tc>
          <w:tcPr>
            <w:tcW w:type="dxa" w:w="1350"/>
            <w:vAlign w:val="center"/>
          </w:tcPr>
          <w:p>
            <w:pPr>
              <w:spacing w:after="30" w:before="30" w:line="230"/>
              <w:jc w:val="center"/>
            </w:pPr>
            <w:r>
              <w:rPr>
                <w:b/>
                <w:bCs/>
                <w:sz w:val="18"/>
                <w:szCs w:val="18"/>
              </w:rPr>
              <w:t xml:space="preserve">− 22.979 €</w:t>
            </w:r>
          </w:p>
        </w:tc>
        <w:tc>
          <w:tcPr>
            <w:tcW w:type="dxa" w:w="1450"/>
            <w:vAlign w:val="center"/>
          </w:tcPr>
          <w:p>
            <w:pPr>
              <w:spacing w:after="30" w:before="30" w:line="230"/>
              <w:jc w:val="center"/>
            </w:pPr>
            <w:r>
              <w:rPr>
                <w:b/>
                <w:bCs/>
                <w:sz w:val="18"/>
                <w:szCs w:val="18"/>
              </w:rPr>
              <w:t xml:space="preserve">− 22.930 €</w:t>
            </w:r>
          </w:p>
        </w:tc>
        <w:tc>
          <w:tcPr>
            <w:tcW w:type="dxa" w:w="1350"/>
            <w:vAlign w:val="center"/>
          </w:tcPr>
          <w:p>
            <w:pPr>
              <w:spacing w:after="30" w:before="30" w:line="230"/>
              <w:jc w:val="center"/>
            </w:pPr>
            <w:r>
              <w:rPr>
                <w:b/>
                <w:bCs/>
                <w:sz w:val="18"/>
                <w:szCs w:val="18"/>
              </w:rPr>
              <w:t xml:space="preserve">+ 0,22 %</w:t>
            </w:r>
          </w:p>
        </w:tc>
        <w:tc>
          <w:tcPr>
            <w:tcW w:type="dxa" w:w="2738"/>
            <w:vAlign w:val="center"/>
          </w:tcPr>
          <w:p>
            <w:pPr>
              <w:spacing w:after="30" w:before="30" w:line="230"/>
              <w:jc w:val="left"/>
            </w:pPr>
            <w:r>
              <w:rPr>
                <w:sz w:val="18"/>
                <w:szCs w:val="18"/>
              </w:rPr>
              <w:t xml:space="preserve">Rumpfjahresertrag</w:t>
            </w:r>
          </w:p>
        </w:tc>
      </w:tr>
      <w:tr>
        <w:trPr>
          <w:cantSplit/>
        </w:trPr>
        <w:tc>
          <w:tcPr>
            <w:tcW w:type="dxa" w:w="2750"/>
            <w:shd w:fill="F2F5FA" w:color="auto" w:val="clear"/>
            <w:vAlign w:val="center"/>
          </w:tcPr>
          <w:p>
            <w:pPr>
              <w:spacing w:after="30" w:before="30" w:line="230"/>
              <w:jc w:val="left"/>
            </w:pPr>
            <w:r>
              <w:rPr>
                <w:b/>
                <w:bCs/>
                <w:sz w:val="18"/>
                <w:szCs w:val="18"/>
              </w:rPr>
              <w:t xml:space="preserve">Interner Zinsfuß Überschuss</w:t>
            </w:r>
          </w:p>
        </w:tc>
        <w:tc>
          <w:tcPr>
            <w:tcW w:type="dxa" w:w="1350"/>
            <w:shd w:fill="F2F5FA" w:color="auto" w:val="clear"/>
            <w:vAlign w:val="center"/>
          </w:tcPr>
          <w:p>
            <w:pPr>
              <w:spacing w:after="30" w:before="30" w:line="230"/>
              <w:jc w:val="center"/>
            </w:pPr>
            <w:r>
              <w:rPr>
                <w:b/>
                <w:bCs/>
                <w:sz w:val="18"/>
                <w:szCs w:val="18"/>
              </w:rPr>
              <w:t xml:space="preserve">15,99 %</w:t>
            </w:r>
          </w:p>
        </w:tc>
        <w:tc>
          <w:tcPr>
            <w:tcW w:type="dxa" w:w="1450"/>
            <w:shd w:fill="F2F5FA" w:color="auto" w:val="clear"/>
            <w:vAlign w:val="center"/>
          </w:tcPr>
          <w:p>
            <w:pPr>
              <w:spacing w:after="30" w:before="30" w:line="230"/>
              <w:jc w:val="center"/>
            </w:pPr>
            <w:r>
              <w:rPr>
                <w:b/>
                <w:bCs/>
                <w:sz w:val="18"/>
                <w:szCs w:val="18"/>
              </w:rPr>
              <w:t xml:space="preserve">16,15 %</w:t>
            </w:r>
          </w:p>
        </w:tc>
        <w:tc>
          <w:tcPr>
            <w:tcW w:type="dxa" w:w="1350"/>
            <w:shd w:fill="F2F5FA" w:color="auto" w:val="clear"/>
            <w:vAlign w:val="center"/>
          </w:tcPr>
          <w:p>
            <w:pPr>
              <w:spacing w:after="30" w:before="30" w:line="230"/>
              <w:jc w:val="center"/>
            </w:pPr>
            <w:r>
              <w:rPr>
                <w:b/>
                <w:bCs/>
                <w:sz w:val="18"/>
                <w:szCs w:val="18"/>
              </w:rPr>
              <w:t xml:space="preserve">+ 0,16 %-Pkt.</w:t>
            </w:r>
          </w:p>
        </w:tc>
        <w:tc>
          <w:tcPr>
            <w:tcW w:type="dxa" w:w="2738"/>
            <w:shd w:fill="F2F5FA" w:color="auto" w:val="clear"/>
            <w:vAlign w:val="center"/>
          </w:tcPr>
          <w:p>
            <w:pPr>
              <w:spacing w:after="30" w:before="30" w:line="230"/>
              <w:jc w:val="left"/>
            </w:pPr>
            <w:r>
              <w:rPr>
                <w:sz w:val="18"/>
                <w:szCs w:val="18"/>
              </w:rPr>
              <w:t xml:space="preserve">größte Restabweichung – siehe Fußnote ²</w:t>
            </w:r>
          </w:p>
        </w:tc>
      </w:tr>
      <w:tr>
        <w:trPr>
          <w:cantSplit/>
        </w:trPr>
        <w:tc>
          <w:tcPr>
            <w:tcW w:type="dxa" w:w="2750"/>
            <w:vAlign w:val="center"/>
          </w:tcPr>
          <w:p>
            <w:pPr>
              <w:spacing w:after="30" w:before="30" w:line="230"/>
              <w:jc w:val="left"/>
            </w:pPr>
            <w:r>
              <w:rPr>
                <w:b/>
                <w:bCs/>
                <w:sz w:val="18"/>
                <w:szCs w:val="18"/>
              </w:rPr>
              <w:t xml:space="preserve">Interner Zinsfuß Volleinspeisung</w:t>
            </w:r>
          </w:p>
        </w:tc>
        <w:tc>
          <w:tcPr>
            <w:tcW w:type="dxa" w:w="1350"/>
            <w:vAlign w:val="center"/>
          </w:tcPr>
          <w:p>
            <w:pPr>
              <w:spacing w:after="30" w:before="30" w:line="230"/>
              <w:jc w:val="center"/>
            </w:pPr>
            <w:r>
              <w:rPr>
                <w:b/>
                <w:bCs/>
                <w:sz w:val="18"/>
                <w:szCs w:val="18"/>
              </w:rPr>
              <w:t xml:space="preserve">− 2,10 %</w:t>
            </w:r>
          </w:p>
        </w:tc>
        <w:tc>
          <w:tcPr>
            <w:tcW w:type="dxa" w:w="1450"/>
            <w:vAlign w:val="center"/>
          </w:tcPr>
          <w:p>
            <w:pPr>
              <w:spacing w:after="30" w:before="30" w:line="230"/>
              <w:jc w:val="center"/>
            </w:pPr>
            <w:r>
              <w:rPr>
                <w:b/>
                <w:bCs/>
                <w:sz w:val="18"/>
                <w:szCs w:val="18"/>
              </w:rPr>
              <w:t xml:space="preserve">− 2,09 %</w:t>
            </w:r>
          </w:p>
        </w:tc>
        <w:tc>
          <w:tcPr>
            <w:tcW w:type="dxa" w:w="1350"/>
            <w:vAlign w:val="center"/>
          </w:tcPr>
          <w:p>
            <w:pPr>
              <w:spacing w:after="30" w:before="30" w:line="230"/>
              <w:jc w:val="center"/>
            </w:pPr>
            <w:r>
              <w:rPr>
                <w:b/>
                <w:bCs/>
                <w:sz w:val="18"/>
                <w:szCs w:val="18"/>
              </w:rPr>
              <w:t xml:space="preserve">+ 0,01 %-Pkt.</w:t>
            </w:r>
          </w:p>
        </w:tc>
        <w:tc>
          <w:tcPr>
            <w:tcW w:type="dxa" w:w="2738"/>
            <w:vAlign w:val="center"/>
          </w:tcPr>
          <w:p>
            <w:pPr>
              <w:spacing w:after="30" w:before="30" w:line="230"/>
              <w:jc w:val="left"/>
            </w:pPr>
            <w:r>
              <w:rPr>
                <w:sz w:val="18"/>
                <w:szCs w:val="18"/>
              </w:rPr>
              <w:t xml:space="preserve">–</w:t>
            </w:r>
          </w:p>
        </w:tc>
      </w:tr>
      <w:tr>
        <w:trPr>
          <w:cantSplit/>
        </w:trPr>
        <w:tc>
          <w:tcPr>
            <w:tcW w:type="dxa" w:w="2750"/>
            <w:shd w:fill="F2F5FA" w:color="auto" w:val="clear"/>
            <w:vAlign w:val="center"/>
          </w:tcPr>
          <w:p>
            <w:pPr>
              <w:spacing w:after="30" w:before="30" w:line="230"/>
              <w:jc w:val="left"/>
            </w:pPr>
            <w:r>
              <w:rPr>
                <w:sz w:val="18"/>
                <w:szCs w:val="18"/>
              </w:rPr>
              <w:t xml:space="preserve">IRR nach Baldwin, Überschuss</w:t>
            </w:r>
          </w:p>
        </w:tc>
        <w:tc>
          <w:tcPr>
            <w:tcW w:type="dxa" w:w="1350"/>
            <w:shd w:fill="F2F5FA" w:color="auto" w:val="clear"/>
            <w:vAlign w:val="center"/>
          </w:tcPr>
          <w:p>
            <w:pPr>
              <w:spacing w:after="30" w:before="30" w:line="230"/>
              <w:jc w:val="center"/>
            </w:pPr>
            <w:r>
              <w:rPr>
                <w:sz w:val="18"/>
                <w:szCs w:val="18"/>
              </w:rPr>
              <w:t xml:space="preserve">8,58 %</w:t>
            </w:r>
          </w:p>
        </w:tc>
        <w:tc>
          <w:tcPr>
            <w:tcW w:type="dxa" w:w="1450"/>
            <w:shd w:fill="F2F5FA" w:color="auto" w:val="clear"/>
            <w:vAlign w:val="center"/>
          </w:tcPr>
          <w:p>
            <w:pPr>
              <w:spacing w:after="30" w:before="30" w:line="230"/>
              <w:jc w:val="center"/>
            </w:pPr>
            <w:r>
              <w:rPr>
                <w:sz w:val="18"/>
                <w:szCs w:val="18"/>
              </w:rPr>
              <w:t xml:space="preserve">8,59 %</w:t>
            </w:r>
          </w:p>
        </w:tc>
        <w:tc>
          <w:tcPr>
            <w:tcW w:type="dxa" w:w="1350"/>
            <w:shd w:fill="F2F5FA" w:color="auto" w:val="clear"/>
            <w:vAlign w:val="center"/>
          </w:tcPr>
          <w:p>
            <w:pPr>
              <w:spacing w:after="30" w:before="30" w:line="230"/>
              <w:jc w:val="center"/>
            </w:pPr>
            <w:r>
              <w:rPr>
                <w:sz w:val="18"/>
                <w:szCs w:val="18"/>
              </w:rPr>
              <w:t xml:space="preserve">+ 0,01 %-Pkt.</w:t>
            </w:r>
          </w:p>
        </w:tc>
        <w:tc>
          <w:tcPr>
            <w:tcW w:type="dxa" w:w="2738"/>
            <w:shd w:fill="F2F5FA" w:color="auto" w:val="clear"/>
            <w:vAlign w:val="center"/>
          </w:tcPr>
          <w:p>
            <w:pPr>
              <w:spacing w:after="30" w:before="30" w:line="230"/>
              <w:jc w:val="left"/>
            </w:pPr>
            <w:r>
              <w:rPr>
                <w:sz w:val="18"/>
                <w:szCs w:val="18"/>
              </w:rPr>
              <w:t xml:space="preserve">–</w:t>
            </w:r>
          </w:p>
        </w:tc>
      </w:tr>
      <w:tr>
        <w:trPr>
          <w:cantSplit/>
        </w:trPr>
        <w:tc>
          <w:tcPr>
            <w:tcW w:type="dxa" w:w="2750"/>
            <w:vAlign w:val="center"/>
          </w:tcPr>
          <w:p>
            <w:pPr>
              <w:spacing w:after="30" w:before="30" w:line="230"/>
              <w:jc w:val="left"/>
            </w:pPr>
            <w:r>
              <w:rPr>
                <w:sz w:val="18"/>
                <w:szCs w:val="18"/>
              </w:rPr>
              <w:t xml:space="preserve">IRR nach Baldwin, Volleinspeisung</w:t>
            </w:r>
          </w:p>
        </w:tc>
        <w:tc>
          <w:tcPr>
            <w:tcW w:type="dxa" w:w="1350"/>
            <w:vAlign w:val="center"/>
          </w:tcPr>
          <w:p>
            <w:pPr>
              <w:spacing w:after="30" w:before="30" w:line="230"/>
              <w:jc w:val="center"/>
            </w:pPr>
            <w:r>
              <w:rPr>
                <w:sz w:val="18"/>
                <w:szCs w:val="18"/>
              </w:rPr>
              <w:t xml:space="preserve">0,78 %</w:t>
            </w:r>
          </w:p>
        </w:tc>
        <w:tc>
          <w:tcPr>
            <w:tcW w:type="dxa" w:w="1450"/>
            <w:vAlign w:val="center"/>
          </w:tcPr>
          <w:p>
            <w:pPr>
              <w:spacing w:after="30" w:before="30" w:line="230"/>
              <w:jc w:val="center"/>
            </w:pPr>
            <w:r>
              <w:rPr>
                <w:sz w:val="18"/>
                <w:szCs w:val="18"/>
              </w:rPr>
              <w:t xml:space="preserve">0,79 %</w:t>
            </w:r>
          </w:p>
        </w:tc>
        <w:tc>
          <w:tcPr>
            <w:tcW w:type="dxa" w:w="1350"/>
            <w:vAlign w:val="center"/>
          </w:tcPr>
          <w:p>
            <w:pPr>
              <w:spacing w:after="30" w:before="30" w:line="230"/>
              <w:jc w:val="center"/>
            </w:pPr>
            <w:r>
              <w:rPr>
                <w:sz w:val="18"/>
                <w:szCs w:val="18"/>
              </w:rPr>
              <w:t xml:space="preserve">+ 0,01 %-Pkt.</w:t>
            </w:r>
          </w:p>
        </w:tc>
        <w:tc>
          <w:tcPr>
            <w:tcW w:type="dxa" w:w="2738"/>
            <w:vAlign w:val="center"/>
          </w:tcPr>
          <w:p>
            <w:pPr>
              <w:spacing w:after="30" w:before="30" w:line="230"/>
              <w:jc w:val="left"/>
            </w:pPr>
            <w:r>
              <w:rPr>
                <w:sz w:val="18"/>
                <w:szCs w:val="18"/>
              </w:rPr>
              <w:t xml:space="preserve">–</w:t>
            </w:r>
          </w:p>
        </w:tc>
      </w:tr>
      <w:tr>
        <w:trPr>
          <w:cantSplit/>
        </w:trPr>
        <w:tc>
          <w:tcPr>
            <w:tcW w:type="dxa" w:w="2750"/>
            <w:shd w:fill="F2F5FA" w:color="auto" w:val="clear"/>
            <w:vAlign w:val="center"/>
          </w:tcPr>
          <w:p>
            <w:pPr>
              <w:spacing w:after="30" w:before="30" w:line="230"/>
              <w:jc w:val="left"/>
            </w:pPr>
            <w:r>
              <w:rPr>
                <w:sz w:val="18"/>
                <w:szCs w:val="18"/>
              </w:rPr>
              <w:t xml:space="preserve">Statische Amortisation Überschuss</w:t>
            </w:r>
          </w:p>
        </w:tc>
        <w:tc>
          <w:tcPr>
            <w:tcW w:type="dxa" w:w="1350"/>
            <w:shd w:fill="F2F5FA" w:color="auto" w:val="clear"/>
            <w:vAlign w:val="center"/>
          </w:tcPr>
          <w:p>
            <w:pPr>
              <w:spacing w:after="30" w:before="30" w:line="230"/>
              <w:jc w:val="center"/>
            </w:pPr>
            <w:r>
              <w:rPr>
                <w:sz w:val="18"/>
                <w:szCs w:val="18"/>
              </w:rPr>
              <w:t xml:space="preserve">8 Jahre</w:t>
            </w:r>
          </w:p>
        </w:tc>
        <w:tc>
          <w:tcPr>
            <w:tcW w:type="dxa" w:w="1450"/>
            <w:shd w:fill="F2F5FA" w:color="auto" w:val="clear"/>
            <w:vAlign w:val="center"/>
          </w:tcPr>
          <w:p>
            <w:pPr>
              <w:spacing w:after="30" w:before="30" w:line="230"/>
              <w:jc w:val="center"/>
            </w:pPr>
            <w:r>
              <w:rPr>
                <w:sz w:val="18"/>
                <w:szCs w:val="18"/>
              </w:rPr>
              <w:t xml:space="preserve">8 Jahre</w:t>
            </w:r>
          </w:p>
        </w:tc>
        <w:tc>
          <w:tcPr>
            <w:tcW w:type="dxa" w:w="1350"/>
            <w:shd w:fill="F2F5FA" w:color="auto" w:val="clear"/>
            <w:vAlign w:val="center"/>
          </w:tcPr>
          <w:p>
            <w:pPr>
              <w:spacing w:after="30" w:before="30" w:line="230"/>
              <w:jc w:val="center"/>
            </w:pPr>
            <w:r>
              <w:rPr>
                <w:b/>
                <w:bCs/>
                <w:sz w:val="18"/>
                <w:szCs w:val="18"/>
              </w:rPr>
              <w:t xml:space="preserve">exakt</w:t>
            </w:r>
          </w:p>
        </w:tc>
        <w:tc>
          <w:tcPr>
            <w:tcW w:type="dxa" w:w="2738"/>
            <w:shd w:fill="F2F5FA" w:color="auto" w:val="clear"/>
            <w:vAlign w:val="center"/>
          </w:tcPr>
          <w:p>
            <w:pPr>
              <w:spacing w:after="30" w:before="30" w:line="230"/>
              <w:jc w:val="left"/>
            </w:pPr>
            <w:r>
              <w:rPr>
                <w:sz w:val="18"/>
                <w:szCs w:val="18"/>
              </w:rPr>
              <w:t xml:space="preserve">–</w:t>
            </w:r>
          </w:p>
        </w:tc>
      </w:tr>
      <w:tr>
        <w:trPr>
          <w:cantSplit/>
        </w:trPr>
        <w:tc>
          <w:tcPr>
            <w:tcW w:type="dxa" w:w="2750"/>
            <w:vAlign w:val="center"/>
          </w:tcPr>
          <w:p>
            <w:pPr>
              <w:spacing w:after="30" w:before="30" w:line="230"/>
              <w:jc w:val="left"/>
            </w:pPr>
            <w:r>
              <w:rPr>
                <w:sz w:val="18"/>
                <w:szCs w:val="18"/>
              </w:rPr>
              <w:t xml:space="preserve">Dynamische Amortisation Überschuss</w:t>
            </w:r>
          </w:p>
        </w:tc>
        <w:tc>
          <w:tcPr>
            <w:tcW w:type="dxa" w:w="1350"/>
            <w:vAlign w:val="center"/>
          </w:tcPr>
          <w:p>
            <w:pPr>
              <w:spacing w:after="30" w:before="30" w:line="230"/>
              <w:jc w:val="center"/>
            </w:pPr>
            <w:r>
              <w:rPr>
                <w:sz w:val="18"/>
                <w:szCs w:val="18"/>
              </w:rPr>
              <w:t xml:space="preserve">9 Jahre</w:t>
            </w:r>
          </w:p>
        </w:tc>
        <w:tc>
          <w:tcPr>
            <w:tcW w:type="dxa" w:w="1450"/>
            <w:vAlign w:val="center"/>
          </w:tcPr>
          <w:p>
            <w:pPr>
              <w:spacing w:after="30" w:before="30" w:line="230"/>
              <w:jc w:val="center"/>
            </w:pPr>
            <w:r>
              <w:rPr>
                <w:sz w:val="18"/>
                <w:szCs w:val="18"/>
              </w:rPr>
              <w:t xml:space="preserve">9 Jahre</w:t>
            </w:r>
          </w:p>
        </w:tc>
        <w:tc>
          <w:tcPr>
            <w:tcW w:type="dxa" w:w="1350"/>
            <w:vAlign w:val="center"/>
          </w:tcPr>
          <w:p>
            <w:pPr>
              <w:spacing w:after="30" w:before="30" w:line="230"/>
              <w:jc w:val="center"/>
            </w:pPr>
            <w:r>
              <w:rPr>
                <w:b/>
                <w:bCs/>
                <w:sz w:val="18"/>
                <w:szCs w:val="18"/>
              </w:rPr>
              <w:t xml:space="preserve">exakt</w:t>
            </w:r>
          </w:p>
        </w:tc>
        <w:tc>
          <w:tcPr>
            <w:tcW w:type="dxa" w:w="2738"/>
            <w:vAlign w:val="center"/>
          </w:tcPr>
          <w:p>
            <w:pPr>
              <w:spacing w:after="30" w:before="30" w:line="230"/>
              <w:jc w:val="left"/>
            </w:pPr>
            <w:r>
              <w:rPr>
                <w:sz w:val="18"/>
                <w:szCs w:val="18"/>
              </w:rPr>
              <w:t xml:space="preserve">–</w:t>
            </w:r>
          </w:p>
        </w:tc>
      </w:tr>
      <w:tr>
        <w:trPr>
          <w:cantSplit/>
        </w:trPr>
        <w:tc>
          <w:tcPr>
            <w:tcW w:type="dxa" w:w="2750"/>
            <w:shd w:fill="F2F5FA" w:color="auto" w:val="clear"/>
            <w:vAlign w:val="center"/>
          </w:tcPr>
          <w:p>
            <w:pPr>
              <w:spacing w:after="30" w:before="30" w:line="230"/>
              <w:jc w:val="left"/>
            </w:pPr>
            <w:r>
              <w:rPr>
                <w:sz w:val="18"/>
                <w:szCs w:val="18"/>
              </w:rPr>
              <w:t xml:space="preserve">Amortisation Volleinspeisung</w:t>
            </w:r>
          </w:p>
        </w:tc>
        <w:tc>
          <w:tcPr>
            <w:tcW w:type="dxa" w:w="1350"/>
            <w:shd w:fill="F2F5FA" w:color="auto" w:val="clear"/>
            <w:vAlign w:val="center"/>
          </w:tcPr>
          <w:p>
            <w:pPr>
              <w:spacing w:after="30" w:before="30" w:line="230"/>
              <w:jc w:val="center"/>
            </w:pPr>
            <w:r>
              <w:rPr>
                <w:sz w:val="18"/>
                <w:szCs w:val="18"/>
              </w:rPr>
              <w:t xml:space="preserve">keine</w:t>
            </w:r>
          </w:p>
        </w:tc>
        <w:tc>
          <w:tcPr>
            <w:tcW w:type="dxa" w:w="1450"/>
            <w:shd w:fill="F2F5FA" w:color="auto" w:val="clear"/>
            <w:vAlign w:val="center"/>
          </w:tcPr>
          <w:p>
            <w:pPr>
              <w:spacing w:after="30" w:before="30" w:line="230"/>
              <w:jc w:val="center"/>
            </w:pPr>
            <w:r>
              <w:rPr>
                <w:sz w:val="18"/>
                <w:szCs w:val="18"/>
              </w:rPr>
              <w:t xml:space="preserve">keine</w:t>
            </w:r>
          </w:p>
        </w:tc>
        <w:tc>
          <w:tcPr>
            <w:tcW w:type="dxa" w:w="1350"/>
            <w:shd w:fill="F2F5FA" w:color="auto" w:val="clear"/>
            <w:vAlign w:val="center"/>
          </w:tcPr>
          <w:p>
            <w:pPr>
              <w:spacing w:after="30" w:before="30" w:line="230"/>
              <w:jc w:val="center"/>
            </w:pPr>
            <w:r>
              <w:rPr>
                <w:b/>
                <w:bCs/>
                <w:sz w:val="18"/>
                <w:szCs w:val="18"/>
              </w:rPr>
              <w:t xml:space="preserve">exakt</w:t>
            </w:r>
          </w:p>
        </w:tc>
        <w:tc>
          <w:tcPr>
            <w:tcW w:type="dxa" w:w="2738"/>
            <w:shd w:fill="F2F5FA" w:color="auto" w:val="clear"/>
            <w:vAlign w:val="center"/>
          </w:tcPr>
          <w:p>
            <w:pPr>
              <w:spacing w:after="30" w:before="30" w:line="230"/>
              <w:jc w:val="left"/>
            </w:pPr>
            <w:r>
              <w:rPr>
                <w:sz w:val="18"/>
                <w:szCs w:val="18"/>
              </w:rPr>
              <w:t xml:space="preserve">–</w:t>
            </w:r>
          </w:p>
        </w:tc>
      </w:tr>
      <w:tr>
        <w:trPr>
          <w:cantSplit/>
        </w:trPr>
        <w:tc>
          <w:tcPr>
            <w:tcW w:type="dxa" w:w="2750"/>
            <w:vAlign w:val="center"/>
          </w:tcPr>
          <w:p>
            <w:pPr>
              <w:spacing w:after="30" w:before="30" w:line="230"/>
              <w:jc w:val="left"/>
            </w:pPr>
            <w:r>
              <w:rPr>
                <w:sz w:val="18"/>
                <w:szCs w:val="18"/>
              </w:rPr>
              <w:t xml:space="preserve">Stromgestehungskosten Überschuss (KZS 3,5 %)</w:t>
            </w:r>
          </w:p>
        </w:tc>
        <w:tc>
          <w:tcPr>
            <w:tcW w:type="dxa" w:w="1350"/>
            <w:vAlign w:val="center"/>
          </w:tcPr>
          <w:p>
            <w:pPr>
              <w:spacing w:after="30" w:before="30" w:line="230"/>
              <w:jc w:val="center"/>
            </w:pPr>
            <w:r>
              <w:rPr>
                <w:sz w:val="18"/>
                <w:szCs w:val="18"/>
              </w:rPr>
              <w:t xml:space="preserve">17,85 ct/kWh</w:t>
            </w:r>
          </w:p>
        </w:tc>
        <w:tc>
          <w:tcPr>
            <w:tcW w:type="dxa" w:w="1450"/>
            <w:vAlign w:val="center"/>
          </w:tcPr>
          <w:p>
            <w:pPr>
              <w:spacing w:after="30" w:before="30" w:line="230"/>
              <w:jc w:val="center"/>
            </w:pPr>
            <w:r>
              <w:rPr>
                <w:sz w:val="18"/>
                <w:szCs w:val="18"/>
              </w:rPr>
              <w:t xml:space="preserve">17,83 ct/kWh</w:t>
            </w:r>
          </w:p>
        </w:tc>
        <w:tc>
          <w:tcPr>
            <w:tcW w:type="dxa" w:w="1350"/>
            <w:vAlign w:val="center"/>
          </w:tcPr>
          <w:p>
            <w:pPr>
              <w:spacing w:after="30" w:before="30" w:line="230"/>
              <w:jc w:val="center"/>
            </w:pPr>
            <w:r>
              <w:rPr>
                <w:sz w:val="18"/>
                <w:szCs w:val="18"/>
              </w:rPr>
              <w:t xml:space="preserve">− 0,09 %</w:t>
            </w:r>
          </w:p>
        </w:tc>
        <w:tc>
          <w:tcPr>
            <w:tcW w:type="dxa" w:w="2738"/>
            <w:vAlign w:val="center"/>
          </w:tcPr>
          <w:p>
            <w:pPr>
              <w:spacing w:after="30" w:before="30" w:line="230"/>
              <w:jc w:val="left"/>
            </w:pPr>
            <w:r>
              <w:rPr>
                <w:sz w:val="18"/>
                <w:szCs w:val="18"/>
              </w:rPr>
              <w:t xml:space="preserve">Rumpfjahresertrag</w:t>
            </w:r>
          </w:p>
        </w:tc>
      </w:tr>
      <w:tr>
        <w:trPr>
          <w:cantSplit/>
        </w:trPr>
        <w:tc>
          <w:tcPr>
            <w:tcW w:type="dxa" w:w="2750"/>
            <w:shd w:fill="F2F5FA" w:color="auto" w:val="clear"/>
            <w:vAlign w:val="center"/>
          </w:tcPr>
          <w:p>
            <w:pPr>
              <w:spacing w:after="30" w:before="30" w:line="230"/>
              <w:jc w:val="left"/>
            </w:pPr>
            <w:r>
              <w:rPr>
                <w:sz w:val="18"/>
                <w:szCs w:val="18"/>
              </w:rPr>
              <w:t xml:space="preserve">Stromgestehungskosten Überschuss (KZS = 0)</w:t>
            </w:r>
          </w:p>
        </w:tc>
        <w:tc>
          <w:tcPr>
            <w:tcW w:type="dxa" w:w="1350"/>
            <w:shd w:fill="F2F5FA" w:color="auto" w:val="clear"/>
            <w:vAlign w:val="center"/>
          </w:tcPr>
          <w:p>
            <w:pPr>
              <w:spacing w:after="30" w:before="30" w:line="230"/>
              <w:jc w:val="center"/>
            </w:pPr>
            <w:r>
              <w:rPr>
                <w:sz w:val="18"/>
                <w:szCs w:val="18"/>
              </w:rPr>
              <w:t xml:space="preserve">14,64 ct/kWh</w:t>
            </w:r>
          </w:p>
        </w:tc>
        <w:tc>
          <w:tcPr>
            <w:tcW w:type="dxa" w:w="1450"/>
            <w:shd w:fill="F2F5FA" w:color="auto" w:val="clear"/>
            <w:vAlign w:val="center"/>
          </w:tcPr>
          <w:p>
            <w:pPr>
              <w:spacing w:after="30" w:before="30" w:line="230"/>
              <w:jc w:val="center"/>
            </w:pPr>
            <w:r>
              <w:rPr>
                <w:sz w:val="18"/>
                <w:szCs w:val="18"/>
              </w:rPr>
              <w:t xml:space="preserve">14,63 ct/kWh</w:t>
            </w:r>
          </w:p>
        </w:tc>
        <w:tc>
          <w:tcPr>
            <w:tcW w:type="dxa" w:w="1350"/>
            <w:shd w:fill="F2F5FA" w:color="auto" w:val="clear"/>
            <w:vAlign w:val="center"/>
          </w:tcPr>
          <w:p>
            <w:pPr>
              <w:spacing w:after="30" w:before="30" w:line="230"/>
              <w:jc w:val="center"/>
            </w:pPr>
            <w:r>
              <w:rPr>
                <w:sz w:val="18"/>
                <w:szCs w:val="18"/>
              </w:rPr>
              <w:t xml:space="preserve">− 0,07 %</w:t>
            </w:r>
          </w:p>
        </w:tc>
        <w:tc>
          <w:tcPr>
            <w:tcW w:type="dxa" w:w="2738"/>
            <w:shd w:fill="F2F5FA" w:color="auto" w:val="clear"/>
            <w:vAlign w:val="center"/>
          </w:tcPr>
          <w:p>
            <w:pPr>
              <w:spacing w:after="30" w:before="30" w:line="230"/>
              <w:jc w:val="left"/>
            </w:pPr>
            <w:r>
              <w:rPr>
                <w:sz w:val="18"/>
                <w:szCs w:val="18"/>
              </w:rPr>
              <w:t xml:space="preserve">Rumpfjahresertrag</w:t>
            </w:r>
          </w:p>
        </w:tc>
      </w:tr>
      <w:tr>
        <w:trPr>
          <w:cantSplit/>
        </w:trPr>
        <w:tc>
          <w:tcPr>
            <w:tcW w:type="dxa" w:w="2750"/>
            <w:vAlign w:val="center"/>
          </w:tcPr>
          <w:p>
            <w:pPr>
              <w:spacing w:after="30" w:before="30" w:line="230"/>
              <w:jc w:val="left"/>
            </w:pPr>
            <w:r>
              <w:rPr>
                <w:sz w:val="18"/>
                <w:szCs w:val="18"/>
              </w:rPr>
              <w:t xml:space="preserve">Stromgestehungskosten Volleinspeisung (KZS 3,5 %)</w:t>
            </w:r>
          </w:p>
        </w:tc>
        <w:tc>
          <w:tcPr>
            <w:tcW w:type="dxa" w:w="1350"/>
            <w:vAlign w:val="center"/>
          </w:tcPr>
          <w:p>
            <w:pPr>
              <w:spacing w:after="30" w:before="30" w:line="230"/>
              <w:jc w:val="center"/>
            </w:pPr>
            <w:r>
              <w:rPr>
                <w:sz w:val="18"/>
                <w:szCs w:val="18"/>
              </w:rPr>
              <w:t xml:space="preserve">16,47 ct/kWh</w:t>
            </w:r>
          </w:p>
        </w:tc>
        <w:tc>
          <w:tcPr>
            <w:tcW w:type="dxa" w:w="1450"/>
            <w:vAlign w:val="center"/>
          </w:tcPr>
          <w:p>
            <w:pPr>
              <w:spacing w:after="30" w:before="30" w:line="230"/>
              <w:jc w:val="center"/>
            </w:pPr>
            <w:r>
              <w:rPr>
                <w:sz w:val="18"/>
                <w:szCs w:val="18"/>
              </w:rPr>
              <w:t xml:space="preserve">16,45 ct/kWh</w:t>
            </w:r>
          </w:p>
        </w:tc>
        <w:tc>
          <w:tcPr>
            <w:tcW w:type="dxa" w:w="1350"/>
            <w:vAlign w:val="center"/>
          </w:tcPr>
          <w:p>
            <w:pPr>
              <w:spacing w:after="30" w:before="30" w:line="230"/>
              <w:jc w:val="center"/>
            </w:pPr>
            <w:r>
              <w:rPr>
                <w:sz w:val="18"/>
                <w:szCs w:val="18"/>
              </w:rPr>
              <w:t xml:space="preserve">− 0,12 %</w:t>
            </w:r>
          </w:p>
        </w:tc>
        <w:tc>
          <w:tcPr>
            <w:tcW w:type="dxa" w:w="2738"/>
            <w:vAlign w:val="center"/>
          </w:tcPr>
          <w:p>
            <w:pPr>
              <w:spacing w:after="30" w:before="30" w:line="230"/>
              <w:jc w:val="left"/>
            </w:pPr>
            <w:r>
              <w:rPr>
                <w:sz w:val="18"/>
                <w:szCs w:val="18"/>
              </w:rPr>
              <w:t xml:space="preserve">Rumpfjahresertrag</w:t>
            </w:r>
          </w:p>
        </w:tc>
      </w:tr>
      <w:tr>
        <w:trPr>
          <w:cantSplit/>
        </w:trPr>
        <w:tc>
          <w:tcPr>
            <w:tcW w:type="dxa" w:w="2750"/>
            <w:shd w:fill="F2F5FA" w:color="auto" w:val="clear"/>
            <w:vAlign w:val="center"/>
          </w:tcPr>
          <w:p>
            <w:pPr>
              <w:spacing w:after="30" w:before="30" w:line="230"/>
              <w:jc w:val="left"/>
            </w:pPr>
            <w:r>
              <w:rPr>
                <w:sz w:val="18"/>
                <w:szCs w:val="18"/>
              </w:rPr>
              <w:t xml:space="preserve">Stromgestehungskosten Volleinspeisung (KZS = 0)</w:t>
            </w:r>
          </w:p>
        </w:tc>
        <w:tc>
          <w:tcPr>
            <w:tcW w:type="dxa" w:w="1350"/>
            <w:shd w:fill="F2F5FA" w:color="auto" w:val="clear"/>
            <w:vAlign w:val="center"/>
          </w:tcPr>
          <w:p>
            <w:pPr>
              <w:spacing w:after="30" w:before="30" w:line="230"/>
              <w:jc w:val="center"/>
            </w:pPr>
            <w:r>
              <w:rPr>
                <w:sz w:val="18"/>
                <w:szCs w:val="18"/>
              </w:rPr>
              <w:t xml:space="preserve">13,25 ct/kWh</w:t>
            </w:r>
          </w:p>
        </w:tc>
        <w:tc>
          <w:tcPr>
            <w:tcW w:type="dxa" w:w="1450"/>
            <w:shd w:fill="F2F5FA" w:color="auto" w:val="clear"/>
            <w:vAlign w:val="center"/>
          </w:tcPr>
          <w:p>
            <w:pPr>
              <w:spacing w:after="30" w:before="30" w:line="230"/>
              <w:jc w:val="center"/>
            </w:pPr>
            <w:r>
              <w:rPr>
                <w:sz w:val="18"/>
                <w:szCs w:val="18"/>
              </w:rPr>
              <w:t xml:space="preserve">13,24 ct/kWh</w:t>
            </w:r>
          </w:p>
        </w:tc>
        <w:tc>
          <w:tcPr>
            <w:tcW w:type="dxa" w:w="1350"/>
            <w:shd w:fill="F2F5FA" w:color="auto" w:val="clear"/>
            <w:vAlign w:val="center"/>
          </w:tcPr>
          <w:p>
            <w:pPr>
              <w:spacing w:after="30" w:before="30" w:line="230"/>
              <w:jc w:val="center"/>
            </w:pPr>
            <w:r>
              <w:rPr>
                <w:sz w:val="18"/>
                <w:szCs w:val="18"/>
              </w:rPr>
              <w:t xml:space="preserve">− 0,07 %</w:t>
            </w:r>
          </w:p>
        </w:tc>
        <w:tc>
          <w:tcPr>
            <w:tcW w:type="dxa" w:w="2738"/>
            <w:shd w:fill="F2F5FA" w:color="auto" w:val="clear"/>
            <w:vAlign w:val="center"/>
          </w:tcPr>
          <w:p>
            <w:pPr>
              <w:spacing w:after="30" w:before="30" w:line="230"/>
              <w:jc w:val="left"/>
            </w:pPr>
            <w:r>
              <w:rPr>
                <w:sz w:val="18"/>
                <w:szCs w:val="18"/>
              </w:rPr>
              <w:t xml:space="preserve">Rumpfjahresertrag</w:t>
            </w:r>
          </w:p>
        </w:tc>
      </w:tr>
      <w:tr>
        <w:trPr>
          <w:cantSplit/>
        </w:trPr>
        <w:tc>
          <w:tcPr>
            <w:tcW w:type="dxa" w:w="2750"/>
            <w:vAlign w:val="center"/>
          </w:tcPr>
          <w:p>
            <w:pPr>
              <w:spacing w:after="30" w:before="30" w:line="230"/>
              <w:jc w:val="left"/>
            </w:pPr>
            <w:r>
              <w:rPr>
                <w:b/>
                <w:bCs/>
                <w:sz w:val="18"/>
                <w:szCs w:val="18"/>
              </w:rPr>
              <w:t xml:space="preserve">Vorteil durch PV, gesamt</w:t>
            </w:r>
          </w:p>
        </w:tc>
        <w:tc>
          <w:tcPr>
            <w:tcW w:type="dxa" w:w="1350"/>
            <w:vAlign w:val="center"/>
          </w:tcPr>
          <w:p>
            <w:pPr>
              <w:spacing w:after="30" w:before="30" w:line="230"/>
              <w:jc w:val="center"/>
            </w:pPr>
            <w:r>
              <w:rPr>
                <w:b/>
                <w:bCs/>
                <w:sz w:val="18"/>
                <w:szCs w:val="18"/>
              </w:rPr>
              <w:t xml:space="preserve">+ 162.850 €</w:t>
            </w:r>
          </w:p>
        </w:tc>
        <w:tc>
          <w:tcPr>
            <w:tcW w:type="dxa" w:w="1450"/>
            <w:vAlign w:val="center"/>
          </w:tcPr>
          <w:p>
            <w:pPr>
              <w:spacing w:after="30" w:before="30" w:line="230"/>
              <w:jc w:val="center"/>
            </w:pPr>
            <w:r>
              <w:rPr>
                <w:b/>
                <w:bCs/>
                <w:sz w:val="18"/>
                <w:szCs w:val="18"/>
              </w:rPr>
              <w:t xml:space="preserve">+ 162.255 €</w:t>
            </w:r>
          </w:p>
        </w:tc>
        <w:tc>
          <w:tcPr>
            <w:tcW w:type="dxa" w:w="1350"/>
            <w:vAlign w:val="center"/>
          </w:tcPr>
          <w:p>
            <w:pPr>
              <w:spacing w:after="30" w:before="30" w:line="230"/>
              <w:jc w:val="center"/>
            </w:pPr>
            <w:r>
              <w:rPr>
                <w:b/>
                <w:bCs/>
                <w:sz w:val="18"/>
                <w:szCs w:val="18"/>
              </w:rPr>
              <w:t xml:space="preserve">− 0,37 %</w:t>
            </w:r>
          </w:p>
        </w:tc>
        <w:tc>
          <w:tcPr>
            <w:tcW w:type="dxa" w:w="2738"/>
            <w:vAlign w:val="center"/>
          </w:tcPr>
          <w:p>
            <w:pPr>
              <w:spacing w:after="30" w:before="30" w:line="230"/>
              <w:jc w:val="left"/>
            </w:pPr>
            <w:r>
              <w:rPr>
                <w:sz w:val="18"/>
                <w:szCs w:val="18"/>
              </w:rPr>
              <w:t xml:space="preserve">wie Liquiditätsüberschuss</w:t>
            </w:r>
          </w:p>
        </w:tc>
      </w:tr>
      <w:tr>
        <w:trPr>
          <w:cantSplit/>
        </w:trPr>
        <w:tc>
          <w:tcPr>
            <w:tcW w:type="dxa" w:w="2750"/>
            <w:shd w:fill="F2F5FA" w:color="auto" w:val="clear"/>
            <w:vAlign w:val="center"/>
          </w:tcPr>
          <w:p>
            <w:pPr>
              <w:spacing w:after="30" w:before="30" w:line="230"/>
              <w:jc w:val="left"/>
            </w:pPr>
            <w:r>
              <w:rPr>
                <w:b/>
                <w:bCs/>
                <w:sz w:val="18"/>
                <w:szCs w:val="18"/>
              </w:rPr>
              <w:t xml:space="preserve">Vorteil durch PV, je Jahr</w:t>
            </w:r>
          </w:p>
        </w:tc>
        <w:tc>
          <w:tcPr>
            <w:tcW w:type="dxa" w:w="1350"/>
            <w:shd w:fill="F2F5FA" w:color="auto" w:val="clear"/>
            <w:vAlign w:val="center"/>
          </w:tcPr>
          <w:p>
            <w:pPr>
              <w:spacing w:after="30" w:before="30" w:line="230"/>
              <w:jc w:val="center"/>
            </w:pPr>
            <w:r>
              <w:rPr>
                <w:b/>
                <w:bCs/>
                <w:sz w:val="18"/>
                <w:szCs w:val="18"/>
              </w:rPr>
              <w:t xml:space="preserve">+ 7.817 €</w:t>
            </w:r>
          </w:p>
        </w:tc>
        <w:tc>
          <w:tcPr>
            <w:tcW w:type="dxa" w:w="1450"/>
            <w:shd w:fill="F2F5FA" w:color="auto" w:val="clear"/>
            <w:vAlign w:val="center"/>
          </w:tcPr>
          <w:p>
            <w:pPr>
              <w:spacing w:after="30" w:before="30" w:line="230"/>
              <w:jc w:val="center"/>
            </w:pPr>
            <w:r>
              <w:rPr>
                <w:b/>
                <w:bCs/>
                <w:sz w:val="18"/>
                <w:szCs w:val="18"/>
              </w:rPr>
              <w:t xml:space="preserve">+ 7.788 €</w:t>
            </w:r>
          </w:p>
        </w:tc>
        <w:tc>
          <w:tcPr>
            <w:tcW w:type="dxa" w:w="1350"/>
            <w:shd w:fill="F2F5FA" w:color="auto" w:val="clear"/>
            <w:vAlign w:val="center"/>
          </w:tcPr>
          <w:p>
            <w:pPr>
              <w:spacing w:after="30" w:before="30" w:line="230"/>
              <w:jc w:val="center"/>
            </w:pPr>
            <w:r>
              <w:rPr>
                <w:b/>
                <w:bCs/>
                <w:sz w:val="18"/>
                <w:szCs w:val="18"/>
              </w:rPr>
              <w:t xml:space="preserve">− 0,37 %</w:t>
            </w:r>
          </w:p>
        </w:tc>
        <w:tc>
          <w:tcPr>
            <w:tcW w:type="dxa" w:w="2738"/>
            <w:shd w:fill="F2F5FA" w:color="auto" w:val="clear"/>
            <w:vAlign w:val="center"/>
          </w:tcPr>
          <w:p>
            <w:pPr>
              <w:spacing w:after="30" w:before="30" w:line="230"/>
              <w:jc w:val="left"/>
            </w:pPr>
            <w:r>
              <w:rPr>
                <w:sz w:val="18"/>
                <w:szCs w:val="18"/>
              </w:rPr>
              <w:t xml:space="preserve">wie Liquiditätsüberschuss</w:t>
            </w:r>
          </w:p>
        </w:tc>
      </w:tr>
      <w:tr>
        <w:trPr>
          <w:cantSplit/>
        </w:trPr>
        <w:tc>
          <w:tcPr>
            <w:tcW w:type="dxa" w:w="2750"/>
            <w:vAlign w:val="center"/>
          </w:tcPr>
          <w:p>
            <w:pPr>
              <w:spacing w:after="30" w:before="30" w:line="230"/>
              <w:jc w:val="left"/>
            </w:pPr>
            <w:r>
              <w:rPr>
                <w:sz w:val="18"/>
                <w:szCs w:val="18"/>
              </w:rPr>
              <w:t xml:space="preserve">Eigenverbrauchsquote</w:t>
            </w:r>
          </w:p>
        </w:tc>
        <w:tc>
          <w:tcPr>
            <w:tcW w:type="dxa" w:w="1350"/>
            <w:vAlign w:val="center"/>
          </w:tcPr>
          <w:p>
            <w:pPr>
              <w:spacing w:after="30" w:before="30" w:line="230"/>
              <w:jc w:val="center"/>
            </w:pPr>
            <w:r>
              <w:rPr>
                <w:sz w:val="18"/>
                <w:szCs w:val="18"/>
              </w:rPr>
              <w:t xml:space="preserve">83 %</w:t>
            </w:r>
          </w:p>
        </w:tc>
        <w:tc>
          <w:tcPr>
            <w:tcW w:type="dxa" w:w="1450"/>
            <w:vAlign w:val="center"/>
          </w:tcPr>
          <w:p>
            <w:pPr>
              <w:spacing w:after="30" w:before="30" w:line="230"/>
              <w:jc w:val="center"/>
            </w:pPr>
            <w:r>
              <w:rPr>
                <w:sz w:val="18"/>
                <w:szCs w:val="18"/>
              </w:rPr>
              <w:t xml:space="preserve">83,4 %</w:t>
            </w:r>
          </w:p>
        </w:tc>
        <w:tc>
          <w:tcPr>
            <w:tcW w:type="dxa" w:w="1350"/>
            <w:vAlign w:val="center"/>
          </w:tcPr>
          <w:p>
            <w:pPr>
              <w:spacing w:after="30" w:before="30" w:line="230"/>
              <w:jc w:val="center"/>
            </w:pPr>
            <w:r>
              <w:rPr>
                <w:sz w:val="18"/>
                <w:szCs w:val="18"/>
              </w:rPr>
              <w:t xml:space="preserve">+ 0,4 %-Pkt.</w:t>
            </w:r>
          </w:p>
        </w:tc>
        <w:tc>
          <w:tcPr>
            <w:tcW w:type="dxa" w:w="2738"/>
            <w:vAlign w:val="center"/>
          </w:tcPr>
          <w:p>
            <w:pPr>
              <w:spacing w:after="30" w:before="30" w:line="230"/>
              <w:jc w:val="left"/>
            </w:pPr>
            <w:r>
              <w:rPr>
                <w:sz w:val="18"/>
                <w:szCs w:val="18"/>
              </w:rPr>
              <w:t xml:space="preserve">Rundung im Werkzeug (26.962 / 32.340 = 83,37 %)</w:t>
            </w:r>
          </w:p>
        </w:tc>
      </w:tr>
      <w:tr>
        <w:trPr>
          <w:cantSplit/>
        </w:trPr>
        <w:tc>
          <w:tcPr>
            <w:tcW w:type="dxa" w:w="2750"/>
            <w:shd w:fill="F2F5FA" w:color="auto" w:val="clear"/>
            <w:vAlign w:val="center"/>
          </w:tcPr>
          <w:p>
            <w:pPr>
              <w:spacing w:after="30" w:before="30" w:line="230"/>
              <w:jc w:val="left"/>
            </w:pPr>
            <w:r>
              <w:rPr>
                <w:sz w:val="18"/>
                <w:szCs w:val="18"/>
              </w:rPr>
              <w:t xml:space="preserve">Autarkiegrad</w:t>
            </w:r>
          </w:p>
        </w:tc>
        <w:tc>
          <w:tcPr>
            <w:tcW w:type="dxa" w:w="1350"/>
            <w:shd w:fill="F2F5FA" w:color="auto" w:val="clear"/>
            <w:vAlign w:val="center"/>
          </w:tcPr>
          <w:p>
            <w:pPr>
              <w:spacing w:after="30" w:before="30" w:line="230"/>
              <w:jc w:val="center"/>
            </w:pPr>
            <w:r>
              <w:rPr>
                <w:sz w:val="18"/>
                <w:szCs w:val="18"/>
              </w:rPr>
              <w:t xml:space="preserve">26 %</w:t>
            </w:r>
          </w:p>
        </w:tc>
        <w:tc>
          <w:tcPr>
            <w:tcW w:type="dxa" w:w="1450"/>
            <w:shd w:fill="F2F5FA" w:color="auto" w:val="clear"/>
            <w:vAlign w:val="center"/>
          </w:tcPr>
          <w:p>
            <w:pPr>
              <w:spacing w:after="30" w:before="30" w:line="230"/>
              <w:jc w:val="center"/>
            </w:pPr>
            <w:r>
              <w:rPr>
                <w:sz w:val="18"/>
                <w:szCs w:val="18"/>
              </w:rPr>
              <w:t xml:space="preserve">26,4 %</w:t>
            </w:r>
          </w:p>
        </w:tc>
        <w:tc>
          <w:tcPr>
            <w:tcW w:type="dxa" w:w="1350"/>
            <w:shd w:fill="F2F5FA" w:color="auto" w:val="clear"/>
            <w:vAlign w:val="center"/>
          </w:tcPr>
          <w:p>
            <w:pPr>
              <w:spacing w:after="30" w:before="30" w:line="230"/>
              <w:jc w:val="center"/>
            </w:pPr>
            <w:r>
              <w:rPr>
                <w:sz w:val="18"/>
                <w:szCs w:val="18"/>
              </w:rPr>
              <w:t xml:space="preserve">+ 0,4 %-Pkt.</w:t>
            </w:r>
          </w:p>
        </w:tc>
        <w:tc>
          <w:tcPr>
            <w:tcW w:type="dxa" w:w="2738"/>
            <w:shd w:fill="F2F5FA" w:color="auto" w:val="clear"/>
            <w:vAlign w:val="center"/>
          </w:tcPr>
          <w:p>
            <w:pPr>
              <w:spacing w:after="30" w:before="30" w:line="230"/>
              <w:jc w:val="left"/>
            </w:pPr>
            <w:r>
              <w:rPr>
                <w:sz w:val="18"/>
                <w:szCs w:val="18"/>
              </w:rPr>
              <w:t xml:space="preserve">Rundung im Werkzeug</w:t>
            </w:r>
          </w:p>
        </w:tc>
      </w:tr>
      <w:tr>
        <w:trPr>
          <w:cantSplit/>
        </w:trPr>
        <w:tc>
          <w:tcPr>
            <w:tcW w:type="dxa" w:w="2750"/>
            <w:vAlign w:val="center"/>
          </w:tcPr>
          <w:p>
            <w:pPr>
              <w:spacing w:after="30" w:before="30" w:line="230"/>
              <w:jc w:val="left"/>
            </w:pPr>
            <w:r>
              <w:rPr>
                <w:sz w:val="18"/>
                <w:szCs w:val="18"/>
              </w:rPr>
              <w:t xml:space="preserve">Netz-Strompreis Ø netto</w:t>
            </w:r>
          </w:p>
        </w:tc>
        <w:tc>
          <w:tcPr>
            <w:tcW w:type="dxa" w:w="1350"/>
            <w:vAlign w:val="center"/>
          </w:tcPr>
          <w:p>
            <w:pPr>
              <w:spacing w:after="30" w:before="30" w:line="230"/>
              <w:jc w:val="center"/>
            </w:pPr>
            <w:r>
              <w:rPr>
                <w:sz w:val="18"/>
                <w:szCs w:val="18"/>
              </w:rPr>
              <w:t xml:space="preserve">45,83 ct/kWh</w:t>
            </w:r>
          </w:p>
        </w:tc>
        <w:tc>
          <w:tcPr>
            <w:tcW w:type="dxa" w:w="1450"/>
            <w:vAlign w:val="center"/>
          </w:tcPr>
          <w:p>
            <w:pPr>
              <w:spacing w:after="30" w:before="30" w:line="230"/>
              <w:jc w:val="center"/>
            </w:pPr>
            <w:r>
              <w:rPr>
                <w:sz w:val="18"/>
                <w:szCs w:val="18"/>
              </w:rPr>
              <w:t xml:space="preserve">45,80 ct/kWh</w:t>
            </w:r>
          </w:p>
        </w:tc>
        <w:tc>
          <w:tcPr>
            <w:tcW w:type="dxa" w:w="1350"/>
            <w:vAlign w:val="center"/>
          </w:tcPr>
          <w:p>
            <w:pPr>
              <w:spacing w:after="30" w:before="30" w:line="230"/>
              <w:jc w:val="center"/>
            </w:pPr>
            <w:r>
              <w:rPr>
                <w:sz w:val="18"/>
                <w:szCs w:val="18"/>
              </w:rPr>
              <w:t xml:space="preserve">− 0,07 %</w:t>
            </w:r>
          </w:p>
        </w:tc>
        <w:tc>
          <w:tcPr>
            <w:tcW w:type="dxa" w:w="2738"/>
            <w:vAlign w:val="center"/>
          </w:tcPr>
          <w:p>
            <w:pPr>
              <w:spacing w:after="30" w:before="30" w:line="230"/>
              <w:jc w:val="left"/>
            </w:pPr>
            <w:r>
              <w:rPr>
                <w:sz w:val="18"/>
                <w:szCs w:val="18"/>
              </w:rPr>
              <w:t xml:space="preserve">Gewichtung des Mittelwerts im Werkzeug nicht offengelegt</w:t>
            </w:r>
          </w:p>
        </w:tc>
      </w:tr>
      <w:tr>
        <w:trPr>
          <w:cantSplit/>
        </w:trPr>
        <w:tc>
          <w:tcPr>
            <w:tcW w:type="dxa" w:w="2750"/>
            <w:shd w:fill="E8F0FB" w:color="auto" w:val="clear"/>
            <w:vAlign w:val="center"/>
          </w:tcPr>
          <w:p>
            <w:pPr>
              <w:spacing w:after="30" w:before="30" w:line="230"/>
              <w:jc w:val="left"/>
            </w:pPr>
            <w:r>
              <w:rPr>
                <w:b/>
                <w:bCs/>
                <w:sz w:val="18"/>
                <w:szCs w:val="18"/>
              </w:rPr>
              <w:t xml:space="preserve">Mittlere Abweichung aller wertmäßigen Kennzahlen</w:t>
            </w:r>
          </w:p>
        </w:tc>
        <w:tc>
          <w:tcPr>
            <w:tcW w:type="dxa" w:w="1350"/>
            <w:shd w:fill="E8F0FB" w:color="auto" w:val="clear"/>
            <w:vAlign w:val="center"/>
          </w:tcPr>
          <w:p>
            <w:pPr>
              <w:spacing w:after="30" w:before="30" w:line="230"/>
              <w:jc w:val="center"/>
            </w:pPr>
            <w:r>
              <w:rPr>
                <w:sz w:val="18"/>
                <w:szCs w:val="18"/>
              </w:rPr>
              <w:t xml:space="preserve"/>
            </w:r>
          </w:p>
        </w:tc>
        <w:tc>
          <w:tcPr>
            <w:tcW w:type="dxa" w:w="1450"/>
            <w:shd w:fill="E8F0FB" w:color="auto" w:val="clear"/>
            <w:vAlign w:val="center"/>
          </w:tcPr>
          <w:p>
            <w:pPr>
              <w:spacing w:after="30" w:before="30" w:line="230"/>
              <w:jc w:val="center"/>
            </w:pPr>
            <w:r>
              <w:rPr>
                <w:sz w:val="18"/>
                <w:szCs w:val="18"/>
              </w:rPr>
              <w:t xml:space="preserve"/>
            </w:r>
          </w:p>
        </w:tc>
        <w:tc>
          <w:tcPr>
            <w:tcW w:type="dxa" w:w="1350"/>
            <w:shd w:fill="E8F0FB" w:color="auto" w:val="clear"/>
            <w:vAlign w:val="center"/>
          </w:tcPr>
          <w:p>
            <w:pPr>
              <w:spacing w:after="30" w:before="30" w:line="230"/>
              <w:jc w:val="center"/>
            </w:pPr>
            <w:r>
              <w:rPr>
                <w:b/>
                <w:bCs/>
                <w:sz w:val="18"/>
                <w:szCs w:val="18"/>
              </w:rPr>
              <w:t xml:space="preserve">0,20 %</w:t>
            </w:r>
          </w:p>
        </w:tc>
        <w:tc>
          <w:tcPr>
            <w:tcW w:type="dxa" w:w="2738"/>
            <w:shd w:fill="E8F0FB" w:color="auto" w:val="clear"/>
            <w:vAlign w:val="center"/>
          </w:tcPr>
          <w:p>
            <w:pPr>
              <w:spacing w:after="30" w:before="30" w:line="230"/>
              <w:jc w:val="left"/>
            </w:pPr>
            <w:r>
              <w:rPr>
                <w:sz w:val="18"/>
                <w:szCs w:val="18"/>
              </w:rPr>
              <w:t xml:space="preserve"/>
            </w:r>
          </w:p>
        </w:tc>
      </w:tr>
    </w:tbl>
    <w:p>
      <w:pPr>
        <w:spacing w:after="100"/>
      </w:pPr>
      <w:r>
        <w:rPr>
          <w:sz w:val="8"/>
          <w:szCs w:val="8"/>
        </w:rPr>
        <w:t xml:space="preserve"/>
      </w:r>
    </w:p>
    <w:p>
      <w:pPr>
        <w:spacing w:after="120"/>
      </w:pPr>
      <w:r>
        <w:rPr>
          <w:sz w:val="19"/>
          <w:szCs w:val="19"/>
        </w:rPr>
        <w:t xml:space="preserve">¹ Nicht direkt ausgewiesen, sondern aus drei Tool-Kennzahlen zurückgerechnet (siehe K3.1).</w:t>
      </w:r>
    </w:p>
    <w:p>
      <w:pPr>
        <w:spacing w:after="120"/>
      </w:pPr>
      <w:r>
        <w:rPr>
          <w:sz w:val="19"/>
          <w:szCs w:val="19"/>
        </w:rPr>
        <w:t xml:space="preserve">² </w:t>
      </w:r>
      <w:r>
        <w:rPr>
          <w:b/>
          <w:bCs/>
          <w:sz w:val="19"/>
          <w:szCs w:val="19"/>
        </w:rPr>
        <w:t xml:space="preserve">Die mit Abstand größte Einzelabweichung der Tabelle.</w:t>
      </w:r>
      <w:r>
        <w:rPr>
          <w:sz w:val="19"/>
          <w:szCs w:val="19"/>
        </w:rPr>
        <w:t xml:space="preserve"> Zwei Beobachtungen gehören zusammen: Das Werkzeug weist für den Plan „Überschuss“ einen um 595 € </w:t>
      </w:r>
      <w:r>
        <w:rPr>
          <w:b/>
          <w:bCs/>
          <w:sz w:val="19"/>
          <w:szCs w:val="19"/>
        </w:rPr>
        <w:t xml:space="preserve">höheren</w:t>
      </w:r>
      <w:r>
        <w:rPr>
          <w:sz w:val="19"/>
          <w:szCs w:val="19"/>
        </w:rPr>
        <w:t xml:space="preserve"> Liquiditätsüberschuss und zugleich einen um 0,16 %-Punkte </w:t>
      </w:r>
      <w:r>
        <w:rPr>
          <w:b/>
          <w:bCs/>
          <w:sz w:val="19"/>
          <w:szCs w:val="19"/>
        </w:rPr>
        <w:t xml:space="preserve">niedrigeren</w:t>
      </w:r>
      <w:r>
        <w:rPr>
          <w:sz w:val="19"/>
          <w:szCs w:val="19"/>
        </w:rPr>
        <w:t xml:space="preserve"> internen Zinsfuß aus. Beides zusammen heißt, dass in der Tool-Rechnung ein etwas größerer Teil des Eigenverbrauchswertes in </w:t>
      </w:r>
      <w:r>
        <w:rPr>
          <w:b/>
          <w:bCs/>
          <w:sz w:val="19"/>
          <w:szCs w:val="19"/>
        </w:rPr>
        <w:t xml:space="preserve">späteren</w:t>
      </w:r>
      <w:r>
        <w:rPr>
          <w:sz w:val="19"/>
          <w:szCs w:val="19"/>
        </w:rPr>
        <w:t xml:space="preserve"> – und wegen der Preissteigerung von 4 % pro Jahr höher bewerteten – Jahren anfällt als in der Nachrechnung: Eine spätere Zahlung erhöht die undiskontierte Summe und senkt zugleich die Rendite. Als Ursache kommen genau die beiden Verteilungsannahmen in Betracht, die das Werkzeug nicht ausweist: der Ertragsanteil der zehn Rumpfjahresmonate und der </w:t>
      </w:r>
      <w:r>
        <w:rPr>
          <w:b/>
          <w:bCs/>
          <w:sz w:val="19"/>
          <w:szCs w:val="19"/>
        </w:rPr>
        <w:t xml:space="preserve">Monatsverlauf der Eigenverbrauchsquote</w:t>
      </w:r>
      <w:r>
        <w:rPr>
          <w:sz w:val="19"/>
          <w:szCs w:val="19"/>
        </w:rPr>
        <w:t xml:space="preserve">, den pv@now aus der stündlichen Lastprofilsimulation ableitet – im Winter nahe 100 %, im Sommer deutlich niedriger – und den die Nachrechnung mangels Daten in jedem Monat gleich mit 83,4 % ansetzen muss. Ein kleinerer, bezifferbarer Teil entfällt auf den mittleren Netzstrompreis, den das Werkzeug mit 45,83 statt 45,80 ct/kWh ausweist: rund 164 € über die Laufzeit. </w:t>
      </w:r>
      <w:r>
        <w:rPr>
          <w:b/>
          <w:bCs/>
          <w:sz w:val="19"/>
          <w:szCs w:val="19"/>
        </w:rPr>
        <w:t xml:space="preserve">Nicht</w:t>
      </w:r>
      <w:r>
        <w:rPr>
          <w:sz w:val="19"/>
          <w:szCs w:val="19"/>
        </w:rPr>
        <w:t xml:space="preserve"> ursächlich ist die Umsatzsteuer – beide Pläne rechnen im PV-Bereich mit Vorsteuerabzug, alle Beträge sind netto, ein Steuereffekt existiert nicht (C2).</w:t>
      </w:r>
    </w:p>
    <w:p>
      <w:r>
        <w:rPr>
          <w:b/>
          <w:bCs/>
        </w:rPr>
        <w:t xml:space="preserve">Ergebniszeile.</w:t>
      </w:r>
      <w:r>
        <w:t xml:space="preserve"> Nachgerechnet mit dem hier beschriebenen Verfahren ergibt sich für den Plan „Überschuss“ ein </w:t>
      </w:r>
      <w:r>
        <w:rPr>
          <w:b/>
          <w:bCs/>
        </w:rPr>
        <w:t xml:space="preserve">Kapitalwert von 92.572 € gegenüber 92.568 € im Werkzeug (Abweichung + 0,00 %)</w:t>
      </w:r>
      <w:r>
        <w:t xml:space="preserve"> und ein </w:t>
      </w:r>
      <w:r>
        <w:rPr>
          <w:b/>
          <w:bCs/>
        </w:rPr>
        <w:t xml:space="preserve">Liquiditätsüberschuss von 162.255 € gegenüber 162.850 € (− 0,37 %)</w:t>
      </w:r>
      <w:r>
        <w:t xml:space="preserve">; für den Plan „Volleinspeisung“ ein </w:t>
      </w:r>
      <w:r>
        <w:rPr>
          <w:b/>
          <w:bCs/>
        </w:rPr>
        <w:t xml:space="preserve">Kapitalwert von − 22.930 € gegenüber − 22.979 € (+ 0,22 %)</w:t>
      </w:r>
      <w:r>
        <w:t xml:space="preserve">. Über alle zwanzig geprüften Kennzahlen beträgt die mittlere Abweichung </w:t>
      </w:r>
      <w:r>
        <w:rPr>
          <w:b/>
          <w:bCs/>
        </w:rPr>
        <w:t xml:space="preserve">0,20 %</w:t>
      </w:r>
      <w:r>
        <w:t xml:space="preserve">; Vorzeichen, Größenordnung und sämtliche Amortisationsaussagen stimmen exakt überein. Ursache der verbleibenden Abweichungen sind zwei nicht offengelegte Verteilungsannahmen des Werkzeugs – die Aufteilung des Rumpfjahresertrags auf die zehn Monate und der Monatsverlauf der Eigenverbrauchsquote. </w:t>
      </w:r>
      <w:r>
        <w:rPr>
          <w:b/>
          <w:bCs/>
        </w:rPr>
        <w:t xml:space="preserve">Die Kennzahlen des Fallbeispiels sind damit aus den dokumentierten Eingaben reproduzierbar.</w:t>
      </w:r>
    </w:p>
    <w:p>
      <w:r>
        <w:rPr>
          <w:b/>
          <w:bCs/>
        </w:rPr>
        <w:t xml:space="preserve">Sensitivität der Annahmen.</w:t>
      </w:r>
      <w:r>
        <w:t xml:space="preserve"> Wie viel an einer einzelnen offenen Annahme hängt, zeigt der Vergleich der Rumpfjahresbehandlung [36]:</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900"/>
        <w:gridCol w:w="2300"/>
        <w:gridCol w:w="2300"/>
        <w:gridCol w:w="2138"/>
      </w:tblGrid>
      <w:tr>
        <w:trPr>
          <w:tblHeader/>
        </w:trPr>
        <w:tc>
          <w:tcPr>
            <w:tcW w:type="dxa" w:w="2900"/>
            <w:shd w:fill="1F3864" w:color="auto" w:val="clear"/>
            <w:vAlign w:val="center"/>
          </w:tcPr>
          <w:p>
            <w:pPr>
              <w:spacing w:after="30" w:before="30" w:line="230"/>
              <w:jc w:val="left"/>
            </w:pPr>
            <w:r>
              <w:rPr>
                <w:b/>
                <w:bCs/>
                <w:color w:val="FFFFFF"/>
                <w:sz w:val="17"/>
                <w:szCs w:val="17"/>
              </w:rPr>
              <w:t xml:space="preserve">Kennzahl</w:t>
            </w:r>
          </w:p>
        </w:tc>
        <w:tc>
          <w:tcPr>
            <w:tcW w:type="dxa" w:w="2300"/>
            <w:shd w:fill="1F3864" w:color="auto" w:val="clear"/>
            <w:vAlign w:val="center"/>
          </w:tcPr>
          <w:p>
            <w:pPr>
              <w:spacing w:after="30" w:before="30" w:line="230"/>
              <w:jc w:val="center"/>
            </w:pPr>
            <w:r>
              <w:rPr>
                <w:b/>
                <w:bCs/>
                <w:color w:val="FFFFFF"/>
                <w:sz w:val="17"/>
                <w:szCs w:val="17"/>
              </w:rPr>
              <w:t xml:space="preserve">Rumpfjahr saisonal (gewählt)</w:t>
            </w:r>
          </w:p>
        </w:tc>
        <w:tc>
          <w:tcPr>
            <w:tcW w:type="dxa" w:w="2300"/>
            <w:shd w:fill="1F3864" w:color="auto" w:val="clear"/>
            <w:vAlign w:val="center"/>
          </w:tcPr>
          <w:p>
            <w:pPr>
              <w:spacing w:after="30" w:before="30" w:line="230"/>
              <w:jc w:val="center"/>
            </w:pPr>
            <w:r>
              <w:rPr>
                <w:b/>
                <w:bCs/>
                <w:color w:val="FFFFFF"/>
                <w:sz w:val="17"/>
                <w:szCs w:val="17"/>
              </w:rPr>
              <w:t xml:space="preserve">Rumpfjahr zeitanteilig 10/12</w:t>
            </w:r>
          </w:p>
        </w:tc>
        <w:tc>
          <w:tcPr>
            <w:tcW w:type="dxa" w:w="2138"/>
            <w:shd w:fill="1F3864" w:color="auto" w:val="clear"/>
            <w:vAlign w:val="center"/>
          </w:tcPr>
          <w:p>
            <w:pPr>
              <w:spacing w:after="30" w:before="30" w:line="230"/>
              <w:jc w:val="center"/>
            </w:pPr>
            <w:r>
              <w:rPr>
                <w:b/>
                <w:bCs/>
                <w:color w:val="FFFFFF"/>
                <w:sz w:val="17"/>
                <w:szCs w:val="17"/>
              </w:rPr>
              <w:t xml:space="preserve">Tool-Wert</w:t>
            </w:r>
          </w:p>
        </w:tc>
      </w:tr>
      <w:tr>
        <w:trPr>
          <w:cantSplit/>
        </w:trPr>
        <w:tc>
          <w:tcPr>
            <w:tcW w:type="dxa" w:w="2900"/>
            <w:vAlign w:val="center"/>
          </w:tcPr>
          <w:p>
            <w:pPr>
              <w:spacing w:after="30" w:before="30" w:line="230"/>
              <w:jc w:val="left"/>
            </w:pPr>
            <w:r>
              <w:rPr>
                <w:sz w:val="17"/>
                <w:szCs w:val="17"/>
              </w:rPr>
              <w:t xml:space="preserve">Erzeugung gesamt</w:t>
            </w:r>
          </w:p>
        </w:tc>
        <w:tc>
          <w:tcPr>
            <w:tcW w:type="dxa" w:w="2300"/>
            <w:vAlign w:val="center"/>
          </w:tcPr>
          <w:p>
            <w:pPr>
              <w:spacing w:after="30" w:before="30" w:line="230"/>
              <w:jc w:val="center"/>
            </w:pPr>
            <w:r>
              <w:rPr>
                <w:sz w:val="17"/>
                <w:szCs w:val="17"/>
              </w:rPr>
              <w:t xml:space="preserve">659.598 kWh</w:t>
            </w:r>
          </w:p>
        </w:tc>
        <w:tc>
          <w:tcPr>
            <w:tcW w:type="dxa" w:w="2300"/>
            <w:vAlign w:val="center"/>
          </w:tcPr>
          <w:p>
            <w:pPr>
              <w:spacing w:after="30" w:before="30" w:line="230"/>
              <w:jc w:val="center"/>
            </w:pPr>
            <w:r>
              <w:rPr>
                <w:sz w:val="17"/>
                <w:szCs w:val="17"/>
              </w:rPr>
              <w:t xml:space="preserve">656.772 kWh</w:t>
            </w:r>
          </w:p>
        </w:tc>
        <w:tc>
          <w:tcPr>
            <w:tcW w:type="dxa" w:w="2138"/>
            <w:vAlign w:val="center"/>
          </w:tcPr>
          <w:p>
            <w:pPr>
              <w:spacing w:after="30" w:before="30" w:line="230"/>
              <w:jc w:val="center"/>
            </w:pPr>
            <w:r>
              <w:rPr>
                <w:sz w:val="17"/>
                <w:szCs w:val="17"/>
              </w:rPr>
              <w:t xml:space="preserve">≈ 659.150 kWh</w:t>
            </w:r>
          </w:p>
        </w:tc>
      </w:tr>
      <w:tr>
        <w:trPr>
          <w:cantSplit/>
        </w:trPr>
        <w:tc>
          <w:tcPr>
            <w:tcW w:type="dxa" w:w="2900"/>
            <w:shd w:fill="F2F5FA" w:color="auto" w:val="clear"/>
            <w:vAlign w:val="center"/>
          </w:tcPr>
          <w:p>
            <w:pPr>
              <w:spacing w:after="30" w:before="30" w:line="230"/>
              <w:jc w:val="left"/>
            </w:pPr>
            <w:r>
              <w:rPr>
                <w:sz w:val="17"/>
                <w:szCs w:val="17"/>
              </w:rPr>
              <w:t xml:space="preserve">Liquiditätsüberschuss Überschuss</w:t>
            </w:r>
          </w:p>
        </w:tc>
        <w:tc>
          <w:tcPr>
            <w:tcW w:type="dxa" w:w="2300"/>
            <w:shd w:fill="F2F5FA" w:color="auto" w:val="clear"/>
            <w:vAlign w:val="center"/>
          </w:tcPr>
          <w:p>
            <w:pPr>
              <w:spacing w:after="30" w:before="30" w:line="230"/>
              <w:jc w:val="center"/>
            </w:pPr>
            <w:r>
              <w:rPr>
                <w:sz w:val="17"/>
                <w:szCs w:val="17"/>
              </w:rPr>
              <w:t xml:space="preserve">162.255 €</w:t>
            </w:r>
          </w:p>
        </w:tc>
        <w:tc>
          <w:tcPr>
            <w:tcW w:type="dxa" w:w="2300"/>
            <w:shd w:fill="F2F5FA" w:color="auto" w:val="clear"/>
            <w:vAlign w:val="center"/>
          </w:tcPr>
          <w:p>
            <w:pPr>
              <w:spacing w:after="30" w:before="30" w:line="230"/>
              <w:jc w:val="center"/>
            </w:pPr>
            <w:r>
              <w:rPr>
                <w:sz w:val="17"/>
                <w:szCs w:val="17"/>
              </w:rPr>
              <w:t xml:space="preserve">161.513 €</w:t>
            </w:r>
          </w:p>
        </w:tc>
        <w:tc>
          <w:tcPr>
            <w:tcW w:type="dxa" w:w="2138"/>
            <w:shd w:fill="F2F5FA" w:color="auto" w:val="clear"/>
            <w:vAlign w:val="center"/>
          </w:tcPr>
          <w:p>
            <w:pPr>
              <w:spacing w:after="30" w:before="30" w:line="230"/>
              <w:jc w:val="center"/>
            </w:pPr>
            <w:r>
              <w:rPr>
                <w:sz w:val="17"/>
                <w:szCs w:val="17"/>
              </w:rPr>
              <w:t xml:space="preserve">162.850 €</w:t>
            </w:r>
          </w:p>
        </w:tc>
      </w:tr>
      <w:tr>
        <w:trPr>
          <w:cantSplit/>
        </w:trPr>
        <w:tc>
          <w:tcPr>
            <w:tcW w:type="dxa" w:w="2900"/>
            <w:vAlign w:val="center"/>
          </w:tcPr>
          <w:p>
            <w:pPr>
              <w:spacing w:after="30" w:before="30" w:line="230"/>
              <w:jc w:val="left"/>
            </w:pPr>
            <w:r>
              <w:rPr>
                <w:sz w:val="17"/>
                <w:szCs w:val="17"/>
              </w:rPr>
              <w:t xml:space="preserve">Liquiditätsüberschuss Volleinspeisung</w:t>
            </w:r>
          </w:p>
        </w:tc>
        <w:tc>
          <w:tcPr>
            <w:tcW w:type="dxa" w:w="2300"/>
            <w:vAlign w:val="center"/>
          </w:tcPr>
          <w:p>
            <w:pPr>
              <w:spacing w:after="30" w:before="30" w:line="230"/>
              <w:jc w:val="center"/>
            </w:pPr>
            <w:r>
              <w:rPr>
                <w:sz w:val="17"/>
                <w:szCs w:val="17"/>
              </w:rPr>
              <w:t xml:space="preserve">− 10.820 €</w:t>
            </w:r>
          </w:p>
        </w:tc>
        <w:tc>
          <w:tcPr>
            <w:tcW w:type="dxa" w:w="2300"/>
            <w:vAlign w:val="center"/>
          </w:tcPr>
          <w:p>
            <w:pPr>
              <w:spacing w:after="30" w:before="30" w:line="230"/>
              <w:jc w:val="center"/>
            </w:pPr>
            <w:r>
              <w:rPr>
                <w:sz w:val="17"/>
                <w:szCs w:val="17"/>
              </w:rPr>
              <w:t xml:space="preserve">− 11.148 €</w:t>
            </w:r>
          </w:p>
        </w:tc>
        <w:tc>
          <w:tcPr>
            <w:tcW w:type="dxa" w:w="2138"/>
            <w:vAlign w:val="center"/>
          </w:tcPr>
          <w:p>
            <w:pPr>
              <w:spacing w:after="30" w:before="30" w:line="230"/>
              <w:jc w:val="center"/>
            </w:pPr>
            <w:r>
              <w:rPr>
                <w:sz w:val="17"/>
                <w:szCs w:val="17"/>
              </w:rPr>
              <w:t xml:space="preserve">− 10.867 €</w:t>
            </w:r>
          </w:p>
        </w:tc>
      </w:tr>
      <w:tr>
        <w:trPr>
          <w:cantSplit/>
        </w:trPr>
        <w:tc>
          <w:tcPr>
            <w:tcW w:type="dxa" w:w="2900"/>
            <w:shd w:fill="F2F5FA" w:color="auto" w:val="clear"/>
            <w:vAlign w:val="center"/>
          </w:tcPr>
          <w:p>
            <w:pPr>
              <w:spacing w:after="30" w:before="30" w:line="230"/>
              <w:jc w:val="left"/>
            </w:pPr>
            <w:r>
              <w:rPr>
                <w:sz w:val="17"/>
                <w:szCs w:val="17"/>
              </w:rPr>
              <w:t xml:space="preserve">Kapitalwert Überschuss</w:t>
            </w:r>
          </w:p>
        </w:tc>
        <w:tc>
          <w:tcPr>
            <w:tcW w:type="dxa" w:w="2300"/>
            <w:shd w:fill="F2F5FA" w:color="auto" w:val="clear"/>
            <w:vAlign w:val="center"/>
          </w:tcPr>
          <w:p>
            <w:pPr>
              <w:spacing w:after="30" w:before="30" w:line="230"/>
              <w:jc w:val="center"/>
            </w:pPr>
            <w:r>
              <w:rPr>
                <w:sz w:val="17"/>
                <w:szCs w:val="17"/>
              </w:rPr>
              <w:t xml:space="preserve">92.572 €</w:t>
            </w:r>
          </w:p>
        </w:tc>
        <w:tc>
          <w:tcPr>
            <w:tcW w:type="dxa" w:w="2300"/>
            <w:shd w:fill="F2F5FA" w:color="auto" w:val="clear"/>
            <w:vAlign w:val="center"/>
          </w:tcPr>
          <w:p>
            <w:pPr>
              <w:spacing w:after="30" w:before="30" w:line="230"/>
              <w:jc w:val="center"/>
            </w:pPr>
            <w:r>
              <w:rPr>
                <w:sz w:val="17"/>
                <w:szCs w:val="17"/>
              </w:rPr>
              <w:t xml:space="preserve">91.755 €</w:t>
            </w:r>
          </w:p>
        </w:tc>
        <w:tc>
          <w:tcPr>
            <w:tcW w:type="dxa" w:w="2138"/>
            <w:shd w:fill="F2F5FA" w:color="auto" w:val="clear"/>
            <w:vAlign w:val="center"/>
          </w:tcPr>
          <w:p>
            <w:pPr>
              <w:spacing w:after="30" w:before="30" w:line="230"/>
              <w:jc w:val="center"/>
            </w:pPr>
            <w:r>
              <w:rPr>
                <w:sz w:val="17"/>
                <w:szCs w:val="17"/>
              </w:rPr>
              <w:t xml:space="preserve">92.568 €</w:t>
            </w:r>
          </w:p>
        </w:tc>
      </w:tr>
      <w:tr>
        <w:trPr>
          <w:cantSplit/>
        </w:trPr>
        <w:tc>
          <w:tcPr>
            <w:tcW w:type="dxa" w:w="2900"/>
            <w:vAlign w:val="center"/>
          </w:tcPr>
          <w:p>
            <w:pPr>
              <w:spacing w:after="30" w:before="30" w:line="230"/>
              <w:jc w:val="left"/>
            </w:pPr>
            <w:r>
              <w:rPr>
                <w:sz w:val="17"/>
                <w:szCs w:val="17"/>
              </w:rPr>
              <w:t xml:space="preserve">Stromgestehungskosten Volleinspeisung (KZS = 0)</w:t>
            </w:r>
          </w:p>
        </w:tc>
        <w:tc>
          <w:tcPr>
            <w:tcW w:type="dxa" w:w="2300"/>
            <w:vAlign w:val="center"/>
          </w:tcPr>
          <w:p>
            <w:pPr>
              <w:spacing w:after="30" w:before="30" w:line="230"/>
              <w:jc w:val="center"/>
            </w:pPr>
            <w:r>
              <w:rPr>
                <w:sz w:val="17"/>
                <w:szCs w:val="17"/>
              </w:rPr>
              <w:t xml:space="preserve">13,24 ct/kWh</w:t>
            </w:r>
          </w:p>
        </w:tc>
        <w:tc>
          <w:tcPr>
            <w:tcW w:type="dxa" w:w="2300"/>
            <w:vAlign w:val="center"/>
          </w:tcPr>
          <w:p>
            <w:pPr>
              <w:spacing w:after="30" w:before="30" w:line="230"/>
              <w:jc w:val="center"/>
            </w:pPr>
            <w:r>
              <w:rPr>
                <w:sz w:val="17"/>
                <w:szCs w:val="17"/>
              </w:rPr>
              <w:t xml:space="preserve">13,30 ct/kWh</w:t>
            </w:r>
          </w:p>
        </w:tc>
        <w:tc>
          <w:tcPr>
            <w:tcW w:type="dxa" w:w="2138"/>
            <w:vAlign w:val="center"/>
          </w:tcPr>
          <w:p>
            <w:pPr>
              <w:spacing w:after="30" w:before="30" w:line="230"/>
              <w:jc w:val="center"/>
            </w:pPr>
            <w:r>
              <w:rPr>
                <w:sz w:val="17"/>
                <w:szCs w:val="17"/>
              </w:rPr>
              <w:t xml:space="preserve">13,25 ct/kWh</w:t>
            </w:r>
          </w:p>
        </w:tc>
      </w:tr>
    </w:tbl>
    <w:p>
      <w:pPr>
        <w:spacing w:after="100"/>
      </w:pPr>
      <w:r>
        <w:rPr>
          <w:sz w:val="8"/>
          <w:szCs w:val="8"/>
        </w:rPr>
        <w:t xml:space="preserve"/>
      </w:r>
    </w:p>
    <w:p>
      <w:r>
        <w:t xml:space="preserve">Die zeitanteilige Variante ist über alle Kennzahlen hinweg rund fünfmal so weit vom Tool entfernt (0,92 % gegenüber 0,17 %) – ein deutlicher Hinweis darauf, dass pv@now den Rumpfjahresertrag saisonal verteilt.</w:t>
      </w:r>
    </w:p>
    <w:p>
      <w:pPr>
        <w:pStyle w:val="Heading2"/>
      </w:pPr>
      <w:bookmarkStart w:id="900035" w:name="_Toc90000035"/>
      <w:r>
        <w:t xml:space="preserve">K4  Was der Modellwechsel mit den Kennzahlen macht</w:t>
      </w:r>
      <w:bookmarkEnd w:id="900035"/>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90"/>
          <w:left w:type="dxa" w:w="150"/>
          <w:bottom w:type="dxa" w:w="90"/>
          <w:right w:type="dxa" w:w="150"/>
        </w:tblCellMar>
      </w:tblPr>
      <w:tblGrid>
        <w:gridCol w:w="9638"/>
      </w:tblGrid>
      <w:tr>
        <w:trPr>
          <w:cantSplit/>
        </w:trPr>
        <w:tc>
          <w:tcPr>
            <w:tcW w:type="dxa" w:w="9638"/>
            <w:tcBorders>
              <w:top w:val="single" w:color="2E5395" w:sz="2"/>
              <w:left w:val="single" w:color="2E5395" w:sz="24"/>
              <w:bottom w:val="single" w:color="2E5395" w:sz="2"/>
              <w:right w:val="single" w:color="2E5395" w:sz="2"/>
            </w:tcBorders>
            <w:shd w:fill="EAF1FA" w:color="auto" w:val="clear"/>
          </w:tcPr>
          <w:p>
            <w:pPr>
              <w:spacing w:after="80" w:before="40"/>
            </w:pPr>
            <w:r>
              <w:rPr>
                <w:b/>
                <w:bCs/>
                <w:color w:val="2E5395"/>
                <w:sz w:val="20"/>
                <w:szCs w:val="20"/>
              </w:rPr>
              <w:t xml:space="preserve">Qualitative Wirkungsrichtungen, keine gerechneten Ergebnisse</w:t>
            </w:r>
          </w:p>
          <w:p>
            <w:pPr>
              <w:spacing w:after="60" w:before="40" w:line="250"/>
            </w:pPr>
            <w:r>
              <w:rPr>
                <w:sz w:val="19"/>
                <w:szCs w:val="19"/>
              </w:rPr>
              <w:t xml:space="preserve">Die folgende Tabelle überführt dieselbe Anlage – 30 kWp, 32.340 kWh/a, 54.000 € – gedanklich in andere Modellfamilien und benennt, welche Bausteine hinzukommen oder entfallen und in welche Richtung sich die Kennzahlen je Akteur bewegen. Sie ersetzt keine Rechnung; jeder Wechsel erfordert eine eigene Plan-Rechnung im Werkzeug. Ausnahme ist die erste Zeile: Sie ist im Fallbeispiel tatsächlich durchgerechnet.</w:t>
            </w:r>
          </w:p>
        </w:tc>
      </w:tr>
    </w:tbl>
    <w:p>
      <w:pPr>
        <w:spacing w:after="160"/>
      </w:pPr>
      <w:r>
        <w:rPr>
          <w:sz w:val="8"/>
          <w:szCs w:val="8"/>
        </w:rPr>
        <w:t xml:space="preserve"/>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000"/>
        <w:gridCol w:w="1900"/>
        <w:gridCol w:w="1900"/>
        <w:gridCol w:w="3838"/>
      </w:tblGrid>
      <w:tr>
        <w:trPr>
          <w:tblHeader/>
        </w:trPr>
        <w:tc>
          <w:tcPr>
            <w:tcW w:type="dxa" w:w="2000"/>
            <w:shd w:fill="1F3864" w:color="auto" w:val="clear"/>
            <w:vAlign w:val="center"/>
          </w:tcPr>
          <w:p>
            <w:pPr>
              <w:spacing w:after="30" w:before="30" w:line="230"/>
              <w:jc w:val="left"/>
            </w:pPr>
            <w:r>
              <w:rPr>
                <w:b/>
                <w:bCs/>
                <w:color w:val="FFFFFF"/>
                <w:sz w:val="15"/>
                <w:szCs w:val="15"/>
              </w:rPr>
              <w:t xml:space="preserve">Modellwechsel</w:t>
            </w:r>
          </w:p>
        </w:tc>
        <w:tc>
          <w:tcPr>
            <w:tcW w:type="dxa" w:w="1900"/>
            <w:shd w:fill="1F3864" w:color="auto" w:val="clear"/>
            <w:vAlign w:val="center"/>
          </w:tcPr>
          <w:p>
            <w:pPr>
              <w:spacing w:after="30" w:before="30" w:line="230"/>
              <w:jc w:val="left"/>
            </w:pPr>
            <w:r>
              <w:rPr>
                <w:b/>
                <w:bCs/>
                <w:color w:val="FFFFFF"/>
                <w:sz w:val="15"/>
                <w:szCs w:val="15"/>
              </w:rPr>
              <w:t xml:space="preserve">Bausteine, die hinzukommen</w:t>
            </w:r>
          </w:p>
        </w:tc>
        <w:tc>
          <w:tcPr>
            <w:tcW w:type="dxa" w:w="1900"/>
            <w:shd w:fill="1F3864" w:color="auto" w:val="clear"/>
            <w:vAlign w:val="center"/>
          </w:tcPr>
          <w:p>
            <w:pPr>
              <w:spacing w:after="30" w:before="30" w:line="230"/>
              <w:jc w:val="left"/>
            </w:pPr>
            <w:r>
              <w:rPr>
                <w:b/>
                <w:bCs/>
                <w:color w:val="FFFFFF"/>
                <w:sz w:val="15"/>
                <w:szCs w:val="15"/>
              </w:rPr>
              <w:t xml:space="preserve">Bausteine, die entfallen oder schrumpfen</w:t>
            </w:r>
          </w:p>
        </w:tc>
        <w:tc>
          <w:tcPr>
            <w:tcW w:type="dxa" w:w="3838"/>
            <w:shd w:fill="1F3864" w:color="auto" w:val="clear"/>
            <w:vAlign w:val="center"/>
          </w:tcPr>
          <w:p>
            <w:pPr>
              <w:spacing w:after="30" w:before="30" w:line="230"/>
              <w:jc w:val="left"/>
            </w:pPr>
            <w:r>
              <w:rPr>
                <w:b/>
                <w:bCs/>
                <w:color w:val="FFFFFF"/>
                <w:sz w:val="15"/>
                <w:szCs w:val="15"/>
              </w:rPr>
              <w:t xml:space="preserve">Wirkungsrichtung je Akteur</w:t>
            </w:r>
          </w:p>
        </w:tc>
      </w:tr>
      <w:tr>
        <w:trPr>
          <w:cantSplit/>
        </w:trPr>
        <w:tc>
          <w:tcPr>
            <w:tcW w:type="dxa" w:w="2000"/>
            <w:vAlign w:val="center"/>
          </w:tcPr>
          <w:p>
            <w:pPr>
              <w:spacing w:after="30" w:before="30" w:line="230"/>
              <w:jc w:val="left"/>
            </w:pPr>
            <w:r>
              <w:rPr>
                <w:b/>
                <w:bCs/>
                <w:sz w:val="15"/>
                <w:szCs w:val="15"/>
              </w:rPr>
              <w:t xml:space="preserve">Volleinspeisung → Überschuss</w:t>
            </w:r>
            <w:r>
              <w:rPr>
                <w:sz w:val="15"/>
                <w:szCs w:val="15"/>
              </w:rPr>
              <w:t xml:space="preserve"> (PV-Netz-Einspeisung 1 → PV-Überschuss-Einspeisung 1)</w:t>
            </w:r>
          </w:p>
        </w:tc>
        <w:tc>
          <w:tcPr>
            <w:tcW w:type="dxa" w:w="1900"/>
            <w:vAlign w:val="center"/>
          </w:tcPr>
          <w:p>
            <w:pPr>
              <w:spacing w:after="30" w:before="30" w:line="230"/>
              <w:jc w:val="left"/>
            </w:pPr>
            <w:r>
              <w:rPr>
                <w:b/>
                <w:bCs/>
                <w:sz w:val="15"/>
                <w:szCs w:val="15"/>
              </w:rPr>
              <w:t xml:space="preserve">E6</w:t>
            </w:r>
            <w:r>
              <w:rPr>
                <w:sz w:val="15"/>
                <w:szCs w:val="15"/>
              </w:rPr>
              <w:t xml:space="preserve"> (vermiedener Netzbezug), A3 (Reststrombezug)</w:t>
            </w:r>
          </w:p>
        </w:tc>
        <w:tc>
          <w:tcPr>
            <w:tcW w:type="dxa" w:w="1900"/>
            <w:vAlign w:val="center"/>
          </w:tcPr>
          <w:p>
            <w:pPr>
              <w:spacing w:after="30" w:before="30" w:line="230"/>
              <w:jc w:val="left"/>
            </w:pPr>
            <w:r>
              <w:rPr>
                <w:sz w:val="15"/>
                <w:szCs w:val="15"/>
              </w:rPr>
              <w:t xml:space="preserve">E1 schrumpft: Satz 11,60 → 7,47 ct/kWh </w:t>
            </w:r>
            <w:r>
              <w:rPr>
                <w:b/>
                <w:bCs/>
                <w:sz w:val="15"/>
                <w:szCs w:val="15"/>
              </w:rPr>
              <w:t xml:space="preserve">und</w:t>
            </w:r>
            <w:r>
              <w:rPr>
                <w:sz w:val="15"/>
                <w:szCs w:val="15"/>
              </w:rPr>
              <w:t xml:space="preserve"> Menge 32.340 → 5.378 kWh</w:t>
            </w:r>
          </w:p>
        </w:tc>
        <w:tc>
          <w:tcPr>
            <w:tcW w:type="dxa" w:w="3838"/>
            <w:vAlign w:val="center"/>
          </w:tcPr>
          <w:p>
            <w:pPr>
              <w:spacing w:after="30" w:before="30" w:line="230"/>
              <w:jc w:val="left"/>
            </w:pPr>
            <w:r>
              <w:rPr>
                <w:rFonts w:ascii="Consolas" w:cs="Consolas" w:eastAsia="Consolas" w:hAnsi="Consolas"/>
                <w:b/>
                <w:bCs/>
                <w:sz w:val="15"/>
                <w:szCs w:val="15"/>
              </w:rPr>
              <w:t xml:space="preserve">I=B=G=V_G</w:t>
            </w:r>
            <w:r>
              <w:rPr>
                <w:sz w:val="15"/>
                <w:szCs w:val="15"/>
              </w:rPr>
              <w:t xml:space="preserve">: </w:t>
            </w:r>
            <w:r>
              <w:rPr>
                <w:b/>
                <w:bCs/>
                <w:sz w:val="15"/>
                <w:szCs w:val="15"/>
              </w:rPr>
              <w:t xml:space="preserve">der größte Hebel des gesamten Katalogs.</w:t>
            </w:r>
            <w:r>
              <w:rPr>
                <w:sz w:val="15"/>
                <w:szCs w:val="15"/>
              </w:rPr>
              <w:t xml:space="preserve"> Im Fallbeispiel gerechnet: Kapitalwert − 22.979 € → + 92.568 €, IRR − 2,10 % → 15,99 %, aus „keine Amortisation“ werden 8 Jahre (C4)</w:t>
            </w:r>
          </w:p>
        </w:tc>
      </w:tr>
      <w:tr>
        <w:trPr>
          <w:cantSplit/>
        </w:trPr>
        <w:tc>
          <w:tcPr>
            <w:tcW w:type="dxa" w:w="2000"/>
            <w:shd w:fill="F2F5FA" w:color="auto" w:val="clear"/>
            <w:vAlign w:val="center"/>
          </w:tcPr>
          <w:p>
            <w:pPr>
              <w:spacing w:after="30" w:before="30" w:line="230"/>
              <w:jc w:val="left"/>
            </w:pPr>
            <w:r>
              <w:rPr>
                <w:b/>
                <w:bCs/>
                <w:sz w:val="15"/>
                <w:szCs w:val="15"/>
              </w:rPr>
              <w:t xml:space="preserve">Überschuss → Stromlieferung</w:t>
            </w:r>
            <w:r>
              <w:rPr>
                <w:sz w:val="15"/>
                <w:szCs w:val="15"/>
              </w:rPr>
              <w:t xml:space="preserve"> (→ PV-Stromlieferung 1, </w:t>
            </w:r>
            <w:r>
              <w:rPr>
                <w:rFonts w:ascii="Consolas" w:cs="Consolas" w:eastAsia="Consolas" w:hAnsi="Consolas"/>
                <w:b/>
                <w:bCs/>
                <w:sz w:val="15"/>
                <w:szCs w:val="15"/>
              </w:rPr>
              <w:t xml:space="preserve">I = B = G</w:t>
            </w:r>
            <w:r>
              <w:rPr>
                <w:sz w:val="15"/>
                <w:szCs w:val="15"/>
              </w:rPr>
              <w:t xml:space="preserve"> | </w:t>
            </w:r>
            <w:r>
              <w:rPr>
                <w:rFonts w:ascii="Consolas" w:cs="Consolas" w:eastAsia="Consolas" w:hAnsi="Consolas"/>
                <w:b/>
                <w:bCs/>
                <w:sz w:val="15"/>
                <w:szCs w:val="15"/>
              </w:rPr>
              <w:t xml:space="preserve">V_M</w:t>
            </w:r>
            <w:r>
              <w:rPr>
                <w:sz w:val="15"/>
                <w:szCs w:val="15"/>
              </w:rPr>
              <w:t xml:space="preserve">)</w:t>
            </w:r>
          </w:p>
        </w:tc>
        <w:tc>
          <w:tcPr>
            <w:tcW w:type="dxa" w:w="1900"/>
            <w:shd w:fill="F2F5FA" w:color="auto" w:val="clear"/>
            <w:vAlign w:val="center"/>
          </w:tcPr>
          <w:p>
            <w:pPr>
              <w:spacing w:after="30" w:before="30" w:line="230"/>
              <w:jc w:val="left"/>
            </w:pPr>
            <w:r>
              <w:rPr>
                <w:b/>
                <w:bCs/>
                <w:sz w:val="15"/>
                <w:szCs w:val="15"/>
              </w:rPr>
              <w:t xml:space="preserve">E5</w:t>
            </w:r>
            <w:r>
              <w:rPr>
                <w:sz w:val="15"/>
                <w:szCs w:val="15"/>
              </w:rPr>
              <w:t xml:space="preserve"> (Lieferentgelt), optional </w:t>
            </w:r>
            <w:r>
              <w:rPr>
                <w:b/>
                <w:bCs/>
                <w:sz w:val="15"/>
                <w:szCs w:val="15"/>
              </w:rPr>
              <w:t xml:space="preserve">E4</w:t>
            </w:r>
            <w:r>
              <w:rPr>
                <w:sz w:val="15"/>
                <w:szCs w:val="15"/>
              </w:rPr>
              <w:t xml:space="preserve"> (Mieterstromzuschlag); A2 steigt um Mess- und Abrechnungsaufwand</w:t>
            </w:r>
          </w:p>
        </w:tc>
        <w:tc>
          <w:tcPr>
            <w:tcW w:type="dxa" w:w="1900"/>
            <w:shd w:fill="F2F5FA" w:color="auto" w:val="clear"/>
            <w:vAlign w:val="center"/>
          </w:tcPr>
          <w:p>
            <w:pPr>
              <w:spacing w:after="30" w:before="30" w:line="230"/>
              <w:jc w:val="left"/>
            </w:pPr>
            <w:r>
              <w:rPr>
                <w:b/>
                <w:bCs/>
                <w:sz w:val="15"/>
                <w:szCs w:val="15"/>
              </w:rPr>
              <w:t xml:space="preserve">E6</w:t>
            </w:r>
            <w:r>
              <w:rPr>
                <w:sz w:val="15"/>
                <w:szCs w:val="15"/>
              </w:rPr>
              <w:t xml:space="preserve"> entfällt beim Betreiber – er verbraucht nicht mehr selbst</w:t>
            </w:r>
          </w:p>
        </w:tc>
        <w:tc>
          <w:tcPr>
            <w:tcW w:type="dxa" w:w="3838"/>
            <w:shd w:fill="F2F5FA" w:color="auto" w:val="clear"/>
            <w:vAlign w:val="center"/>
          </w:tcPr>
          <w:p>
            <w:pPr>
              <w:spacing w:after="30" w:before="30" w:line="230"/>
              <w:jc w:val="left"/>
            </w:pPr>
            <w:r>
              <w:rPr>
                <w:rFonts w:ascii="Consolas" w:cs="Consolas" w:eastAsia="Consolas" w:hAnsi="Consolas"/>
                <w:b/>
                <w:bCs/>
                <w:sz w:val="15"/>
                <w:szCs w:val="15"/>
              </w:rPr>
              <w:t xml:space="preserve">I=B=G</w:t>
            </w:r>
            <w:r>
              <w:rPr>
                <w:sz w:val="15"/>
                <w:szCs w:val="15"/>
              </w:rPr>
              <w:t xml:space="preserve">: E5 liegt in aller Regel </w:t>
            </w:r>
            <w:r>
              <w:rPr>
                <w:b/>
                <w:bCs/>
                <w:sz w:val="15"/>
                <w:szCs w:val="15"/>
              </w:rPr>
              <w:t xml:space="preserve">unter</w:t>
            </w:r>
            <w:r>
              <w:rPr>
                <w:sz w:val="15"/>
                <w:szCs w:val="15"/>
              </w:rPr>
              <w:t xml:space="preserve"> dem vollen Netzstrompreis, den E6 wert war → Kennzahlen sinken gegenüber dem Eigenverbrauchsfall, bleiben aber deutlich über der Volleinspeisung. </w:t>
            </w:r>
            <w:r>
              <w:rPr>
                <w:rFonts w:ascii="Consolas" w:cs="Consolas" w:eastAsia="Consolas" w:hAnsi="Consolas"/>
                <w:b/>
                <w:bCs/>
                <w:sz w:val="15"/>
                <w:szCs w:val="15"/>
              </w:rPr>
              <w:t xml:space="preserve">V_M</w:t>
            </w:r>
            <w:r>
              <w:rPr>
                <w:sz w:val="15"/>
                <w:szCs w:val="15"/>
              </w:rPr>
              <w:t xml:space="preserve">: erstmals eigene Kennzahlen – sein Vorteil entsteht aus der Differenz zwischen Lieferpreis und Netzstrompreis. </w:t>
            </w:r>
            <w:r>
              <w:rPr>
                <w:b/>
                <w:bCs/>
                <w:sz w:val="15"/>
                <w:szCs w:val="15"/>
              </w:rPr>
              <w:t xml:space="preserve">Zusätzlich: Versorgerpflichten, Umsatzsteuer auf die Lieferung, bei § 42a EnWG Vollversorgungsgebot und 90-%-Deckel</w:t>
            </w:r>
          </w:p>
        </w:tc>
      </w:tr>
      <w:tr>
        <w:trPr>
          <w:cantSplit/>
        </w:trPr>
        <w:tc>
          <w:tcPr>
            <w:tcW w:type="dxa" w:w="2000"/>
            <w:vAlign w:val="center"/>
          </w:tcPr>
          <w:p>
            <w:pPr>
              <w:spacing w:after="30" w:before="30" w:line="230"/>
              <w:jc w:val="left"/>
            </w:pPr>
            <w:r>
              <w:rPr>
                <w:b/>
                <w:bCs/>
                <w:sz w:val="15"/>
                <w:szCs w:val="15"/>
              </w:rPr>
              <w:t xml:space="preserve">Überschuss → PV-Miete</w:t>
            </w:r>
            <w:r>
              <w:rPr>
                <w:sz w:val="15"/>
                <w:szCs w:val="15"/>
              </w:rPr>
              <w:t xml:space="preserve"> (→ PV-Mieten 1, </w:t>
            </w:r>
            <w:r>
              <w:rPr>
                <w:rFonts w:ascii="Consolas" w:cs="Consolas" w:eastAsia="Consolas" w:hAnsi="Consolas"/>
                <w:b/>
                <w:bCs/>
                <w:sz w:val="15"/>
                <w:szCs w:val="15"/>
              </w:rPr>
              <w:t xml:space="preserve">I</w:t>
            </w:r>
            <w:r>
              <w:rPr>
                <w:sz w:val="15"/>
                <w:szCs w:val="15"/>
              </w:rPr>
              <w:t xml:space="preserve"> | </w:t>
            </w:r>
            <w:r>
              <w:rPr>
                <w:rFonts w:ascii="Consolas" w:cs="Consolas" w:eastAsia="Consolas" w:hAnsi="Consolas"/>
                <w:b/>
                <w:bCs/>
                <w:sz w:val="15"/>
                <w:szCs w:val="15"/>
              </w:rPr>
              <w:t xml:space="preserve">B = G = V_G</w:t>
            </w:r>
            <w:r>
              <w:rPr>
                <w:sz w:val="15"/>
                <w:szCs w:val="15"/>
              </w:rPr>
              <w:t xml:space="preserve">)</w:t>
            </w:r>
          </w:p>
        </w:tc>
        <w:tc>
          <w:tcPr>
            <w:tcW w:type="dxa" w:w="1900"/>
            <w:vAlign w:val="center"/>
          </w:tcPr>
          <w:p>
            <w:pPr>
              <w:spacing w:after="30" w:before="30" w:line="230"/>
              <w:jc w:val="left"/>
            </w:pPr>
            <w:r>
              <w:rPr>
                <w:b/>
                <w:bCs/>
                <w:sz w:val="15"/>
                <w:szCs w:val="15"/>
              </w:rPr>
              <w:t xml:space="preserve">E7</w:t>
            </w:r>
            <w:r>
              <w:rPr>
                <w:sz w:val="15"/>
                <w:szCs w:val="15"/>
              </w:rPr>
              <w:t xml:space="preserve"> (Anlagenmiete) – beim </w:t>
            </w:r>
            <w:r>
              <w:rPr>
                <w:rFonts w:ascii="Consolas" w:cs="Consolas" w:eastAsia="Consolas" w:hAnsi="Consolas"/>
                <w:b/>
                <w:bCs/>
                <w:sz w:val="15"/>
                <w:szCs w:val="15"/>
              </w:rPr>
              <w:t xml:space="preserve">I</w:t>
            </w:r>
            <w:r>
              <w:rPr>
                <w:sz w:val="15"/>
                <w:szCs w:val="15"/>
              </w:rPr>
              <w:t xml:space="preserve"> als Einnahme, beim </w:t>
            </w:r>
            <w:r>
              <w:rPr>
                <w:rFonts w:ascii="Consolas" w:cs="Consolas" w:eastAsia="Consolas" w:hAnsi="Consolas"/>
                <w:b/>
                <w:bCs/>
                <w:sz w:val="15"/>
                <w:szCs w:val="15"/>
              </w:rPr>
              <w:t xml:space="preserve">B</w:t>
            </w:r>
            <w:r>
              <w:rPr>
                <w:sz w:val="15"/>
                <w:szCs w:val="15"/>
              </w:rPr>
              <w:t xml:space="preserve"> als Ausgabe</w:t>
            </w:r>
          </w:p>
        </w:tc>
        <w:tc>
          <w:tcPr>
            <w:tcW w:type="dxa" w:w="1900"/>
            <w:vAlign w:val="center"/>
          </w:tcPr>
          <w:p>
            <w:pPr>
              <w:spacing w:after="30" w:before="30" w:line="230"/>
              <w:jc w:val="left"/>
            </w:pPr>
            <w:r>
              <w:rPr>
                <w:sz w:val="15"/>
                <w:szCs w:val="15"/>
              </w:rPr>
              <w:t xml:space="preserve">beim </w:t>
            </w:r>
            <w:r>
              <w:rPr>
                <w:rFonts w:ascii="Consolas" w:cs="Consolas" w:eastAsia="Consolas" w:hAnsi="Consolas"/>
                <w:b/>
                <w:bCs/>
                <w:sz w:val="15"/>
                <w:szCs w:val="15"/>
              </w:rPr>
              <w:t xml:space="preserve">I</w:t>
            </w:r>
            <w:r>
              <w:rPr>
                <w:sz w:val="15"/>
                <w:szCs w:val="15"/>
              </w:rPr>
              <w:t xml:space="preserve"> entfallen E1 und E6 vollständig</w:t>
            </w:r>
          </w:p>
        </w:tc>
        <w:tc>
          <w:tcPr>
            <w:tcW w:type="dxa" w:w="3838"/>
            <w:vAlign w:val="center"/>
          </w:tcPr>
          <w:p>
            <w:pPr>
              <w:spacing w:after="30" w:before="30" w:line="230"/>
              <w:jc w:val="left"/>
            </w:pPr>
            <w:r>
              <w:rPr>
                <w:sz w:val="15"/>
                <w:szCs w:val="15"/>
              </w:rPr>
              <w:t xml:space="preserve">Aufspaltung eines Kennzahlensatzes in </w:t>
            </w:r>
            <w:r>
              <w:rPr>
                <w:b/>
                <w:bCs/>
                <w:sz w:val="15"/>
                <w:szCs w:val="15"/>
              </w:rPr>
              <w:t xml:space="preserve">zwei</w:t>
            </w:r>
            <w:r>
              <w:rPr>
                <w:sz w:val="15"/>
                <w:szCs w:val="15"/>
              </w:rPr>
              <w:t xml:space="preserve">. </w:t>
            </w:r>
            <w:r>
              <w:rPr>
                <w:rFonts w:ascii="Consolas" w:cs="Consolas" w:eastAsia="Consolas" w:hAnsi="Consolas"/>
                <w:b/>
                <w:bCs/>
                <w:sz w:val="15"/>
                <w:szCs w:val="15"/>
              </w:rPr>
              <w:t xml:space="preserve">I</w:t>
            </w:r>
            <w:r>
              <w:rPr>
                <w:sz w:val="15"/>
                <w:szCs w:val="15"/>
              </w:rPr>
              <w:t xml:space="preserve">: Kennzahlen hängen allein an der Miete – planbar, aber gedeckelt. </w:t>
            </w:r>
            <w:r>
              <w:rPr>
                <w:rFonts w:ascii="Consolas" w:cs="Consolas" w:eastAsia="Consolas" w:hAnsi="Consolas"/>
                <w:b/>
                <w:bCs/>
                <w:sz w:val="15"/>
                <w:szCs w:val="15"/>
              </w:rPr>
              <w:t xml:space="preserve">B=G=V_G</w:t>
            </w:r>
            <w:r>
              <w:rPr>
                <w:sz w:val="15"/>
                <w:szCs w:val="15"/>
              </w:rPr>
              <w:t xml:space="preserve">: behält E1 und E6, zahlt E7; sein Vorteil ist der Gesamtvorteil abzüglich der Miete. </w:t>
            </w:r>
            <w:r>
              <w:rPr>
                <w:b/>
                <w:bCs/>
                <w:sz w:val="15"/>
                <w:szCs w:val="15"/>
              </w:rPr>
              <w:t xml:space="preserve">Die Summe beider Vorteile bleibt näherungsweise konstant – die Miete verteilt sie nur.</w:t>
            </w:r>
            <w:r>
              <w:rPr>
                <w:sz w:val="15"/>
                <w:szCs w:val="15"/>
              </w:rPr>
              <w:t xml:space="preserve"> Kernvorteil: Der Verbrauch bleibt Eigenverbrauch, keine Versorgerpflichten (M3)</w:t>
            </w:r>
          </w:p>
        </w:tc>
      </w:tr>
      <w:tr>
        <w:trPr>
          <w:cantSplit/>
        </w:trPr>
        <w:tc>
          <w:tcPr>
            <w:tcW w:type="dxa" w:w="2000"/>
            <w:shd w:fill="F2F5FA" w:color="auto" w:val="clear"/>
            <w:vAlign w:val="center"/>
          </w:tcPr>
          <w:p>
            <w:pPr>
              <w:spacing w:after="30" w:before="30" w:line="230"/>
              <w:jc w:val="left"/>
            </w:pPr>
            <w:r>
              <w:rPr>
                <w:b/>
                <w:bCs/>
                <w:sz w:val="15"/>
                <w:szCs w:val="15"/>
              </w:rPr>
              <w:t xml:space="preserve">Überschuss → PV-Teilmiete</w:t>
            </w:r>
            <w:r>
              <w:rPr>
                <w:sz w:val="15"/>
                <w:szCs w:val="15"/>
              </w:rPr>
              <w:t xml:space="preserve"> (→ PV-Teil-Mieten 1, </w:t>
            </w:r>
            <w:r>
              <w:rPr>
                <w:rFonts w:ascii="Consolas" w:cs="Consolas" w:eastAsia="Consolas" w:hAnsi="Consolas"/>
                <w:b/>
                <w:bCs/>
                <w:sz w:val="15"/>
                <w:szCs w:val="15"/>
              </w:rPr>
              <w:t xml:space="preserve">I = B_Haupt</w:t>
            </w:r>
            <w:r>
              <w:rPr>
                <w:sz w:val="15"/>
                <w:szCs w:val="15"/>
              </w:rPr>
              <w:t xml:space="preserve"> | </w:t>
            </w:r>
            <w:r>
              <w:rPr>
                <w:rFonts w:ascii="Consolas" w:cs="Consolas" w:eastAsia="Consolas" w:hAnsi="Consolas"/>
                <w:b/>
                <w:bCs/>
                <w:sz w:val="15"/>
                <w:szCs w:val="15"/>
              </w:rPr>
              <w:t xml:space="preserve">G = V_G = B_Mit</w:t>
            </w:r>
            <w:r>
              <w:rPr>
                <w:sz w:val="15"/>
                <w:szCs w:val="15"/>
              </w:rPr>
              <w:t xml:space="preserve">)</w:t>
            </w:r>
          </w:p>
        </w:tc>
        <w:tc>
          <w:tcPr>
            <w:tcW w:type="dxa" w:w="1900"/>
            <w:shd w:fill="F2F5FA" w:color="auto" w:val="clear"/>
            <w:vAlign w:val="center"/>
          </w:tcPr>
          <w:p>
            <w:pPr>
              <w:spacing w:after="30" w:before="30" w:line="230"/>
              <w:jc w:val="left"/>
            </w:pPr>
            <w:r>
              <w:rPr>
                <w:b/>
                <w:bCs/>
                <w:sz w:val="15"/>
                <w:szCs w:val="15"/>
              </w:rPr>
              <w:t xml:space="preserve">E7</w:t>
            </w:r>
            <w:r>
              <w:rPr>
                <w:sz w:val="15"/>
                <w:szCs w:val="15"/>
              </w:rPr>
              <w:t xml:space="preserve"> als Teilmiete beim </w:t>
            </w:r>
            <w:r>
              <w:rPr>
                <w:rFonts w:ascii="Consolas" w:cs="Consolas" w:eastAsia="Consolas" w:hAnsi="Consolas"/>
                <w:b/>
                <w:bCs/>
                <w:sz w:val="15"/>
                <w:szCs w:val="15"/>
              </w:rPr>
              <w:t xml:space="preserve">B_Haupt</w:t>
            </w:r>
            <w:r>
              <w:rPr>
                <w:sz w:val="15"/>
                <w:szCs w:val="15"/>
              </w:rPr>
              <w:t xml:space="preserve">; </w:t>
            </w:r>
            <w:r>
              <w:rPr>
                <w:b/>
                <w:bCs/>
                <w:sz w:val="15"/>
                <w:szCs w:val="15"/>
              </w:rPr>
              <w:t xml:space="preserve">E6</w:t>
            </w:r>
            <w:r>
              <w:rPr>
                <w:sz w:val="15"/>
                <w:szCs w:val="15"/>
              </w:rPr>
              <w:t xml:space="preserve"> anteilig beim </w:t>
            </w:r>
            <w:r>
              <w:rPr>
                <w:rFonts w:ascii="Consolas" w:cs="Consolas" w:eastAsia="Consolas" w:hAnsi="Consolas"/>
                <w:b/>
                <w:bCs/>
                <w:sz w:val="15"/>
                <w:szCs w:val="15"/>
              </w:rPr>
              <w:t xml:space="preserve">B_Mit</w:t>
            </w:r>
          </w:p>
        </w:tc>
        <w:tc>
          <w:tcPr>
            <w:tcW w:type="dxa" w:w="1900"/>
            <w:shd w:fill="F2F5FA" w:color="auto" w:val="clear"/>
            <w:vAlign w:val="center"/>
          </w:tcPr>
          <w:p>
            <w:pPr>
              <w:spacing w:after="30" w:before="30" w:line="230"/>
              <w:jc w:val="left"/>
            </w:pPr>
            <w:r>
              <w:rPr>
                <w:sz w:val="15"/>
                <w:szCs w:val="15"/>
              </w:rPr>
              <w:t xml:space="preserve">E6 entfällt beim </w:t>
            </w:r>
            <w:r>
              <w:rPr>
                <w:rFonts w:ascii="Consolas" w:cs="Consolas" w:eastAsia="Consolas" w:hAnsi="Consolas"/>
                <w:b/>
                <w:bCs/>
                <w:sz w:val="15"/>
                <w:szCs w:val="15"/>
              </w:rPr>
              <w:t xml:space="preserve">B_Haupt</w:t>
            </w:r>
            <w:r>
              <w:rPr>
                <w:sz w:val="15"/>
                <w:szCs w:val="15"/>
              </w:rPr>
              <w:t xml:space="preserve"> in Höhe des vermieteten Anteils</w:t>
            </w:r>
          </w:p>
        </w:tc>
        <w:tc>
          <w:tcPr>
            <w:tcW w:type="dxa" w:w="3838"/>
            <w:shd w:fill="F2F5FA" w:color="auto" w:val="clear"/>
            <w:vAlign w:val="center"/>
          </w:tcPr>
          <w:p>
            <w:pPr>
              <w:spacing w:after="30" w:before="30" w:line="230"/>
              <w:jc w:val="left"/>
            </w:pPr>
            <w:r>
              <w:rPr>
                <w:sz w:val="15"/>
                <w:szCs w:val="15"/>
              </w:rPr>
              <w:t xml:space="preserve">Wie die PV-Miete, aber teilbar: Der Hauptbetreiber behält Einspeisung und Teilmietentgelt, der Mitbetreiber erhält anteiligen Eigenverbrauch. Voraussetzung ist ein tragfähiges Zählerkonzept (A3, M3)</w:t>
            </w:r>
          </w:p>
        </w:tc>
      </w:tr>
      <w:tr>
        <w:trPr>
          <w:cantSplit/>
        </w:trPr>
        <w:tc>
          <w:tcPr>
            <w:tcW w:type="dxa" w:w="2000"/>
            <w:vAlign w:val="center"/>
          </w:tcPr>
          <w:p>
            <w:pPr>
              <w:spacing w:after="30" w:before="30" w:line="230"/>
              <w:jc w:val="left"/>
            </w:pPr>
            <w:r>
              <w:rPr>
                <w:b/>
                <w:bCs/>
                <w:sz w:val="15"/>
                <w:szCs w:val="15"/>
              </w:rPr>
              <w:t xml:space="preserve">feste Vergütung → geförderte Direktvermarktung</w:t>
            </w:r>
            <w:r>
              <w:rPr>
                <w:sz w:val="15"/>
                <w:szCs w:val="15"/>
              </w:rPr>
              <w:t xml:space="preserve"> (Erlösmodell, kein Betreibermodellwechsel)</w:t>
            </w:r>
          </w:p>
        </w:tc>
        <w:tc>
          <w:tcPr>
            <w:tcW w:type="dxa" w:w="1900"/>
            <w:vAlign w:val="center"/>
          </w:tcPr>
          <w:p>
            <w:pPr>
              <w:spacing w:after="30" w:before="30" w:line="230"/>
              <w:jc w:val="left"/>
            </w:pPr>
            <w:r>
              <w:rPr>
                <w:b/>
                <w:bCs/>
                <w:sz w:val="15"/>
                <w:szCs w:val="15"/>
              </w:rPr>
              <w:t xml:space="preserve">E2</w:t>
            </w:r>
            <w:r>
              <w:rPr>
                <w:sz w:val="15"/>
                <w:szCs w:val="15"/>
              </w:rPr>
              <w:t xml:space="preserve"> statt E1; A2 steigt um die Vermarktungspauschale</w:t>
            </w:r>
          </w:p>
        </w:tc>
        <w:tc>
          <w:tcPr>
            <w:tcW w:type="dxa" w:w="1900"/>
            <w:vAlign w:val="center"/>
          </w:tcPr>
          <w:p>
            <w:pPr>
              <w:spacing w:after="30" w:before="30" w:line="230"/>
              <w:jc w:val="left"/>
            </w:pPr>
            <w:r>
              <w:rPr>
                <w:sz w:val="15"/>
                <w:szCs w:val="15"/>
              </w:rPr>
              <w:t xml:space="preserve">E1 entfällt; die 60-%-Kappung nach § 9 Abs. 2 entfällt ebenfalls</w:t>
            </w:r>
          </w:p>
        </w:tc>
        <w:tc>
          <w:tcPr>
            <w:tcW w:type="dxa" w:w="3838"/>
            <w:vAlign w:val="center"/>
          </w:tcPr>
          <w:p>
            <w:pPr>
              <w:spacing w:after="30" w:before="30" w:line="230"/>
              <w:jc w:val="left"/>
            </w:pPr>
            <w:r>
              <w:rPr>
                <w:sz w:val="15"/>
                <w:szCs w:val="15"/>
              </w:rPr>
              <w:t xml:space="preserve">Der anzulegende Wert liegt mit 7,87 ct/kWh um </w:t>
            </w:r>
            <w:r>
              <w:rPr>
                <w:b/>
                <w:bCs/>
                <w:sz w:val="15"/>
                <w:szCs w:val="15"/>
              </w:rPr>
              <w:t xml:space="preserve">genau</w:t>
            </w:r>
            <w:r>
              <w:rPr>
                <w:sz w:val="15"/>
                <w:szCs w:val="15"/>
              </w:rPr>
              <w:t xml:space="preserve"> die gesetzliche Vermarktungspauschale von 0,40 ct/kWh über der festen Teileinspeisevergütung von 7,47 ct/kWh (C3). Ob der Wechsel trägt, entscheidet deshalb allein, ob das </w:t>
            </w:r>
            <w:r>
              <w:rPr>
                <w:b/>
                <w:bCs/>
                <w:sz w:val="15"/>
                <w:szCs w:val="15"/>
              </w:rPr>
              <w:t xml:space="preserve">tatsächlich vereinbarte</w:t>
            </w:r>
            <w:r>
              <w:rPr>
                <w:sz w:val="15"/>
                <w:szCs w:val="15"/>
              </w:rPr>
              <w:t xml:space="preserve"> Vermarktungsentgelt darunter bleibt – die 0,40 ct sind in der festen Vergütung bereits abgezogen, in der Direktvermarktung dagegen frei zu verhandeln (M4). Ab 100 kWp ohnehin Pflicht</w:t>
            </w:r>
          </w:p>
        </w:tc>
      </w:tr>
    </w:tbl>
    <w:p>
      <w:pPr>
        <w:spacing w:after="100"/>
      </w:pPr>
      <w:r>
        <w:rPr>
          <w:sz w:val="8"/>
          <w:szCs w:val="8"/>
        </w:rPr>
        <w:t xml:space="preserve"/>
      </w:r>
    </w:p>
    <w:p>
      <w:r>
        <w:rPr>
          <w:b/>
          <w:bCs/>
        </w:rPr>
        <w:t xml:space="preserve">Wirkung der heutigen Sätze auf dieselbe Rechnung.</w:t>
      </w:r>
      <w:r>
        <w:t xml:space="preserve"> Das Fallbeispiel rechnet mit dem EEG 2023 (Inbetriebnahme 3/2023). Für eine Inbetriebnahme im </w:t>
      </w:r>
      <w:r>
        <w:rPr>
          <w:b/>
          <w:bCs/>
        </w:rPr>
        <w:t xml:space="preserve">August 2026</w:t>
      </w:r>
      <w:r>
        <w:t xml:space="preserve"> gelten für 30 kWp die Mischsätze nach § 23c EEG: feste Einspeisevergütung </w:t>
      </w:r>
      <w:r>
        <w:rPr>
          <w:b/>
          <w:bCs/>
        </w:rPr>
        <w:t xml:space="preserve">7,01 ct/kWh</w:t>
      </w:r>
      <w:r>
        <w:t xml:space="preserve"> (Teileinspeisung) und </w:t>
      </w:r>
      <w:r>
        <w:rPr>
          <w:b/>
          <w:bCs/>
        </w:rPr>
        <w:t xml:space="preserve">10,90 ct/kWh</w:t>
      </w:r>
      <w:r>
        <w:t xml:space="preserve"> (Volleinspeisung), in der geförderten Direktvermarktung anzulegende Werte von </w:t>
      </w:r>
      <w:r>
        <w:rPr>
          <w:b/>
          <w:bCs/>
        </w:rPr>
        <w:t xml:space="preserve">7,41</w:t>
      </w:r>
      <w:r>
        <w:t xml:space="preserve"> bzw. </w:t>
      </w:r>
      <w:r>
        <w:rPr>
          <w:b/>
          <w:bCs/>
        </w:rPr>
        <w:t xml:space="preserve">11,30 ct/kWh</w:t>
      </w:r>
      <w:r>
        <w:t xml:space="preserve"> (Rechenweg in C1 und B2) [1][2]. Setzt man allein diese Sätze in dieselbe Rechnung ein, verändert sich der Plan „Überschuss“ kaum – sein Kapitalwert sinkt um rund 360 € auf 92.210 €, weil E1 dort nur 3 % des Ergebnisses trägt –, während der Plan „Volleinspeisung“ von − 22.930 € auf </w:t>
      </w:r>
      <w:r>
        <w:rPr>
          <w:b/>
          <w:bCs/>
        </w:rPr>
        <w:t xml:space="preserve">− 26.238 €</w:t>
      </w:r>
      <w:r>
        <w:t xml:space="preserve"> fällt: </w:t>
      </w:r>
      <w:r>
        <w:rPr>
          <w:b/>
          <w:bCs/>
        </w:rPr>
        <w:t xml:space="preserve">Die Deckungslücke zwischen Volleinspeisevergütung und Stromgestehungskosten (KZS = 0) weitet sich von 1,64 auf 2,34 ct/kWh</w:t>
      </w:r>
      <w:r>
        <w:t xml:space="preserve"> [36]. </w:t>
      </w:r>
      <w:r>
        <w:rPr>
          <w:b/>
          <w:bCs/>
        </w:rPr>
        <w:t xml:space="preserve">Die Aussage des Beispiels verschärft sich also unter heutigem Recht</w:t>
      </w:r>
      <w:r>
        <w:t xml:space="preserve">, und zwar asymmetrisch: Modelle, die auf E6 aufbauen, sind gegen sinkende Vergütungssätze weitgehend immun, Modelle, die allein auf E1 stehen, nicht. Dieselbe Asymmetrie gilt gegenüber dem Regierungsentwurf zur EEG-Novelle 2027 (Kabinett 29.07.2026, kein geltendes Recht) mit Wegfall der festen Einspeisevergütung, Direktvermarktungspflicht und dauerhafter 50-%-Einspeisekappung für Dachanlagen [15][16][17] – und sie ist der wirtschaftliche Grund dafür, dass der Bestandsschutz nach § 25 EEG bei Inbetriebnahme bis 31.12.2026 derzeit der stärkste Terminhebel in der Beratung ist (M4, B3).</w:t>
      </w:r>
    </w:p>
    <w:p>
      <w:pPr>
        <w:pStyle w:val="Heading1"/>
      </w:pPr>
      <w:bookmarkStart w:id="900036" w:name="_Toc90000036"/>
      <w:r>
        <w:t xml:space="preserve">C  Fallbeispiel aus pv@now: Projekt „INEKON Schulung 01“</w:t>
      </w:r>
      <w:bookmarkEnd w:id="900036"/>
    </w:p>
    <w:p>
      <w:pPr>
        <w:pStyle w:val="Heading2"/>
      </w:pPr>
      <w:bookmarkStart w:id="900037" w:name="_Toc90000037"/>
      <w:r>
        <w:t xml:space="preserve">C1  Anlagensteckbrief</w:t>
      </w:r>
      <w:bookmarkEnd w:id="900037"/>
    </w:p>
    <w:p>
      <w:r>
        <w:t xml:space="preserve">Dieser Teil rechnet die Methodik aus Teil M für </w:t>
      </w:r>
      <w:r>
        <w:rPr>
          <w:b/>
          <w:bCs/>
        </w:rPr>
        <w:t xml:space="preserve">zwei der 25 Betreibermodelle</w:t>
      </w:r>
      <w:r>
        <w:t xml:space="preserve"> vollständig durch: PV-Überschuss-Einspeisung 1 (</w:t>
      </w:r>
      <w:r>
        <w:rPr>
          <w:rFonts w:ascii="Consolas" w:cs="Consolas" w:eastAsia="Consolas" w:hAnsi="Consolas"/>
          <w:b/>
          <w:bCs/>
        </w:rPr>
        <w:t xml:space="preserve">I = B = G = V_G</w:t>
      </w:r>
      <w:r>
        <w:t xml:space="preserve">) und PV-Netz-Einspeisung 1 (</w:t>
      </w:r>
      <w:r>
        <w:rPr>
          <w:rFonts w:ascii="Consolas" w:cs="Consolas" w:eastAsia="Consolas" w:hAnsi="Consolas"/>
          <w:b/>
          <w:bCs/>
        </w:rPr>
        <w:t xml:space="preserve">I = B = G</w:t>
      </w:r>
      <w:r>
        <w:t xml:space="preserve">). Beide Modelle liegen in der Matrix M2 unmittelbar nebeneinander und unterscheiden sich dort nur in einer Zeile – der Stromverwertung. Der Vergleich zeigt, wie stark sich diese eine Zeile im Ergebnis auswirkt. Die sechs Rechenschritte aus M1 sind in C1 (Schritt 1), C2 (Schritte 2 und 4), C3 (Schritt 3) und C4 (Schritte 5 und 6) wiederzufinden. </w:t>
      </w:r>
      <w:r>
        <w:rPr>
          <w:b/>
          <w:bCs/>
        </w:rPr>
        <w:t xml:space="preserve">Die Herleitung der Kennzahlen selbst – Zahlungsreihe, Formeln, Jahrestabelle und der Abgleich jedes Tool-Werts mit einer eigenen Nachrechnung – steht in K3.</w:t>
      </w:r>
    </w:p>
    <w:p>
      <w:r>
        <w:t xml:space="preserve">Alle Werte dieses Teils stammen aus dem Projekt </w:t>
      </w:r>
      <w:r>
        <w:rPr>
          <w:b/>
          <w:bCs/>
        </w:rPr>
        <w:t xml:space="preserve">INEKON Schulung 01</w:t>
      </w:r>
      <w:r>
        <w:t xml:space="preserve"> im pv@now manager (App-Version 10.0.0), ausgelesen am 25.08.2026 [29]. Es handelt sich um ein </w:t>
      </w:r>
      <w:r>
        <w:rPr>
          <w:b/>
          <w:bCs/>
        </w:rPr>
        <w:t xml:space="preserve">Schulungsbeispiel mit Inbetriebnahme 3/2023</w:t>
      </w:r>
      <w:r>
        <w:t xml:space="preserve"> – die Vergütungssätze entsprechen deshalb dem EEG 2023 und nicht den heute geltenden Werten (siehe Didaktikhinweis in C4).</w:t>
      </w:r>
    </w:p>
    <w:p>
      <w:r>
        <w:rPr>
          <w:b/>
          <w:bCs/>
        </w:rPr>
        <w:t xml:space="preserve">Dieselbe Anlage bei Inbetriebnahme heute (08/2026).</w:t>
      </w:r>
      <w:r>
        <w:t xml:space="preserve"> Für 30,00 kWp auf einem Gebäude ergibt der Mischsatz nach § 23c EEG (eigene Rechnung aus den Werten in B2): feste Einspeisevergütung Teileinspeisung (10 × 7,70 + 20 × 6,66) / 30 = 210,20 / 30 = 7,0067 → </w:t>
      </w:r>
      <w:r>
        <w:rPr>
          <w:b/>
          <w:bCs/>
        </w:rPr>
        <w:t xml:space="preserve">7,01 ct/kWh</w:t>
      </w:r>
      <w:r>
        <w:t xml:space="preserve">, Volleinspeisung (10 × 12,22 + 20 × 10,24) / 30 = 327,00 / 30 = </w:t>
      </w:r>
      <w:r>
        <w:rPr>
          <w:b/>
          <w:bCs/>
        </w:rPr>
        <w:t xml:space="preserve">10,90 ct/kWh</w:t>
      </w:r>
      <w:r>
        <w:t xml:space="preserve">; in der geförderten Direktvermarktung anzulegender Wert Teileinspeisung (10 × 8,10 + 20 × 7,06) / 30 = 222,20 / 30 = 7,4067 → </w:t>
      </w:r>
      <w:r>
        <w:rPr>
          <w:b/>
          <w:bCs/>
        </w:rPr>
        <w:t xml:space="preserve">7,41 ct/kWh</w:t>
      </w:r>
      <w:r>
        <w:t xml:space="preserve"> und Volleinspeisung (10 × 12,62 + 20 × 10,64) / 30 = 339,00 / 30 = </w:t>
      </w:r>
      <w:r>
        <w:rPr>
          <w:b/>
          <w:bCs/>
        </w:rPr>
        <w:t xml:space="preserve">11,30 ct/kWh</w:t>
      </w:r>
      <w:r>
        <w:t xml:space="preserve"> [1][2]. Beide Einspeisesätze liegen damit </w:t>
      </w:r>
      <w:r>
        <w:rPr>
          <w:b/>
          <w:bCs/>
        </w:rPr>
        <w:t xml:space="preserve">unter</w:t>
      </w:r>
      <w:r>
        <w:t xml:space="preserve"> denen des Beispiels (7,47 bzw. 11,60 ct/kWh), während der Netzstrompreis nach der BDEW-Strompreisanalyse 08/2026 mit 37,0 ct/kWh für Haushalte über dem hier angesetzten Ausgangswert von 30,00 ct/kWh liegt [11]. </w:t>
      </w:r>
      <w:r>
        <w:rPr>
          <w:b/>
          <w:bCs/>
        </w:rPr>
        <w:t xml:space="preserve">Die qualitative Aussage des Beispiels – Eigenverbrauch schlägt Volleinspeisung – verstärkt sich dadurch</w:t>
      </w:r>
      <w:r>
        <w:t xml:space="preserve"> (siehe C4, Interpretation 4).</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3000"/>
        <w:gridCol w:w="6638"/>
      </w:tblGrid>
      <w:tr>
        <w:trPr>
          <w:tblHeader/>
        </w:trPr>
        <w:tc>
          <w:tcPr>
            <w:tcW w:type="dxa" w:w="3000"/>
            <w:shd w:fill="1F3864" w:color="auto" w:val="clear"/>
            <w:vAlign w:val="center"/>
          </w:tcPr>
          <w:p>
            <w:pPr>
              <w:spacing w:after="30" w:before="30" w:line="230"/>
              <w:jc w:val="left"/>
            </w:pPr>
            <w:r>
              <w:rPr>
                <w:b/>
                <w:bCs/>
                <w:color w:val="FFFFFF"/>
                <w:sz w:val="17"/>
                <w:szCs w:val="17"/>
              </w:rPr>
              <w:t xml:space="preserve">Merkmal</w:t>
            </w:r>
          </w:p>
        </w:tc>
        <w:tc>
          <w:tcPr>
            <w:tcW w:type="dxa" w:w="6638"/>
            <w:shd w:fill="1F3864" w:color="auto" w:val="clear"/>
            <w:vAlign w:val="center"/>
          </w:tcPr>
          <w:p>
            <w:pPr>
              <w:spacing w:after="30" w:before="30" w:line="230"/>
              <w:jc w:val="left"/>
            </w:pPr>
            <w:r>
              <w:rPr>
                <w:b/>
                <w:bCs/>
                <w:color w:val="FFFFFF"/>
                <w:sz w:val="17"/>
                <w:szCs w:val="17"/>
              </w:rPr>
              <w:t xml:space="preserve">Wert</w:t>
            </w:r>
          </w:p>
        </w:tc>
      </w:tr>
      <w:tr>
        <w:tc>
          <w:tcPr>
            <w:tcW w:type="dxa" w:w="3000"/>
            <w:vAlign w:val="center"/>
          </w:tcPr>
          <w:p>
            <w:pPr>
              <w:spacing w:after="30" w:before="30" w:line="230"/>
              <w:jc w:val="left"/>
            </w:pPr>
            <w:r>
              <w:rPr>
                <w:b/>
                <w:bCs/>
                <w:sz w:val="17"/>
                <w:szCs w:val="17"/>
              </w:rPr>
              <w:t xml:space="preserve">Anlagenart</w:t>
            </w:r>
          </w:p>
        </w:tc>
        <w:tc>
          <w:tcPr>
            <w:tcW w:type="dxa" w:w="6638"/>
            <w:vAlign w:val="center"/>
          </w:tcPr>
          <w:p>
            <w:pPr>
              <w:spacing w:after="30" w:before="30" w:line="230"/>
              <w:jc w:val="left"/>
            </w:pPr>
            <w:r>
              <w:rPr>
                <w:b w:val="false"/>
                <w:bCs w:val="false"/>
                <w:sz w:val="17"/>
                <w:szCs w:val="17"/>
              </w:rPr>
              <w:t xml:space="preserve">Anlage auf Gebäude</w:t>
            </w:r>
          </w:p>
        </w:tc>
      </w:tr>
      <w:tr>
        <w:tc>
          <w:tcPr>
            <w:tcW w:type="dxa" w:w="3000"/>
            <w:shd w:fill="F2F5FA" w:color="auto" w:val="clear"/>
            <w:vAlign w:val="center"/>
          </w:tcPr>
          <w:p>
            <w:pPr>
              <w:spacing w:after="30" w:before="30" w:line="230"/>
              <w:jc w:val="left"/>
            </w:pPr>
            <w:r>
              <w:rPr>
                <w:b/>
                <w:bCs/>
                <w:sz w:val="17"/>
                <w:szCs w:val="17"/>
              </w:rPr>
              <w:t xml:space="preserve">Nennleistung</w:t>
            </w:r>
          </w:p>
        </w:tc>
        <w:tc>
          <w:tcPr>
            <w:tcW w:type="dxa" w:w="6638"/>
            <w:shd w:fill="F2F5FA" w:color="auto" w:val="clear"/>
            <w:vAlign w:val="center"/>
          </w:tcPr>
          <w:p>
            <w:pPr>
              <w:spacing w:after="30" w:before="30" w:line="230"/>
              <w:jc w:val="left"/>
            </w:pPr>
            <w:r>
              <w:rPr>
                <w:b w:val="false"/>
                <w:bCs w:val="false"/>
                <w:sz w:val="17"/>
                <w:szCs w:val="17"/>
              </w:rPr>
              <w:t xml:space="preserve">30,00 kWp</w:t>
            </w:r>
          </w:p>
        </w:tc>
      </w:tr>
      <w:tr>
        <w:tc>
          <w:tcPr>
            <w:tcW w:type="dxa" w:w="3000"/>
            <w:vAlign w:val="center"/>
          </w:tcPr>
          <w:p>
            <w:pPr>
              <w:spacing w:after="30" w:before="30" w:line="230"/>
              <w:jc w:val="left"/>
            </w:pPr>
            <w:r>
              <w:rPr>
                <w:b/>
                <w:bCs/>
                <w:sz w:val="17"/>
                <w:szCs w:val="17"/>
              </w:rPr>
              <w:t xml:space="preserve">Inbetriebnahme</w:t>
            </w:r>
          </w:p>
        </w:tc>
        <w:tc>
          <w:tcPr>
            <w:tcW w:type="dxa" w:w="6638"/>
            <w:vAlign w:val="center"/>
          </w:tcPr>
          <w:p>
            <w:pPr>
              <w:spacing w:after="30" w:before="30" w:line="230"/>
              <w:jc w:val="left"/>
            </w:pPr>
            <w:r>
              <w:rPr>
                <w:b w:val="false"/>
                <w:bCs w:val="false"/>
                <w:sz w:val="17"/>
                <w:szCs w:val="17"/>
              </w:rPr>
              <w:t xml:space="preserve">01.03.2023 → Gültigkeitsbereich EEG 2023</w:t>
            </w:r>
          </w:p>
        </w:tc>
      </w:tr>
      <w:tr>
        <w:tc>
          <w:tcPr>
            <w:tcW w:type="dxa" w:w="3000"/>
            <w:shd w:fill="F2F5FA" w:color="auto" w:val="clear"/>
            <w:vAlign w:val="center"/>
          </w:tcPr>
          <w:p>
            <w:pPr>
              <w:spacing w:after="30" w:before="30" w:line="230"/>
              <w:jc w:val="left"/>
            </w:pPr>
            <w:r>
              <w:rPr>
                <w:b/>
                <w:bCs/>
                <w:sz w:val="17"/>
                <w:szCs w:val="17"/>
              </w:rPr>
              <w:t xml:space="preserve">Betrachtungszeitraum</w:t>
            </w:r>
          </w:p>
        </w:tc>
        <w:tc>
          <w:tcPr>
            <w:tcW w:type="dxa" w:w="6638"/>
            <w:shd w:fill="F2F5FA" w:color="auto" w:val="clear"/>
            <w:vAlign w:val="center"/>
          </w:tcPr>
          <w:p>
            <w:pPr>
              <w:spacing w:after="30" w:before="30" w:line="230"/>
              <w:jc w:val="left"/>
            </w:pPr>
            <w:r>
              <w:rPr>
                <w:b w:val="false"/>
                <w:bCs w:val="false"/>
                <w:sz w:val="17"/>
                <w:szCs w:val="17"/>
              </w:rPr>
              <w:t xml:space="preserve">3/2023–12/2043 (EEG-Vergütungszeitraum: 20 Jahre zzgl. Inbetriebnahmemonate)</w:t>
            </w:r>
          </w:p>
        </w:tc>
      </w:tr>
      <w:tr>
        <w:tc>
          <w:tcPr>
            <w:tcW w:type="dxa" w:w="3000"/>
            <w:vAlign w:val="center"/>
          </w:tcPr>
          <w:p>
            <w:pPr>
              <w:spacing w:after="30" w:before="30" w:line="230"/>
              <w:jc w:val="left"/>
            </w:pPr>
            <w:r>
              <w:rPr>
                <w:b/>
                <w:bCs/>
                <w:sz w:val="17"/>
                <w:szCs w:val="17"/>
              </w:rPr>
              <w:t xml:space="preserve">Standort (PVGIS-Hilfsrechner)</w:t>
            </w:r>
          </w:p>
        </w:tc>
        <w:tc>
          <w:tcPr>
            <w:tcW w:type="dxa" w:w="6638"/>
            <w:vAlign w:val="center"/>
          </w:tcPr>
          <w:p>
            <w:pPr>
              <w:spacing w:after="30" w:before="30" w:line="230"/>
              <w:jc w:val="left"/>
            </w:pPr>
            <w:r>
              <w:rPr>
                <w:b w:val="false"/>
                <w:bCs w:val="false"/>
                <w:sz w:val="17"/>
                <w:szCs w:val="17"/>
              </w:rPr>
              <w:t xml:space="preserve">Stuttgart, 48,72° N / 9,13° O</w:t>
            </w:r>
          </w:p>
        </w:tc>
      </w:tr>
      <w:tr>
        <w:tc>
          <w:tcPr>
            <w:tcW w:type="dxa" w:w="3000"/>
            <w:shd w:fill="F2F5FA" w:color="auto" w:val="clear"/>
            <w:vAlign w:val="center"/>
          </w:tcPr>
          <w:p>
            <w:pPr>
              <w:spacing w:after="30" w:before="30" w:line="230"/>
              <w:jc w:val="left"/>
            </w:pPr>
            <w:r>
              <w:rPr>
                <w:b/>
                <w:bCs/>
                <w:sz w:val="17"/>
                <w:szCs w:val="17"/>
              </w:rPr>
              <w:t xml:space="preserve">Modultechnik / Performance Ratio</w:t>
            </w:r>
          </w:p>
        </w:tc>
        <w:tc>
          <w:tcPr>
            <w:tcW w:type="dxa" w:w="6638"/>
            <w:shd w:fill="F2F5FA" w:color="auto" w:val="clear"/>
            <w:vAlign w:val="center"/>
          </w:tcPr>
          <w:p>
            <w:pPr>
              <w:spacing w:after="30" w:before="30" w:line="230"/>
              <w:jc w:val="left"/>
            </w:pPr>
            <w:r>
              <w:rPr>
                <w:b w:val="false"/>
                <w:bCs w:val="false"/>
                <w:sz w:val="17"/>
                <w:szCs w:val="17"/>
              </w:rPr>
              <w:t xml:space="preserve">kristallin, PR 86 %</w:t>
            </w:r>
          </w:p>
        </w:tc>
      </w:tr>
      <w:tr>
        <w:tc>
          <w:tcPr>
            <w:tcW w:type="dxa" w:w="3000"/>
            <w:vAlign w:val="center"/>
          </w:tcPr>
          <w:p>
            <w:pPr>
              <w:spacing w:after="30" w:before="30" w:line="230"/>
              <w:jc w:val="left"/>
            </w:pPr>
            <w:r>
              <w:rPr>
                <w:b/>
                <w:bCs/>
                <w:sz w:val="17"/>
                <w:szCs w:val="17"/>
              </w:rPr>
              <w:t xml:space="preserve">Aufständerung</w:t>
            </w:r>
          </w:p>
        </w:tc>
        <w:tc>
          <w:tcPr>
            <w:tcW w:type="dxa" w:w="6638"/>
            <w:vAlign w:val="center"/>
          </w:tcPr>
          <w:p>
            <w:pPr>
              <w:spacing w:after="30" w:before="30" w:line="230"/>
              <w:jc w:val="left"/>
            </w:pPr>
            <w:r>
              <w:rPr>
                <w:b w:val="false"/>
                <w:bCs w:val="false"/>
                <w:sz w:val="17"/>
                <w:szCs w:val="17"/>
              </w:rPr>
              <w:t xml:space="preserve">1 Generator, Aufdach, Ausrichtung 180° (Süd), Neigung 30°</w:t>
            </w:r>
          </w:p>
        </w:tc>
      </w:tr>
      <w:tr>
        <w:tc>
          <w:tcPr>
            <w:tcW w:type="dxa" w:w="3000"/>
            <w:shd w:fill="F2F5FA" w:color="auto" w:val="clear"/>
            <w:vAlign w:val="center"/>
          </w:tcPr>
          <w:p>
            <w:pPr>
              <w:spacing w:after="30" w:before="30" w:line="230"/>
              <w:jc w:val="left"/>
            </w:pPr>
            <w:r>
              <w:rPr>
                <w:b/>
                <w:bCs/>
                <w:sz w:val="17"/>
                <w:szCs w:val="17"/>
              </w:rPr>
              <w:t xml:space="preserve">Spezifischer Jahresertrag</w:t>
            </w:r>
          </w:p>
        </w:tc>
        <w:tc>
          <w:tcPr>
            <w:tcW w:type="dxa" w:w="6638"/>
            <w:shd w:fill="F2F5FA" w:color="auto" w:val="clear"/>
            <w:vAlign w:val="center"/>
          </w:tcPr>
          <w:p>
            <w:pPr>
              <w:spacing w:after="30" w:before="30" w:line="230"/>
              <w:jc w:val="left"/>
            </w:pPr>
            <w:r>
              <w:rPr>
                <w:b w:val="false"/>
                <w:bCs w:val="false"/>
                <w:sz w:val="17"/>
                <w:szCs w:val="17"/>
              </w:rPr>
              <w:t xml:space="preserve">1.078 kWh/kWp → </w:t>
            </w:r>
            <w:r>
              <w:rPr>
                <w:b/>
                <w:bCs/>
                <w:sz w:val="17"/>
                <w:szCs w:val="17"/>
              </w:rPr>
              <w:t xml:space="preserve">32.340 kWh/a</w:t>
            </w:r>
          </w:p>
        </w:tc>
      </w:tr>
      <w:tr>
        <w:tc>
          <w:tcPr>
            <w:tcW w:type="dxa" w:w="3000"/>
            <w:vAlign w:val="center"/>
          </w:tcPr>
          <w:p>
            <w:pPr>
              <w:spacing w:after="30" w:before="30" w:line="230"/>
              <w:jc w:val="left"/>
            </w:pPr>
            <w:r>
              <w:rPr>
                <w:b/>
                <w:bCs/>
                <w:sz w:val="17"/>
                <w:szCs w:val="17"/>
              </w:rPr>
              <w:t xml:space="preserve">Leistungsminderung</w:t>
            </w:r>
          </w:p>
        </w:tc>
        <w:tc>
          <w:tcPr>
            <w:tcW w:type="dxa" w:w="6638"/>
            <w:vAlign w:val="center"/>
          </w:tcPr>
          <w:p>
            <w:pPr>
              <w:spacing w:after="30" w:before="30" w:line="230"/>
              <w:jc w:val="left"/>
            </w:pPr>
            <w:r>
              <w:rPr>
                <w:b w:val="false"/>
                <w:bCs w:val="false"/>
                <w:sz w:val="17"/>
                <w:szCs w:val="17"/>
              </w:rPr>
              <w:t xml:space="preserve">5,00 % über die Betrachtungsdauer</w:t>
            </w:r>
          </w:p>
        </w:tc>
      </w:tr>
      <w:tr>
        <w:tc>
          <w:tcPr>
            <w:tcW w:type="dxa" w:w="3000"/>
            <w:shd w:fill="F2F5FA" w:color="auto" w:val="clear"/>
            <w:vAlign w:val="center"/>
          </w:tcPr>
          <w:p>
            <w:pPr>
              <w:spacing w:after="30" w:before="30" w:line="230"/>
              <w:jc w:val="left"/>
            </w:pPr>
            <w:r>
              <w:rPr>
                <w:b/>
                <w:bCs/>
                <w:sz w:val="17"/>
                <w:szCs w:val="17"/>
              </w:rPr>
              <w:t xml:space="preserve">Speicher</w:t>
            </w:r>
          </w:p>
        </w:tc>
        <w:tc>
          <w:tcPr>
            <w:tcW w:type="dxa" w:w="6638"/>
            <w:shd w:fill="F2F5FA" w:color="auto" w:val="clear"/>
            <w:vAlign w:val="center"/>
          </w:tcPr>
          <w:p>
            <w:pPr>
              <w:spacing w:after="30" w:before="30" w:line="230"/>
              <w:jc w:val="left"/>
            </w:pPr>
            <w:r>
              <w:rPr>
                <w:b w:val="false"/>
                <w:bCs w:val="false"/>
                <w:sz w:val="17"/>
                <w:szCs w:val="17"/>
              </w:rPr>
              <w:t xml:space="preserve">nein</w:t>
            </w:r>
          </w:p>
        </w:tc>
      </w:tr>
      <w:tr>
        <w:tc>
          <w:tcPr>
            <w:tcW w:type="dxa" w:w="3000"/>
            <w:vAlign w:val="center"/>
          </w:tcPr>
          <w:p>
            <w:pPr>
              <w:spacing w:after="30" w:before="30" w:line="230"/>
              <w:jc w:val="left"/>
            </w:pPr>
            <w:r>
              <w:rPr>
                <w:b/>
                <w:bCs/>
                <w:sz w:val="17"/>
                <w:szCs w:val="17"/>
              </w:rPr>
              <w:t xml:space="preserve">Investition</w:t>
            </w:r>
          </w:p>
        </w:tc>
        <w:tc>
          <w:tcPr>
            <w:tcW w:type="dxa" w:w="6638"/>
            <w:vAlign w:val="center"/>
          </w:tcPr>
          <w:p>
            <w:pPr>
              <w:spacing w:after="30" w:before="30" w:line="230"/>
              <w:jc w:val="left"/>
            </w:pPr>
            <w:r>
              <w:rPr>
                <w:b w:val="false"/>
                <w:bCs w:val="false"/>
                <w:sz w:val="17"/>
                <w:szCs w:val="17"/>
              </w:rPr>
              <w:t xml:space="preserve">1.800 €/kWp → </w:t>
            </w:r>
            <w:r>
              <w:rPr>
                <w:b/>
                <w:bCs/>
                <w:sz w:val="17"/>
                <w:szCs w:val="17"/>
              </w:rPr>
              <w:t xml:space="preserve">54.000 €</w:t>
            </w:r>
            <w:r>
              <w:rPr>
                <w:b w:val="false"/>
                <w:bCs w:val="false"/>
                <w:sz w:val="17"/>
                <w:szCs w:val="17"/>
              </w:rPr>
              <w:t xml:space="preserve">; Speicher 0 €/kWh; Rückbau 0 €; Restwert 0 €</w:t>
            </w:r>
          </w:p>
        </w:tc>
      </w:tr>
      <w:tr>
        <w:tc>
          <w:tcPr>
            <w:tcW w:type="dxa" w:w="3000"/>
            <w:shd w:fill="F2F5FA" w:color="auto" w:val="clear"/>
            <w:vAlign w:val="center"/>
          </w:tcPr>
          <w:p>
            <w:pPr>
              <w:spacing w:after="30" w:before="30" w:line="230"/>
              <w:jc w:val="left"/>
            </w:pPr>
            <w:r>
              <w:rPr>
                <w:b/>
                <w:bCs/>
                <w:sz w:val="17"/>
                <w:szCs w:val="17"/>
              </w:rPr>
              <w:t xml:space="preserve">Finanzierung</w:t>
            </w:r>
          </w:p>
        </w:tc>
        <w:tc>
          <w:tcPr>
            <w:tcW w:type="dxa" w:w="6638"/>
            <w:shd w:fill="F2F5FA" w:color="auto" w:val="clear"/>
            <w:vAlign w:val="center"/>
          </w:tcPr>
          <w:p>
            <w:pPr>
              <w:spacing w:after="30" w:before="30" w:line="230"/>
              <w:jc w:val="left"/>
            </w:pPr>
            <w:r>
              <w:rPr>
                <w:b w:val="false"/>
                <w:bCs w:val="false"/>
                <w:sz w:val="17"/>
                <w:szCs w:val="17"/>
              </w:rPr>
              <w:t xml:space="preserve">100 % Eigenkapital (54.000 €), keine Kredite</w:t>
            </w:r>
          </w:p>
        </w:tc>
      </w:tr>
      <w:tr>
        <w:tc>
          <w:tcPr>
            <w:tcW w:type="dxa" w:w="3000"/>
            <w:vAlign w:val="center"/>
          </w:tcPr>
          <w:p>
            <w:pPr>
              <w:spacing w:after="30" w:before="30" w:line="230"/>
              <w:jc w:val="left"/>
            </w:pPr>
            <w:r>
              <w:rPr>
                <w:b/>
                <w:bCs/>
                <w:sz w:val="17"/>
                <w:szCs w:val="17"/>
              </w:rPr>
              <w:t xml:space="preserve">Kalkulationszinssatz</w:t>
            </w:r>
          </w:p>
        </w:tc>
        <w:tc>
          <w:tcPr>
            <w:tcW w:type="dxa" w:w="6638"/>
            <w:vAlign w:val="center"/>
          </w:tcPr>
          <w:p>
            <w:pPr>
              <w:spacing w:after="30" w:before="30" w:line="230"/>
              <w:jc w:val="left"/>
            </w:pPr>
            <w:r>
              <w:rPr>
                <w:b w:val="false"/>
                <w:bCs w:val="false"/>
                <w:sz w:val="17"/>
                <w:szCs w:val="17"/>
              </w:rPr>
              <w:t xml:space="preserve">3,50 %</w:t>
            </w:r>
          </w:p>
        </w:tc>
      </w:tr>
      <w:tr>
        <w:tc>
          <w:tcPr>
            <w:tcW w:type="dxa" w:w="3000"/>
            <w:shd w:fill="F2F5FA" w:color="auto" w:val="clear"/>
            <w:vAlign w:val="center"/>
          </w:tcPr>
          <w:p>
            <w:pPr>
              <w:spacing w:after="30" w:before="30" w:line="230"/>
              <w:jc w:val="left"/>
            </w:pPr>
            <w:r>
              <w:rPr>
                <w:b/>
                <w:bCs/>
                <w:sz w:val="17"/>
                <w:szCs w:val="17"/>
              </w:rPr>
              <w:t xml:space="preserve">Abschreibung</w:t>
            </w:r>
          </w:p>
        </w:tc>
        <w:tc>
          <w:tcPr>
            <w:tcW w:type="dxa" w:w="6638"/>
            <w:shd w:fill="F2F5FA" w:color="auto" w:val="clear"/>
            <w:vAlign w:val="center"/>
          </w:tcPr>
          <w:p>
            <w:pPr>
              <w:spacing w:after="30" w:before="30" w:line="230"/>
              <w:jc w:val="left"/>
            </w:pPr>
            <w:r>
              <w:rPr>
                <w:b w:val="false"/>
                <w:bCs w:val="false"/>
                <w:sz w:val="17"/>
                <w:szCs w:val="17"/>
              </w:rPr>
              <w:t xml:space="preserve">deaktiviert, da kein Ertragsteuereinbezug. Voreinstellungen: kein Investitionsabzugsbetrag (Maximum wären 27.000 € = 50 %), linear über 20 Jahre, keine Sonderabschreibung (Satz 20 %, zu verteilen 10.800 €, 100 % im ersten Jahr)</w:t>
            </w:r>
          </w:p>
        </w:tc>
      </w:tr>
    </w:tbl>
    <w:p>
      <w:pPr>
        <w:spacing w:after="100"/>
      </w:pPr>
      <w:r>
        <w:rPr>
          <w:sz w:val="8"/>
          <w:szCs w:val="8"/>
        </w:rPr>
        <w:t xml:space="preserve"/>
      </w:r>
    </w:p>
    <w:p>
      <w:r>
        <w:t xml:space="preserve">Das Projekt enthält </w:t>
      </w:r>
      <w:r>
        <w:rPr>
          <w:b/>
          <w:bCs/>
        </w:rPr>
        <w:t xml:space="preserve">zwei Pläne</w:t>
      </w:r>
      <w:r>
        <w:t xml:space="preserve"> über denselben Zeitraum und mit identischer Anlagentechnik: Plan 1 „Überschuss“ mit dem Betreibermodell </w:t>
      </w:r>
      <w:r>
        <w:rPr>
          <w:b/>
          <w:bCs/>
        </w:rPr>
        <w:t xml:space="preserve">PV-Überschuss-Einspeisung 1</w:t>
      </w:r>
      <w:r>
        <w:t xml:space="preserve"> und Plan 2 „Volleinspeisung“ mit dem Betreibermodell </w:t>
      </w:r>
      <w:r>
        <w:rPr>
          <w:b/>
          <w:bCs/>
        </w:rPr>
        <w:t xml:space="preserve">PV-Netz-Einspeisung 1</w:t>
      </w:r>
      <w:r>
        <w:t xml:space="preserve">. Es sind vier Akteure angelegt (DGS-Akteur 1 bis 4); in beiden Plänen übernimmt DGS-Akteur 1 sämtliche Rollen.</w:t>
      </w:r>
    </w:p>
    <w:p>
      <w:pPr>
        <w:pStyle w:val="Heading2"/>
      </w:pPr>
      <w:bookmarkStart w:id="900038" w:name="_Toc90000038"/>
      <w:r>
        <w:t xml:space="preserve">C2  Eingaben-Vergleich der beiden Pläne</w:t>
      </w:r>
      <w:bookmarkEnd w:id="900038"/>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200"/>
        <w:gridCol w:w="3719"/>
        <w:gridCol w:w="3719"/>
      </w:tblGrid>
      <w:tr>
        <w:trPr>
          <w:tblHeader/>
        </w:trPr>
        <w:tc>
          <w:tcPr>
            <w:tcW w:type="dxa" w:w="2200"/>
            <w:shd w:fill="1F3864" w:color="auto" w:val="clear"/>
            <w:vAlign w:val="center"/>
          </w:tcPr>
          <w:p>
            <w:pPr>
              <w:spacing w:after="30" w:before="30" w:line="230"/>
              <w:jc w:val="left"/>
            </w:pPr>
            <w:r>
              <w:rPr>
                <w:b/>
                <w:bCs/>
                <w:color w:val="FFFFFF"/>
                <w:sz w:val="17"/>
                <w:szCs w:val="17"/>
              </w:rPr>
              <w:t xml:space="preserve">Eingabefeld</w:t>
            </w:r>
          </w:p>
        </w:tc>
        <w:tc>
          <w:tcPr>
            <w:tcW w:type="dxa" w:w="3719"/>
            <w:shd w:fill="1F3864" w:color="auto" w:val="clear"/>
            <w:vAlign w:val="center"/>
          </w:tcPr>
          <w:p>
            <w:pPr>
              <w:spacing w:after="30" w:before="30" w:line="230"/>
              <w:jc w:val="left"/>
            </w:pPr>
            <w:r>
              <w:rPr>
                <w:b/>
                <w:bCs/>
                <w:color w:val="FFFFFF"/>
                <w:sz w:val="17"/>
                <w:szCs w:val="17"/>
              </w:rPr>
              <w:t xml:space="preserve">Plan „Überschuss“</w:t>
            </w:r>
          </w:p>
        </w:tc>
        <w:tc>
          <w:tcPr>
            <w:tcW w:type="dxa" w:w="3719"/>
            <w:shd w:fill="1F3864" w:color="auto" w:val="clear"/>
            <w:vAlign w:val="center"/>
          </w:tcPr>
          <w:p>
            <w:pPr>
              <w:spacing w:after="30" w:before="30" w:line="230"/>
              <w:jc w:val="left"/>
            </w:pPr>
            <w:r>
              <w:rPr>
                <w:b/>
                <w:bCs/>
                <w:color w:val="FFFFFF"/>
                <w:sz w:val="17"/>
                <w:szCs w:val="17"/>
              </w:rPr>
              <w:t xml:space="preserve">Plan „Volleinspeisung“</w:t>
            </w:r>
          </w:p>
        </w:tc>
      </w:tr>
      <w:tr>
        <w:tc>
          <w:tcPr>
            <w:tcW w:type="dxa" w:w="2200"/>
            <w:vAlign w:val="center"/>
          </w:tcPr>
          <w:p>
            <w:pPr>
              <w:spacing w:after="30" w:before="30" w:line="230"/>
              <w:jc w:val="left"/>
            </w:pPr>
            <w:r>
              <w:rPr>
                <w:b/>
                <w:bCs/>
                <w:sz w:val="17"/>
                <w:szCs w:val="17"/>
              </w:rPr>
              <w:t xml:space="preserve">Betreibermodell</w:t>
            </w:r>
          </w:p>
        </w:tc>
        <w:tc>
          <w:tcPr>
            <w:tcW w:type="dxa" w:w="3719"/>
            <w:vAlign w:val="center"/>
          </w:tcPr>
          <w:p>
            <w:pPr>
              <w:spacing w:after="30" w:before="30" w:line="230"/>
              <w:jc w:val="left"/>
            </w:pPr>
            <w:r>
              <w:rPr>
                <w:b w:val="false"/>
                <w:bCs w:val="false"/>
                <w:sz w:val="17"/>
                <w:szCs w:val="17"/>
              </w:rPr>
              <w:t xml:space="preserve">PV-Überschuss-Einspeisung 1 (</w:t>
            </w:r>
            <w:r>
              <w:rPr>
                <w:rFonts w:ascii="Consolas" w:cs="Consolas" w:eastAsia="Consolas" w:hAnsi="Consolas"/>
                <w:b/>
                <w:bCs/>
                <w:sz w:val="17"/>
                <w:szCs w:val="17"/>
              </w:rPr>
              <w:t xml:space="preserve">I = B = G = V</w:t>
            </w:r>
            <w:r>
              <w:rPr>
                <w:b w:val="false"/>
                <w:bCs w:val="false"/>
                <w:sz w:val="17"/>
                <w:szCs w:val="17"/>
              </w:rPr>
              <w:t xml:space="preserve">)</w:t>
            </w:r>
          </w:p>
        </w:tc>
        <w:tc>
          <w:tcPr>
            <w:tcW w:type="dxa" w:w="3719"/>
            <w:vAlign w:val="center"/>
          </w:tcPr>
          <w:p>
            <w:pPr>
              <w:spacing w:after="30" w:before="30" w:line="230"/>
              <w:jc w:val="left"/>
            </w:pPr>
            <w:r>
              <w:rPr>
                <w:b w:val="false"/>
                <w:bCs w:val="false"/>
                <w:sz w:val="17"/>
                <w:szCs w:val="17"/>
              </w:rPr>
              <w:t xml:space="preserve">PV-Netz-Einspeisung 1 (</w:t>
            </w:r>
            <w:r>
              <w:rPr>
                <w:rFonts w:ascii="Consolas" w:cs="Consolas" w:eastAsia="Consolas" w:hAnsi="Consolas"/>
                <w:b/>
                <w:bCs/>
                <w:sz w:val="17"/>
                <w:szCs w:val="17"/>
              </w:rPr>
              <w:t xml:space="preserve">I = B = G</w:t>
            </w:r>
            <w:r>
              <w:rPr>
                <w:b w:val="false"/>
                <w:bCs w:val="false"/>
                <w:sz w:val="17"/>
                <w:szCs w:val="17"/>
              </w:rPr>
              <w:t xml:space="preserve">)</w:t>
            </w:r>
          </w:p>
        </w:tc>
      </w:tr>
      <w:tr>
        <w:tc>
          <w:tcPr>
            <w:tcW w:type="dxa" w:w="2200"/>
            <w:shd w:fill="F2F5FA" w:color="auto" w:val="clear"/>
            <w:vAlign w:val="center"/>
          </w:tcPr>
          <w:p>
            <w:pPr>
              <w:spacing w:after="30" w:before="30" w:line="230"/>
              <w:jc w:val="left"/>
            </w:pPr>
            <w:r>
              <w:rPr>
                <w:b/>
                <w:bCs/>
                <w:sz w:val="17"/>
                <w:szCs w:val="17"/>
              </w:rPr>
              <w:t xml:space="preserve">Ertragsteuereinbezug</w:t>
            </w:r>
          </w:p>
        </w:tc>
        <w:tc>
          <w:tcPr>
            <w:tcW w:type="dxa" w:w="3719"/>
            <w:shd w:fill="F2F5FA" w:color="auto" w:val="clear"/>
            <w:vAlign w:val="center"/>
          </w:tcPr>
          <w:p>
            <w:pPr>
              <w:spacing w:after="30" w:before="30" w:line="230"/>
              <w:jc w:val="left"/>
            </w:pPr>
            <w:r>
              <w:rPr>
                <w:b w:val="false"/>
                <w:bCs w:val="false"/>
                <w:sz w:val="17"/>
                <w:szCs w:val="17"/>
              </w:rPr>
              <w:t xml:space="preserve">nein (Satz 20 % hinterlegt)</w:t>
            </w:r>
          </w:p>
        </w:tc>
        <w:tc>
          <w:tcPr>
            <w:tcW w:type="dxa" w:w="3719"/>
            <w:shd w:fill="F2F5FA" w:color="auto" w:val="clear"/>
            <w:vAlign w:val="center"/>
          </w:tcPr>
          <w:p>
            <w:pPr>
              <w:spacing w:after="30" w:before="30" w:line="230"/>
              <w:jc w:val="left"/>
            </w:pPr>
            <w:r>
              <w:rPr>
                <w:b w:val="false"/>
                <w:bCs w:val="false"/>
                <w:sz w:val="17"/>
                <w:szCs w:val="17"/>
              </w:rPr>
              <w:t xml:space="preserve">nein</w:t>
            </w:r>
          </w:p>
        </w:tc>
      </w:tr>
      <w:tr>
        <w:tc>
          <w:tcPr>
            <w:tcW w:type="dxa" w:w="2200"/>
            <w:vAlign w:val="center"/>
          </w:tcPr>
          <w:p>
            <w:pPr>
              <w:spacing w:after="30" w:before="30" w:line="230"/>
              <w:jc w:val="left"/>
            </w:pPr>
            <w:r>
              <w:rPr>
                <w:b/>
                <w:bCs/>
                <w:sz w:val="17"/>
                <w:szCs w:val="17"/>
              </w:rPr>
              <w:t xml:space="preserve">Umsatzsteuer außerhalb PV</w:t>
            </w:r>
          </w:p>
        </w:tc>
        <w:tc>
          <w:tcPr>
            <w:tcW w:type="dxa" w:w="3719"/>
            <w:vAlign w:val="center"/>
          </w:tcPr>
          <w:p>
            <w:pPr>
              <w:spacing w:after="30" w:before="30" w:line="230"/>
              <w:jc w:val="left"/>
            </w:pPr>
            <w:r>
              <w:rPr>
                <w:b w:val="false"/>
                <w:bCs w:val="false"/>
                <w:sz w:val="17"/>
                <w:szCs w:val="17"/>
              </w:rPr>
              <w:t xml:space="preserve">pflichtig, vorsteuerabzugsberechtigt</w:t>
            </w:r>
          </w:p>
        </w:tc>
        <w:tc>
          <w:tcPr>
            <w:tcW w:type="dxa" w:w="3719"/>
            <w:vAlign w:val="center"/>
          </w:tcPr>
          <w:p>
            <w:pPr>
              <w:spacing w:after="30" w:before="30" w:line="230"/>
              <w:jc w:val="left"/>
            </w:pPr>
            <w:r>
              <w:rPr>
                <w:b/>
                <w:bCs/>
                <w:sz w:val="17"/>
                <w:szCs w:val="17"/>
              </w:rPr>
              <w:t xml:space="preserve">nicht pflichtig, kein Vorsteuerabzug</w:t>
            </w:r>
          </w:p>
        </w:tc>
      </w:tr>
      <w:tr>
        <w:tc>
          <w:tcPr>
            <w:tcW w:type="dxa" w:w="2200"/>
            <w:shd w:fill="F2F5FA" w:color="auto" w:val="clear"/>
            <w:vAlign w:val="center"/>
          </w:tcPr>
          <w:p>
            <w:pPr>
              <w:spacing w:after="30" w:before="30" w:line="230"/>
              <w:jc w:val="left"/>
            </w:pPr>
            <w:r>
              <w:rPr>
                <w:b/>
                <w:bCs/>
                <w:sz w:val="17"/>
                <w:szCs w:val="17"/>
              </w:rPr>
              <w:t xml:space="preserve">Umsatzsteuer im PV-Bereich</w:t>
            </w:r>
          </w:p>
        </w:tc>
        <w:tc>
          <w:tcPr>
            <w:tcW w:type="dxa" w:w="3719"/>
            <w:shd w:fill="F2F5FA" w:color="auto" w:val="clear"/>
            <w:vAlign w:val="center"/>
          </w:tcPr>
          <w:p>
            <w:pPr>
              <w:spacing w:after="30" w:before="30" w:line="230"/>
              <w:jc w:val="left"/>
            </w:pPr>
            <w:r>
              <w:rPr>
                <w:b w:val="false"/>
                <w:bCs w:val="false"/>
                <w:sz w:val="17"/>
                <w:szCs w:val="17"/>
              </w:rPr>
              <w:t xml:space="preserve">pflichtig, vorsteuerabzugsberechtigt</w:t>
            </w:r>
          </w:p>
        </w:tc>
        <w:tc>
          <w:tcPr>
            <w:tcW w:type="dxa" w:w="3719"/>
            <w:shd w:fill="F2F5FA" w:color="auto" w:val="clear"/>
            <w:vAlign w:val="center"/>
          </w:tcPr>
          <w:p>
            <w:pPr>
              <w:spacing w:after="30" w:before="30" w:line="230"/>
              <w:jc w:val="left"/>
            </w:pPr>
            <w:r>
              <w:rPr>
                <w:b w:val="false"/>
                <w:bCs w:val="false"/>
                <w:sz w:val="17"/>
                <w:szCs w:val="17"/>
              </w:rPr>
              <w:t xml:space="preserve">pflichtig, vorsteuerabzugsberechtigt</w:t>
            </w:r>
          </w:p>
        </w:tc>
      </w:tr>
      <w:tr>
        <w:tc>
          <w:tcPr>
            <w:tcW w:type="dxa" w:w="2200"/>
            <w:vAlign w:val="center"/>
          </w:tcPr>
          <w:p>
            <w:pPr>
              <w:spacing w:after="30" w:before="30" w:line="230"/>
              <w:jc w:val="left"/>
            </w:pPr>
            <w:r>
              <w:rPr>
                <w:b/>
                <w:bCs/>
                <w:sz w:val="17"/>
                <w:szCs w:val="17"/>
              </w:rPr>
              <w:t xml:space="preserve">Wechsel zur Kleinunternehmerregelung</w:t>
            </w:r>
          </w:p>
        </w:tc>
        <w:tc>
          <w:tcPr>
            <w:tcW w:type="dxa" w:w="3719"/>
            <w:vAlign w:val="center"/>
          </w:tcPr>
          <w:p>
            <w:pPr>
              <w:spacing w:after="30" w:before="30" w:line="230"/>
              <w:jc w:val="left"/>
            </w:pPr>
            <w:r>
              <w:rPr>
                <w:b w:val="false"/>
                <w:bCs w:val="false"/>
                <w:sz w:val="17"/>
                <w:szCs w:val="17"/>
              </w:rPr>
              <w:t xml:space="preserve">nein</w:t>
            </w:r>
          </w:p>
        </w:tc>
        <w:tc>
          <w:tcPr>
            <w:tcW w:type="dxa" w:w="3719"/>
            <w:vAlign w:val="center"/>
          </w:tcPr>
          <w:p>
            <w:pPr>
              <w:spacing w:after="30" w:before="30" w:line="230"/>
              <w:jc w:val="left"/>
            </w:pPr>
            <w:r>
              <w:rPr>
                <w:b w:val="false"/>
                <w:bCs w:val="false"/>
                <w:sz w:val="17"/>
                <w:szCs w:val="17"/>
              </w:rPr>
              <w:t xml:space="preserve">–</w:t>
            </w:r>
          </w:p>
        </w:tc>
      </w:tr>
      <w:tr>
        <w:tc>
          <w:tcPr>
            <w:tcW w:type="dxa" w:w="2200"/>
            <w:shd w:fill="F2F5FA" w:color="auto" w:val="clear"/>
            <w:vAlign w:val="center"/>
          </w:tcPr>
          <w:p>
            <w:pPr>
              <w:spacing w:after="30" w:before="30" w:line="230"/>
              <w:jc w:val="left"/>
            </w:pPr>
            <w:r>
              <w:rPr>
                <w:b/>
                <w:bCs/>
                <w:sz w:val="17"/>
                <w:szCs w:val="17"/>
              </w:rPr>
              <w:t xml:space="preserve">USt-Satz Komponenten + Installation</w:t>
            </w:r>
          </w:p>
        </w:tc>
        <w:tc>
          <w:tcPr>
            <w:tcW w:type="dxa" w:w="3719"/>
            <w:shd w:fill="F2F5FA" w:color="auto" w:val="clear"/>
            <w:vAlign w:val="center"/>
          </w:tcPr>
          <w:p>
            <w:pPr>
              <w:spacing w:after="30" w:before="30" w:line="230"/>
              <w:jc w:val="left"/>
            </w:pPr>
            <w:r>
              <w:rPr>
                <w:b w:val="false"/>
                <w:bCs w:val="false"/>
                <w:sz w:val="17"/>
                <w:szCs w:val="17"/>
              </w:rPr>
              <w:t xml:space="preserve">19 % (0 % wählbar)</w:t>
            </w:r>
          </w:p>
        </w:tc>
        <w:tc>
          <w:tcPr>
            <w:tcW w:type="dxa" w:w="3719"/>
            <w:shd w:fill="F2F5FA" w:color="auto" w:val="clear"/>
            <w:vAlign w:val="center"/>
          </w:tcPr>
          <w:p>
            <w:pPr>
              <w:spacing w:after="30" w:before="30" w:line="230"/>
              <w:jc w:val="left"/>
            </w:pPr>
            <w:r>
              <w:rPr>
                <w:b w:val="false"/>
                <w:bCs w:val="false"/>
                <w:sz w:val="17"/>
                <w:szCs w:val="17"/>
              </w:rPr>
              <w:t xml:space="preserve">19 %</w:t>
            </w:r>
          </w:p>
        </w:tc>
      </w:tr>
      <w:tr>
        <w:tc>
          <w:tcPr>
            <w:tcW w:type="dxa" w:w="2200"/>
            <w:vAlign w:val="center"/>
          </w:tcPr>
          <w:p>
            <w:pPr>
              <w:spacing w:after="30" w:before="30" w:line="230"/>
              <w:jc w:val="left"/>
            </w:pPr>
            <w:r>
              <w:rPr>
                <w:b/>
                <w:bCs/>
                <w:sz w:val="17"/>
                <w:szCs w:val="17"/>
              </w:rPr>
              <w:t xml:space="preserve">Verbrauchssituation vor PV</w:t>
            </w:r>
          </w:p>
        </w:tc>
        <w:tc>
          <w:tcPr>
            <w:tcW w:type="dxa" w:w="3719"/>
            <w:vAlign w:val="center"/>
          </w:tcPr>
          <w:p>
            <w:pPr>
              <w:spacing w:after="30" w:before="30" w:line="230"/>
              <w:jc w:val="left"/>
            </w:pPr>
            <w:r>
              <w:rPr>
                <w:b w:val="false"/>
                <w:bCs w:val="false"/>
                <w:sz w:val="17"/>
                <w:szCs w:val="17"/>
              </w:rPr>
              <w:t xml:space="preserve">Netzstrompreis 30,00 ct/kWh, Steigerung 4,00 %/a; Mess-/Abrechnungskosten 100 €/a (0 %/a)</w:t>
            </w:r>
          </w:p>
        </w:tc>
        <w:tc>
          <w:tcPr>
            <w:tcW w:type="dxa" w:w="3719"/>
            <w:vAlign w:val="center"/>
          </w:tcPr>
          <w:p>
            <w:pPr>
              <w:spacing w:after="30" w:before="30" w:line="230"/>
              <w:jc w:val="left"/>
            </w:pPr>
            <w:r>
              <w:rPr>
                <w:b w:val="false"/>
                <w:bCs w:val="false"/>
                <w:sz w:val="17"/>
                <w:szCs w:val="17"/>
              </w:rPr>
              <w:t xml:space="preserve">keine (kein Verbrauch)</w:t>
            </w:r>
          </w:p>
        </w:tc>
      </w:tr>
      <w:tr>
        <w:tc>
          <w:tcPr>
            <w:tcW w:type="dxa" w:w="2200"/>
            <w:shd w:fill="F2F5FA" w:color="auto" w:val="clear"/>
            <w:vAlign w:val="center"/>
          </w:tcPr>
          <w:p>
            <w:pPr>
              <w:spacing w:after="30" w:before="30" w:line="230"/>
              <w:jc w:val="left"/>
            </w:pPr>
            <w:r>
              <w:rPr>
                <w:b/>
                <w:bCs/>
                <w:sz w:val="17"/>
                <w:szCs w:val="17"/>
              </w:rPr>
              <w:t xml:space="preserve">Gesamtstrombedarf</w:t>
            </w:r>
          </w:p>
        </w:tc>
        <w:tc>
          <w:tcPr>
            <w:tcW w:type="dxa" w:w="3719"/>
            <w:shd w:fill="F2F5FA" w:color="auto" w:val="clear"/>
            <w:vAlign w:val="center"/>
          </w:tcPr>
          <w:p>
            <w:pPr>
              <w:spacing w:after="30" w:before="30" w:line="230"/>
              <w:jc w:val="left"/>
            </w:pPr>
            <w:r>
              <w:rPr>
                <w:b w:val="false"/>
                <w:bCs w:val="false"/>
                <w:sz w:val="17"/>
                <w:szCs w:val="17"/>
              </w:rPr>
              <w:t xml:space="preserve">100.000 kWh/a, Lastprofil G4 (Laden mit regulären Öffnungszeiten)</w:t>
            </w:r>
          </w:p>
        </w:tc>
        <w:tc>
          <w:tcPr>
            <w:tcW w:type="dxa" w:w="3719"/>
            <w:shd w:fill="F2F5FA" w:color="auto" w:val="clear"/>
            <w:vAlign w:val="center"/>
          </w:tcPr>
          <w:p>
            <w:pPr>
              <w:spacing w:after="30" w:before="30" w:line="230"/>
              <w:jc w:val="left"/>
            </w:pPr>
            <w:r>
              <w:rPr>
                <w:b w:val="false"/>
                <w:bCs w:val="false"/>
                <w:sz w:val="17"/>
                <w:szCs w:val="17"/>
              </w:rPr>
              <w:t xml:space="preserve">–</w:t>
            </w:r>
          </w:p>
        </w:tc>
      </w:tr>
      <w:tr>
        <w:tc>
          <w:tcPr>
            <w:tcW w:type="dxa" w:w="2200"/>
            <w:vAlign w:val="center"/>
          </w:tcPr>
          <w:p>
            <w:pPr>
              <w:spacing w:after="30" w:before="30" w:line="230"/>
              <w:jc w:val="left"/>
            </w:pPr>
            <w:r>
              <w:rPr>
                <w:b/>
                <w:bCs/>
                <w:sz w:val="17"/>
                <w:szCs w:val="17"/>
              </w:rPr>
              <w:t xml:space="preserve">PV-Stromaufteilung</w:t>
            </w:r>
          </w:p>
        </w:tc>
        <w:tc>
          <w:tcPr>
            <w:tcW w:type="dxa" w:w="3719"/>
            <w:vAlign w:val="center"/>
          </w:tcPr>
          <w:p>
            <w:pPr>
              <w:spacing w:after="30" w:before="30" w:line="230"/>
              <w:jc w:val="left"/>
            </w:pPr>
            <w:r>
              <w:rPr>
                <w:b w:val="false"/>
                <w:bCs w:val="false"/>
                <w:sz w:val="17"/>
                <w:szCs w:val="17"/>
              </w:rPr>
              <w:t xml:space="preserve">Eigenverbrauch </w:t>
            </w:r>
            <w:r>
              <w:rPr>
                <w:b/>
                <w:bCs/>
                <w:sz w:val="17"/>
                <w:szCs w:val="17"/>
              </w:rPr>
              <w:t xml:space="preserve">26.962 kWh (83,4 %)</w:t>
            </w:r>
            <w:r>
              <w:rPr>
                <w:b w:val="false"/>
                <w:bCs w:val="false"/>
                <w:sz w:val="17"/>
                <w:szCs w:val="17"/>
              </w:rPr>
              <w:t xml:space="preserve">, EEG-vergütete Netzeinspeisung </w:t>
            </w:r>
            <w:r>
              <w:rPr>
                <w:b/>
                <w:bCs/>
                <w:sz w:val="17"/>
                <w:szCs w:val="17"/>
              </w:rPr>
              <w:t xml:space="preserve">5.378 kWh (16,6 %)</w:t>
            </w:r>
            <w:r>
              <w:rPr>
                <w:b w:val="false"/>
                <w:bCs w:val="false"/>
                <w:sz w:val="17"/>
                <w:szCs w:val="17"/>
              </w:rPr>
              <w:t xml:space="preserve">; Speicherverluste, geförderte DV, sonstige DV, freier Satz je 0; Summe 32.340 kWh</w:t>
            </w:r>
          </w:p>
        </w:tc>
        <w:tc>
          <w:tcPr>
            <w:tcW w:type="dxa" w:w="3719"/>
            <w:vAlign w:val="center"/>
          </w:tcPr>
          <w:p>
            <w:pPr>
              <w:spacing w:after="30" w:before="30" w:line="230"/>
              <w:jc w:val="left"/>
            </w:pPr>
            <w:r>
              <w:rPr>
                <w:b/>
                <w:bCs/>
                <w:sz w:val="17"/>
                <w:szCs w:val="17"/>
              </w:rPr>
              <w:t xml:space="preserve">100 % EEG-vergütete Netzeinspeisung = 32.340 kWh/a</w:t>
            </w:r>
          </w:p>
        </w:tc>
      </w:tr>
      <w:tr>
        <w:tc>
          <w:tcPr>
            <w:tcW w:type="dxa" w:w="2200"/>
            <w:shd w:fill="F2F5FA" w:color="auto" w:val="clear"/>
            <w:vAlign w:val="center"/>
          </w:tcPr>
          <w:p>
            <w:pPr>
              <w:spacing w:after="30" w:before="30" w:line="230"/>
              <w:jc w:val="left"/>
            </w:pPr>
            <w:r>
              <w:rPr>
                <w:b/>
                <w:bCs/>
                <w:sz w:val="17"/>
                <w:szCs w:val="17"/>
              </w:rPr>
              <w:t xml:space="preserve">Konditionen mit PV</w:t>
            </w:r>
          </w:p>
        </w:tc>
        <w:tc>
          <w:tcPr>
            <w:tcW w:type="dxa" w:w="3719"/>
            <w:shd w:fill="F2F5FA" w:color="auto" w:val="clear"/>
            <w:vAlign w:val="center"/>
          </w:tcPr>
          <w:p>
            <w:pPr>
              <w:spacing w:after="30" w:before="30" w:line="230"/>
              <w:jc w:val="left"/>
            </w:pPr>
            <w:r>
              <w:rPr>
                <w:b w:val="false"/>
                <w:bCs w:val="false"/>
                <w:sz w:val="17"/>
                <w:szCs w:val="17"/>
              </w:rPr>
              <w:t xml:space="preserve">Netz-Strombedarf 73.038 kWh; 30,00 ct/kWh + 4 %/a; Messkosten 100 €/a</w:t>
            </w:r>
          </w:p>
        </w:tc>
        <w:tc>
          <w:tcPr>
            <w:tcW w:type="dxa" w:w="3719"/>
            <w:shd w:fill="F2F5FA" w:color="auto" w:val="clear"/>
            <w:vAlign w:val="center"/>
          </w:tcPr>
          <w:p>
            <w:pPr>
              <w:spacing w:after="30" w:before="30" w:line="230"/>
              <w:jc w:val="left"/>
            </w:pPr>
            <w:r>
              <w:rPr>
                <w:b w:val="false"/>
                <w:bCs w:val="false"/>
                <w:sz w:val="17"/>
                <w:szCs w:val="17"/>
              </w:rPr>
              <w:t xml:space="preserve">„Für dieses Betreibermodell sind keine Konditionen verfügbar“</w:t>
            </w:r>
          </w:p>
        </w:tc>
      </w:tr>
      <w:tr>
        <w:tc>
          <w:tcPr>
            <w:tcW w:type="dxa" w:w="2200"/>
            <w:vAlign w:val="center"/>
          </w:tcPr>
          <w:p>
            <w:pPr>
              <w:spacing w:after="30" w:before="30" w:line="230"/>
              <w:jc w:val="left"/>
            </w:pPr>
            <w:r>
              <w:rPr>
                <w:b/>
                <w:bCs/>
                <w:sz w:val="17"/>
                <w:szCs w:val="17"/>
              </w:rPr>
              <w:t xml:space="preserve">Betriebskosten (Kostenträger Betreiber)</w:t>
            </w:r>
          </w:p>
        </w:tc>
        <w:tc>
          <w:tcPr>
            <w:tcW w:type="dxa" w:w="3719"/>
            <w:vAlign w:val="center"/>
          </w:tcPr>
          <w:p>
            <w:pPr>
              <w:spacing w:after="30" w:before="30" w:line="230"/>
              <w:jc w:val="left"/>
            </w:pPr>
            <w:r>
              <w:rPr>
                <w:b w:val="false"/>
                <w:bCs w:val="false"/>
                <w:sz w:val="17"/>
                <w:szCs w:val="17"/>
              </w:rPr>
              <w:t xml:space="preserve">Wartung 1,00 % der Nettoinvestition = 540 €/a; Versicherung 500 €/a; Verwaltung 1.000 €/a; übrige 0 → </w:t>
            </w:r>
            <w:r>
              <w:rPr>
                <w:b/>
                <w:bCs/>
                <w:sz w:val="17"/>
                <w:szCs w:val="17"/>
              </w:rPr>
              <w:t xml:space="preserve">2.040 €/a = 68,00 €/(kWp·a)</w:t>
            </w:r>
            <w:r>
              <w:rPr>
                <w:b w:val="false"/>
                <w:bCs w:val="false"/>
                <w:sz w:val="17"/>
                <w:szCs w:val="17"/>
              </w:rPr>
              <w:t xml:space="preserve">, gesamt 42.500 €</w:t>
            </w:r>
          </w:p>
        </w:tc>
        <w:tc>
          <w:tcPr>
            <w:tcW w:type="dxa" w:w="3719"/>
            <w:vAlign w:val="center"/>
          </w:tcPr>
          <w:p>
            <w:pPr>
              <w:spacing w:after="30" w:before="30" w:line="230"/>
              <w:jc w:val="left"/>
            </w:pPr>
            <w:r>
              <w:rPr>
                <w:b w:val="false"/>
                <w:bCs w:val="false"/>
                <w:sz w:val="17"/>
                <w:szCs w:val="17"/>
              </w:rPr>
              <w:t xml:space="preserve">Wartung 0; Mess-/Abrechnungskosten 100 €/a; Versicherung 500 €/a; Verwaltung 1.000 €/a → </w:t>
            </w:r>
            <w:r>
              <w:rPr>
                <w:b/>
                <w:bCs/>
                <w:sz w:val="17"/>
                <w:szCs w:val="17"/>
              </w:rPr>
              <w:t xml:space="preserve">1.600 €/a = 53,33 €/(kWp·a)</w:t>
            </w:r>
            <w:r>
              <w:rPr>
                <w:b w:val="false"/>
                <w:bCs w:val="false"/>
                <w:sz w:val="17"/>
                <w:szCs w:val="17"/>
              </w:rPr>
              <w:t xml:space="preserve">, gesamt 33.333 €</w:t>
            </w:r>
          </w:p>
        </w:tc>
      </w:tr>
      <w:tr>
        <w:tc>
          <w:tcPr>
            <w:tcW w:type="dxa" w:w="2200"/>
            <w:shd w:fill="F2F5FA" w:color="auto" w:val="clear"/>
            <w:vAlign w:val="center"/>
          </w:tcPr>
          <w:p>
            <w:pPr>
              <w:spacing w:after="30" w:before="30" w:line="230"/>
              <w:jc w:val="left"/>
            </w:pPr>
            <w:r>
              <w:rPr>
                <w:b/>
                <w:bCs/>
                <w:sz w:val="17"/>
                <w:szCs w:val="17"/>
              </w:rPr>
              <w:t xml:space="preserve">Optionale Zahlungen</w:t>
            </w:r>
          </w:p>
        </w:tc>
        <w:tc>
          <w:tcPr>
            <w:tcW w:type="dxa" w:w="3719"/>
            <w:shd w:fill="F2F5FA" w:color="auto" w:val="clear"/>
            <w:vAlign w:val="center"/>
          </w:tcPr>
          <w:p>
            <w:pPr>
              <w:spacing w:after="30" w:before="30" w:line="230"/>
              <w:jc w:val="left"/>
            </w:pPr>
            <w:r>
              <w:rPr>
                <w:b w:val="false"/>
                <w:bCs w:val="false"/>
                <w:sz w:val="17"/>
                <w:szCs w:val="17"/>
              </w:rPr>
              <w:t xml:space="preserve">keine</w:t>
            </w:r>
          </w:p>
        </w:tc>
        <w:tc>
          <w:tcPr>
            <w:tcW w:type="dxa" w:w="3719"/>
            <w:shd w:fill="F2F5FA" w:color="auto" w:val="clear"/>
            <w:vAlign w:val="center"/>
          </w:tcPr>
          <w:p>
            <w:pPr>
              <w:spacing w:after="30" w:before="30" w:line="230"/>
              <w:jc w:val="left"/>
            </w:pPr>
            <w:r>
              <w:rPr>
                <w:b w:val="false"/>
                <w:bCs w:val="false"/>
                <w:sz w:val="17"/>
                <w:szCs w:val="17"/>
              </w:rPr>
              <w:t xml:space="preserve">keine</w:t>
            </w:r>
          </w:p>
        </w:tc>
      </w:tr>
    </w:tbl>
    <w:p>
      <w:pPr>
        <w:spacing w:after="100"/>
      </w:pPr>
      <w:r>
        <w:rPr>
          <w:sz w:val="8"/>
          <w:szCs w:val="8"/>
        </w:rPr>
        <w:t xml:space="preserve"/>
      </w:r>
    </w:p>
    <w:p>
      <w:r>
        <w:t xml:space="preserve">Zwei Eingabeunterschiede sind erklärungsbedürftig und für die Interpretation wichtig. Erstens sind die </w:t>
      </w:r>
      <w:r>
        <w:rPr>
          <w:b/>
          <w:bCs/>
        </w:rPr>
        <w:t xml:space="preserve">Betriebskosten im Plan „Überschuss“ um 440 €/a höher</w:t>
      </w:r>
      <w:r>
        <w:t xml:space="preserve">, weil dort die Wartung mit 1,00 % der Nettoinvestition angesetzt ist, im Plan „Volleinspeisung“ dagegen mit null; umgekehrt trägt der Volleinspeisungsplan die Mess- und Abrechnungskosten von 100 €/a in den Betriebskosten, während sie im Überschussplan der Verbrauchssituation zugeordnet sind. Zweitens unterscheidet sich die </w:t>
      </w:r>
      <w:r>
        <w:rPr>
          <w:b/>
          <w:bCs/>
        </w:rPr>
        <w:t xml:space="preserve">umsatzsteuerliche Stellung außerhalb des PV-Bereichs</w:t>
      </w:r>
      <w:r>
        <w:t xml:space="preserve"> – für die dargestellten Nettokennzahlen ist das ohne Ergebniswirkung, für eine Übertragung auf einen realen Kunden aber zu prüfen.</w:t>
      </w:r>
    </w:p>
    <w:p>
      <w:r>
        <w:t xml:space="preserve">Ein Hinweis zur Eingabesystematik: pv@now lässt im Dialog „Eingabebeträge“ die Wahl, ob sämtliche €-Werte konsequent netto oder brutto erfasst werden – hier netto. Die steuerliche Behandlung wird </w:t>
      </w:r>
      <w:r>
        <w:rPr>
          <w:b/>
          <w:bCs/>
        </w:rPr>
        <w:t xml:space="preserve">allein über die Akteure und deren Umsatzsteuerstatus</w:t>
      </w:r>
      <w:r>
        <w:t xml:space="preserve"> gesteuert, nicht über die Beträge [29].</w:t>
      </w:r>
    </w:p>
    <w:p>
      <w:pPr>
        <w:pStyle w:val="Heading2"/>
      </w:pPr>
      <w:bookmarkStart w:id="900039" w:name="_Toc90000039"/>
      <w:r>
        <w:t xml:space="preserve">C3  Vergütungen im Projekt</w:t>
      </w:r>
      <w:bookmarkEnd w:id="900039"/>
    </w:p>
    <w:p>
      <w:r>
        <w:t xml:space="preserve">Die folgenden Sätze berechnet das Tool selbst aus Anlagenwerten, Inbetriebnahmedatum und Betreibermodell; sie sind nicht editierbar [29]:</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3800"/>
        <w:gridCol w:w="1600"/>
        <w:gridCol w:w="4238"/>
      </w:tblGrid>
      <w:tr>
        <w:trPr>
          <w:tblHeader/>
        </w:trPr>
        <w:tc>
          <w:tcPr>
            <w:tcW w:type="dxa" w:w="3800"/>
            <w:shd w:fill="1F3864" w:color="auto" w:val="clear"/>
            <w:vAlign w:val="center"/>
          </w:tcPr>
          <w:p>
            <w:pPr>
              <w:spacing w:after="30" w:before="30" w:line="230"/>
              <w:jc w:val="left"/>
            </w:pPr>
            <w:r>
              <w:rPr>
                <w:b/>
                <w:bCs/>
                <w:color w:val="FFFFFF"/>
                <w:sz w:val="17"/>
                <w:szCs w:val="17"/>
              </w:rPr>
              <w:t xml:space="preserve">Erlösmodell</w:t>
            </w:r>
          </w:p>
        </w:tc>
        <w:tc>
          <w:tcPr>
            <w:tcW w:type="dxa" w:w="1600"/>
            <w:shd w:fill="1F3864" w:color="auto" w:val="clear"/>
            <w:vAlign w:val="center"/>
          </w:tcPr>
          <w:p>
            <w:pPr>
              <w:spacing w:after="30" w:before="30" w:line="230"/>
              <w:jc w:val="center"/>
            </w:pPr>
            <w:r>
              <w:rPr>
                <w:b/>
                <w:bCs/>
                <w:color w:val="FFFFFF"/>
                <w:sz w:val="17"/>
                <w:szCs w:val="17"/>
              </w:rPr>
              <w:t xml:space="preserve">Satz</w:t>
            </w:r>
          </w:p>
        </w:tc>
        <w:tc>
          <w:tcPr>
            <w:tcW w:type="dxa" w:w="4238"/>
            <w:shd w:fill="1F3864" w:color="auto" w:val="clear"/>
            <w:vAlign w:val="center"/>
          </w:tcPr>
          <w:p>
            <w:pPr>
              <w:spacing w:after="30" w:before="30" w:line="230"/>
              <w:jc w:val="left"/>
            </w:pPr>
            <w:r>
              <w:rPr>
                <w:b/>
                <w:bCs/>
                <w:color w:val="FFFFFF"/>
                <w:sz w:val="17"/>
                <w:szCs w:val="17"/>
              </w:rPr>
              <w:t xml:space="preserve">Herleitung</w:t>
            </w:r>
          </w:p>
        </w:tc>
      </w:tr>
      <w:tr>
        <w:tc>
          <w:tcPr>
            <w:tcW w:type="dxa" w:w="3800"/>
            <w:vAlign w:val="center"/>
          </w:tcPr>
          <w:p>
            <w:pPr>
              <w:spacing w:after="30" w:before="30" w:line="230"/>
              <w:jc w:val="left"/>
            </w:pPr>
            <w:r>
              <w:rPr>
                <w:sz w:val="17"/>
                <w:szCs w:val="17"/>
              </w:rPr>
              <w:t xml:space="preserve">Feste EEG-Einspeisevergütung, Teileinspeisung/Direktverbrauch</w:t>
            </w:r>
          </w:p>
        </w:tc>
        <w:tc>
          <w:tcPr>
            <w:tcW w:type="dxa" w:w="1600"/>
            <w:vAlign w:val="center"/>
          </w:tcPr>
          <w:p>
            <w:pPr>
              <w:spacing w:after="30" w:before="30" w:line="230"/>
              <w:jc w:val="center"/>
            </w:pPr>
            <w:r>
              <w:rPr>
                <w:b/>
                <w:bCs/>
                <w:sz w:val="17"/>
                <w:szCs w:val="17"/>
              </w:rPr>
              <w:t xml:space="preserve">7,47 ct/kWh</w:t>
            </w:r>
          </w:p>
        </w:tc>
        <w:tc>
          <w:tcPr>
            <w:tcW w:type="dxa" w:w="4238"/>
            <w:vAlign w:val="center"/>
          </w:tcPr>
          <w:p>
            <w:pPr>
              <w:spacing w:after="30" w:before="30" w:line="230"/>
              <w:jc w:val="left"/>
            </w:pPr>
            <w:r>
              <w:rPr>
                <w:sz w:val="17"/>
                <w:szCs w:val="17"/>
              </w:rPr>
              <w:t xml:space="preserve">Mischsatz 30 kWp: 10 kWp à 8,20 + 20 kWp à 7,10</w:t>
            </w:r>
          </w:p>
        </w:tc>
      </w:tr>
      <w:tr>
        <w:tc>
          <w:tcPr>
            <w:tcW w:type="dxa" w:w="3800"/>
            <w:shd w:fill="F2F5FA" w:color="auto" w:val="clear"/>
            <w:vAlign w:val="center"/>
          </w:tcPr>
          <w:p>
            <w:pPr>
              <w:spacing w:after="30" w:before="30" w:line="230"/>
              <w:jc w:val="left"/>
            </w:pPr>
            <w:r>
              <w:rPr>
                <w:sz w:val="17"/>
                <w:szCs w:val="17"/>
              </w:rPr>
              <w:t xml:space="preserve">EEG-Zuschlag bei Volleinspeisung</w:t>
            </w:r>
          </w:p>
        </w:tc>
        <w:tc>
          <w:tcPr>
            <w:tcW w:type="dxa" w:w="1600"/>
            <w:shd w:fill="F2F5FA" w:color="auto" w:val="clear"/>
            <w:vAlign w:val="center"/>
          </w:tcPr>
          <w:p>
            <w:pPr>
              <w:spacing w:after="30" w:before="30" w:line="230"/>
              <w:jc w:val="center"/>
            </w:pPr>
            <w:r>
              <w:rPr>
                <w:b/>
                <w:bCs/>
                <w:sz w:val="17"/>
                <w:szCs w:val="17"/>
              </w:rPr>
              <w:t xml:space="preserve">+ 4,13 ct/kWh</w:t>
            </w:r>
          </w:p>
        </w:tc>
        <w:tc>
          <w:tcPr>
            <w:tcW w:type="dxa" w:w="4238"/>
            <w:shd w:fill="F2F5FA" w:color="auto" w:val="clear"/>
            <w:vAlign w:val="center"/>
          </w:tcPr>
          <w:p>
            <w:pPr>
              <w:spacing w:after="30" w:before="30" w:line="230"/>
              <w:jc w:val="left"/>
            </w:pPr>
            <w:r>
              <w:rPr>
                <w:sz w:val="17"/>
                <w:szCs w:val="17"/>
              </w:rPr>
              <w:t xml:space="preserve">Mischsatz aus den anzulegenden Werten Voll minus Teil</w:t>
            </w:r>
          </w:p>
        </w:tc>
      </w:tr>
      <w:tr>
        <w:tc>
          <w:tcPr>
            <w:tcW w:type="dxa" w:w="3800"/>
            <w:vAlign w:val="center"/>
          </w:tcPr>
          <w:p>
            <w:pPr>
              <w:spacing w:after="30" w:before="30" w:line="230"/>
              <w:jc w:val="left"/>
            </w:pPr>
            <w:r>
              <w:rPr>
                <w:sz w:val="17"/>
                <w:szCs w:val="17"/>
              </w:rPr>
              <w:t xml:space="preserve">Feste EEG-Einspeisevergütung, Volleinspeisung</w:t>
            </w:r>
          </w:p>
        </w:tc>
        <w:tc>
          <w:tcPr>
            <w:tcW w:type="dxa" w:w="1600"/>
            <w:vAlign w:val="center"/>
          </w:tcPr>
          <w:p>
            <w:pPr>
              <w:spacing w:after="30" w:before="30" w:line="230"/>
              <w:jc w:val="center"/>
            </w:pPr>
            <w:r>
              <w:rPr>
                <w:b/>
                <w:bCs/>
                <w:sz w:val="17"/>
                <w:szCs w:val="17"/>
              </w:rPr>
              <w:t xml:space="preserve">11,60 ct/kWh</w:t>
            </w:r>
          </w:p>
        </w:tc>
        <w:tc>
          <w:tcPr>
            <w:tcW w:type="dxa" w:w="4238"/>
            <w:vAlign w:val="center"/>
          </w:tcPr>
          <w:p>
            <w:pPr>
              <w:spacing w:after="30" w:before="30" w:line="230"/>
              <w:jc w:val="left"/>
            </w:pPr>
            <w:r>
              <w:rPr>
                <w:sz w:val="17"/>
                <w:szCs w:val="17"/>
              </w:rPr>
              <w:t xml:space="preserve">= 7,47 + 4,13</w:t>
            </w:r>
          </w:p>
        </w:tc>
      </w:tr>
      <w:tr>
        <w:tc>
          <w:tcPr>
            <w:tcW w:type="dxa" w:w="3800"/>
            <w:shd w:fill="F2F5FA" w:color="auto" w:val="clear"/>
            <w:vAlign w:val="center"/>
          </w:tcPr>
          <w:p>
            <w:pPr>
              <w:spacing w:after="30" w:before="30" w:line="230"/>
              <w:jc w:val="left"/>
            </w:pPr>
            <w:r>
              <w:rPr>
                <w:sz w:val="17"/>
                <w:szCs w:val="17"/>
              </w:rPr>
              <w:t xml:space="preserve">Anzulegender Wert (geförderte Direktvermarktung)</w:t>
            </w:r>
          </w:p>
        </w:tc>
        <w:tc>
          <w:tcPr>
            <w:tcW w:type="dxa" w:w="1600"/>
            <w:shd w:fill="F2F5FA" w:color="auto" w:val="clear"/>
            <w:vAlign w:val="center"/>
          </w:tcPr>
          <w:p>
            <w:pPr>
              <w:spacing w:after="30" w:before="30" w:line="230"/>
              <w:jc w:val="center"/>
            </w:pPr>
            <w:r>
              <w:rPr>
                <w:b/>
                <w:bCs/>
                <w:sz w:val="17"/>
                <w:szCs w:val="17"/>
              </w:rPr>
              <w:t xml:space="preserve">7,87 ct/kWh</w:t>
            </w:r>
          </w:p>
        </w:tc>
        <w:tc>
          <w:tcPr>
            <w:tcW w:type="dxa" w:w="4238"/>
            <w:shd w:fill="F2F5FA" w:color="auto" w:val="clear"/>
            <w:vAlign w:val="center"/>
          </w:tcPr>
          <w:p>
            <w:pPr>
              <w:spacing w:after="30" w:before="30" w:line="230"/>
              <w:jc w:val="left"/>
            </w:pPr>
            <w:r>
              <w:rPr>
                <w:sz w:val="17"/>
                <w:szCs w:val="17"/>
              </w:rPr>
              <w:t xml:space="preserve">Mischsatz 30 kWp: 10 kWp à 8,60 + 20 kWp à 7,50</w:t>
            </w:r>
          </w:p>
        </w:tc>
      </w:tr>
      <w:tr>
        <w:tc>
          <w:tcPr>
            <w:tcW w:type="dxa" w:w="3800"/>
            <w:vAlign w:val="center"/>
          </w:tcPr>
          <w:p>
            <w:pPr>
              <w:spacing w:after="30" w:before="30" w:line="230"/>
              <w:jc w:val="left"/>
            </w:pPr>
            <w:r>
              <w:rPr>
                <w:sz w:val="17"/>
                <w:szCs w:val="17"/>
              </w:rPr>
              <w:t xml:space="preserve">Ausfallvergütung</w:t>
            </w:r>
          </w:p>
        </w:tc>
        <w:tc>
          <w:tcPr>
            <w:tcW w:type="dxa" w:w="1600"/>
            <w:vAlign w:val="center"/>
          </w:tcPr>
          <w:p>
            <w:pPr>
              <w:spacing w:after="30" w:before="30" w:line="230"/>
              <w:jc w:val="center"/>
            </w:pPr>
            <w:r>
              <w:rPr>
                <w:b/>
                <w:bCs/>
                <w:sz w:val="17"/>
                <w:szCs w:val="17"/>
              </w:rPr>
              <w:t xml:space="preserve">6,30 ct/kWh</w:t>
            </w:r>
          </w:p>
        </w:tc>
        <w:tc>
          <w:tcPr>
            <w:tcW w:type="dxa" w:w="4238"/>
            <w:vAlign w:val="center"/>
          </w:tcPr>
          <w:p>
            <w:pPr>
              <w:spacing w:after="30" w:before="30" w:line="230"/>
              <w:jc w:val="left"/>
            </w:pPr>
            <w:r>
              <w:rPr>
                <w:sz w:val="17"/>
                <w:szCs w:val="17"/>
              </w:rPr>
              <w:t xml:space="preserve">= 80 % des anzulegenden Wertes</w:t>
            </w:r>
          </w:p>
        </w:tc>
      </w:tr>
    </w:tbl>
    <w:p>
      <w:pPr>
        <w:spacing w:after="100"/>
      </w:pPr>
      <w:r>
        <w:rPr>
          <w:sz w:val="8"/>
          <w:szCs w:val="8"/>
        </w:rPr>
        <w:t xml:space="preserve"/>
      </w:r>
    </w:p>
    <w:p>
      <w:pPr>
        <w:keepNext/>
        <w:spacing w:after="100" w:before="160"/>
      </w:pPr>
      <w:r>
        <w:rPr>
          <w:b/>
          <w:bCs/>
        </w:rPr>
        <w:t xml:space="preserve">Nachrechnung der Mischsätze (eigene Rechnung, § 23c EEG, auf Basis der Tool-Tabelle EEG 2023 in B5):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50"/>
          <w:bottom w:type="dxa" w:w="80"/>
          <w:right w:type="dxa" w:w="150"/>
        </w:tblCellMar>
      </w:tblPr>
      <w:tblGrid>
        <w:gridCol w:w="9638"/>
      </w:tblGrid>
      <w:tr>
        <w:trPr>
          <w:cantSplit/>
        </w:trPr>
        <w:tc>
          <w:tcPr>
            <w:tcW w:type="dxa" w:w="9638"/>
            <w:tcBorders>
              <w:top w:val="none" w:color="FFFFFF" w:sz="0"/>
              <w:left w:val="single" w:color="A6A6A6" w:sz="18"/>
              <w:bottom w:val="none" w:color="FFFFFF" w:sz="0"/>
              <w:right w:val="none" w:color="FFFFFF" w:sz="0"/>
            </w:tcBorders>
            <w:shd w:fill="F2F2F2" w:color="auto" w:val="clear"/>
          </w:tcPr>
          <w:p>
            <w:pPr>
              <w:spacing w:after="30" w:before="30" w:line="250"/>
            </w:pPr>
            <w:r>
              <w:rPr>
                <w:sz w:val="19"/>
                <w:szCs w:val="19"/>
              </w:rPr>
              <w:t xml:space="preserve">feste EV Teil: (10 × 8,20 + 20 × 7,10) / 30 = 224,00 / 30 = 7,4667 → </w:t>
            </w:r>
            <w:r>
              <w:rPr>
                <w:b/>
                <w:bCs/>
                <w:sz w:val="19"/>
                <w:szCs w:val="19"/>
              </w:rPr>
              <w:t xml:space="preserve">7,47 ct/kWh</w:t>
            </w:r>
            <w:r>
              <w:rPr>
                <w:sz w:val="19"/>
                <w:szCs w:val="19"/>
              </w:rPr>
              <w:t xml:space="preserve"> ✓</w:t>
            </w:r>
          </w:p>
          <w:p>
            <w:pPr>
              <w:spacing w:after="30" w:before="30" w:line="250"/>
            </w:pPr>
            <w:r>
              <w:rPr>
                <w:sz w:val="19"/>
                <w:szCs w:val="19"/>
              </w:rPr>
              <w:t xml:space="preserve">feste EV Voll: (10 × 13,00 + 20 × 10,90) / 30 = 348,00 / 30 = </w:t>
            </w:r>
            <w:r>
              <w:rPr>
                <w:b/>
                <w:bCs/>
                <w:sz w:val="19"/>
                <w:szCs w:val="19"/>
              </w:rPr>
              <w:t xml:space="preserve">11,60 ct/kWh</w:t>
            </w:r>
            <w:r>
              <w:rPr>
                <w:sz w:val="19"/>
                <w:szCs w:val="19"/>
              </w:rPr>
              <w:t xml:space="preserve"> ✓ (exakt)</w:t>
            </w:r>
          </w:p>
          <w:p>
            <w:pPr>
              <w:spacing w:after="30" w:before="30" w:line="250"/>
            </w:pPr>
            <w:r>
              <w:rPr>
                <w:sz w:val="19"/>
                <w:szCs w:val="19"/>
              </w:rPr>
              <w:t xml:space="preserve">anzulegender Wert Teil: (10 × 8,60 + 20 × 7,50) / 30 = 236,00 / 30 = 7,8667 → </w:t>
            </w:r>
            <w:r>
              <w:rPr>
                <w:b/>
                <w:bCs/>
                <w:sz w:val="19"/>
                <w:szCs w:val="19"/>
              </w:rPr>
              <w:t xml:space="preserve">7,87 ct/kWh</w:t>
            </w:r>
            <w:r>
              <w:rPr>
                <w:sz w:val="19"/>
                <w:szCs w:val="19"/>
              </w:rPr>
              <w:t xml:space="preserve"> ✓</w:t>
            </w:r>
          </w:p>
          <w:p>
            <w:pPr>
              <w:spacing w:after="30" w:before="30" w:line="250"/>
            </w:pPr>
            <w:r>
              <w:rPr>
                <w:sz w:val="19"/>
                <w:szCs w:val="19"/>
              </w:rPr>
              <w:t xml:space="preserve">anzulegender Wert Voll: (10 × 13,40 + 20 × 11,30) / 30 = 360,00 / 30 = </w:t>
            </w:r>
            <w:r>
              <w:rPr>
                <w:b/>
                <w:bCs/>
                <w:sz w:val="19"/>
                <w:szCs w:val="19"/>
              </w:rPr>
              <w:t xml:space="preserve">12,00 ct/kWh</w:t>
            </w:r>
          </w:p>
          <w:p>
            <w:pPr>
              <w:spacing w:after="30" w:before="30" w:line="250"/>
            </w:pPr>
            <w:r>
              <w:rPr>
                <w:sz w:val="19"/>
                <w:szCs w:val="19"/>
              </w:rPr>
              <w:t xml:space="preserve">Zuschlag Volleinspeisung: 12,00 − 7,87 = </w:t>
            </w:r>
            <w:r>
              <w:rPr>
                <w:b/>
                <w:bCs/>
                <w:sz w:val="19"/>
                <w:szCs w:val="19"/>
              </w:rPr>
              <w:t xml:space="preserve">4,13 ct/kWh</w:t>
            </w:r>
            <w:r>
              <w:rPr>
                <w:sz w:val="19"/>
                <w:szCs w:val="19"/>
              </w:rPr>
              <w:t xml:space="preserve"> ✓</w:t>
            </w:r>
          </w:p>
          <w:p>
            <w:pPr>
              <w:spacing w:after="30" w:before="30" w:line="250"/>
            </w:pPr>
            <w:r>
              <w:rPr>
                <w:sz w:val="19"/>
                <w:szCs w:val="19"/>
              </w:rPr>
              <w:t xml:space="preserve">Ausfallvergütung: 0,80 × 7,87 = 6,296 → </w:t>
            </w:r>
            <w:r>
              <w:rPr>
                <w:b/>
                <w:bCs/>
                <w:sz w:val="19"/>
                <w:szCs w:val="19"/>
              </w:rPr>
              <w:t xml:space="preserve">6,30 ct/kWh</w:t>
            </w:r>
            <w:r>
              <w:rPr>
                <w:sz w:val="19"/>
                <w:szCs w:val="19"/>
              </w:rPr>
              <w:t xml:space="preserve"> ✓</w:t>
            </w:r>
          </w:p>
          <w:p>
            <w:pPr>
              <w:spacing w:after="30" w:before="30" w:line="250"/>
            </w:pPr>
            <w:r>
              <w:rPr>
                <w:sz w:val="19"/>
                <w:szCs w:val="19"/>
              </w:rPr>
              <w:t xml:space="preserve">Gegenprobe: 7,47 + 4,13 = </w:t>
            </w:r>
            <w:r>
              <w:rPr>
                <w:b/>
                <w:bCs/>
                <w:sz w:val="19"/>
                <w:szCs w:val="19"/>
              </w:rPr>
              <w:t xml:space="preserve">11,60 ct/kWh</w:t>
            </w:r>
            <w:r>
              <w:rPr>
                <w:sz w:val="19"/>
                <w:szCs w:val="19"/>
              </w:rPr>
              <w:t xml:space="preserve"> ✓ – der Mischsatz der festen Volleinspeisevergütung stimmt mit der Summe aus Teilsatz und Zuschlag überein.</w:t>
            </w:r>
          </w:p>
        </w:tc>
      </w:tr>
    </w:tbl>
    <w:p>
      <w:pPr>
        <w:spacing w:after="160"/>
      </w:pPr>
      <w:r>
        <w:rPr>
          <w:sz w:val="8"/>
          <w:szCs w:val="8"/>
        </w:rPr>
        <w:t xml:space="preserve"/>
      </w:r>
    </w:p>
    <w:p>
      <w:r>
        <w:rPr>
          <w:b/>
          <w:bCs/>
        </w:rPr>
        <w:t xml:space="preserve">Alle fünf Sätze sind damit nachvollziehbar und in sich konsistent.</w:t>
      </w:r>
      <w:r>
        <w:t xml:space="preserve"> Ein Detail zur Rundung: Die Ausfallvergütung wird offenbar aus dem </w:t>
      </w:r>
      <w:r>
        <w:rPr>
          <w:b/>
          <w:bCs/>
        </w:rPr>
        <w:t xml:space="preserve">bereits gerundeten</w:t>
      </w:r>
      <w:r>
        <w:t xml:space="preserve"> anzulegenden Wert gebildet (0,80 × 7,87 = 6,296 → 6,30); aus dem unrundeten Wert ergäbe sich 0,80 × 7,8667 = 6,2933 → 6,29.</w:t>
      </w:r>
    </w:p>
    <w:p>
      <w:pPr>
        <w:spacing w:after="100" w:before="160"/>
      </w:pPr>
      <w:r>
        <w:t xml:space="preserve">Die folgenden Felder sind </w:t>
      </w:r>
      <w:r>
        <w:rPr>
          <w:b/>
          <w:bCs/>
        </w:rPr>
        <w:t xml:space="preserve">editierbare Eingaben mit Voreinstellung</w:t>
      </w:r>
      <w:r>
        <w:t xml:space="preserve"> [29]:</w:t>
      </w:r>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400"/>
        <w:gridCol w:w="2600"/>
        <w:gridCol w:w="4638"/>
      </w:tblGrid>
      <w:tr>
        <w:trPr>
          <w:tblHeader/>
        </w:trPr>
        <w:tc>
          <w:tcPr>
            <w:tcW w:type="dxa" w:w="2400"/>
            <w:shd w:fill="1F3864" w:color="auto" w:val="clear"/>
            <w:vAlign w:val="center"/>
          </w:tcPr>
          <w:p>
            <w:pPr>
              <w:spacing w:after="30" w:before="30" w:line="230"/>
              <w:jc w:val="left"/>
            </w:pPr>
            <w:r>
              <w:rPr>
                <w:b/>
                <w:bCs/>
                <w:color w:val="FFFFFF"/>
                <w:sz w:val="17"/>
                <w:szCs w:val="17"/>
              </w:rPr>
              <w:t xml:space="preserve">Feld</w:t>
            </w:r>
          </w:p>
        </w:tc>
        <w:tc>
          <w:tcPr>
            <w:tcW w:type="dxa" w:w="2600"/>
            <w:shd w:fill="1F3864" w:color="auto" w:val="clear"/>
            <w:vAlign w:val="center"/>
          </w:tcPr>
          <w:p>
            <w:pPr>
              <w:spacing w:after="30" w:before="30" w:line="230"/>
              <w:jc w:val="left"/>
            </w:pPr>
            <w:r>
              <w:rPr>
                <w:b/>
                <w:bCs/>
                <w:color w:val="FFFFFF"/>
                <w:sz w:val="17"/>
                <w:szCs w:val="17"/>
              </w:rPr>
              <w:t xml:space="preserve">Voreinstellung</w:t>
            </w:r>
          </w:p>
        </w:tc>
        <w:tc>
          <w:tcPr>
            <w:tcW w:type="dxa" w:w="4638"/>
            <w:shd w:fill="1F3864" w:color="auto" w:val="clear"/>
            <w:vAlign w:val="center"/>
          </w:tcPr>
          <w:p>
            <w:pPr>
              <w:spacing w:after="30" w:before="30" w:line="230"/>
              <w:jc w:val="left"/>
            </w:pPr>
            <w:r>
              <w:rPr>
                <w:b/>
                <w:bCs/>
                <w:color w:val="FFFFFF"/>
                <w:sz w:val="17"/>
                <w:szCs w:val="17"/>
              </w:rPr>
              <w:t xml:space="preserve">Bemerkung</w:t>
            </w:r>
          </w:p>
        </w:tc>
      </w:tr>
      <w:tr>
        <w:tc>
          <w:tcPr>
            <w:tcW w:type="dxa" w:w="2400"/>
            <w:vAlign w:val="center"/>
          </w:tcPr>
          <w:p>
            <w:pPr>
              <w:spacing w:after="30" w:before="30" w:line="230"/>
              <w:jc w:val="left"/>
            </w:pPr>
            <w:r>
              <w:rPr>
                <w:b/>
                <w:bCs/>
                <w:sz w:val="17"/>
                <w:szCs w:val="17"/>
              </w:rPr>
              <w:t xml:space="preserve">EEG-Mieterstromzuschlag</w:t>
            </w:r>
          </w:p>
        </w:tc>
        <w:tc>
          <w:tcPr>
            <w:tcW w:type="dxa" w:w="2600"/>
            <w:vAlign w:val="center"/>
          </w:tcPr>
          <w:p>
            <w:pPr>
              <w:spacing w:after="30" w:before="30" w:line="230"/>
              <w:jc w:val="left"/>
            </w:pPr>
            <w:r>
              <w:rPr>
                <w:b w:val="false"/>
                <w:bCs w:val="false"/>
                <w:sz w:val="17"/>
                <w:szCs w:val="17"/>
              </w:rPr>
              <w:t xml:space="preserve">2,62 ct/kWh (Plan Überschuss) bzw. 2,54 ct/kWh (Plan Volleinspeisung)</w:t>
            </w:r>
          </w:p>
        </w:tc>
        <w:tc>
          <w:tcPr>
            <w:tcW w:type="dxa" w:w="4638"/>
            <w:vAlign w:val="center"/>
          </w:tcPr>
          <w:p>
            <w:pPr>
              <w:spacing w:after="30" w:before="30" w:line="230"/>
              <w:jc w:val="left"/>
            </w:pPr>
            <w:r>
              <w:rPr>
                <w:b w:val="false"/>
                <w:bCs w:val="false"/>
                <w:sz w:val="17"/>
                <w:szCs w:val="17"/>
              </w:rPr>
              <w:t xml:space="preserve">2,54 ist der rechnerische Mischwert für 30 kWp aus 2,67 / 2,48 ct/kWh: (10 × 2,67 + 20 × 2,48) / 30 = 2,5433 → 2,54 ✓. Der abweichende Wert 2,62 im Plan „Überschuss“ lässt sich aus den erfassten Daten </w:t>
            </w:r>
            <w:r>
              <w:rPr>
                <w:b/>
                <w:bCs/>
                <w:sz w:val="17"/>
                <w:szCs w:val="17"/>
              </w:rPr>
              <w:t xml:space="preserve">nicht</w:t>
            </w:r>
            <w:r>
              <w:rPr>
                <w:b w:val="false"/>
                <w:bCs w:val="false"/>
                <w:sz w:val="17"/>
                <w:szCs w:val="17"/>
              </w:rPr>
              <w:t xml:space="preserve"> herleiten – vor Verwendung prüfen.</w:t>
            </w:r>
          </w:p>
        </w:tc>
      </w:tr>
      <w:tr>
        <w:tc>
          <w:tcPr>
            <w:tcW w:type="dxa" w:w="2400"/>
            <w:shd w:fill="F2F5FA" w:color="auto" w:val="clear"/>
            <w:vAlign w:val="center"/>
          </w:tcPr>
          <w:p>
            <w:pPr>
              <w:spacing w:after="30" w:before="30" w:line="230"/>
              <w:jc w:val="left"/>
            </w:pPr>
            <w:r>
              <w:rPr>
                <w:b/>
                <w:bCs/>
                <w:sz w:val="17"/>
                <w:szCs w:val="17"/>
              </w:rPr>
              <w:t xml:space="preserve">Vermarktungspauschale geförderte DV</w:t>
            </w:r>
          </w:p>
        </w:tc>
        <w:tc>
          <w:tcPr>
            <w:tcW w:type="dxa" w:w="2600"/>
            <w:shd w:fill="F2F5FA" w:color="auto" w:val="clear"/>
            <w:vAlign w:val="center"/>
          </w:tcPr>
          <w:p>
            <w:pPr>
              <w:spacing w:after="30" w:before="30" w:line="230"/>
              <w:jc w:val="left"/>
            </w:pPr>
            <w:r>
              <w:rPr>
                <w:b w:val="false"/>
                <w:bCs w:val="false"/>
                <w:sz w:val="17"/>
                <w:szCs w:val="17"/>
              </w:rPr>
              <w:t xml:space="preserve">0,40 ct/kWh</w:t>
            </w:r>
          </w:p>
        </w:tc>
        <w:tc>
          <w:tcPr>
            <w:tcW w:type="dxa" w:w="4638"/>
            <w:shd w:fill="F2F5FA" w:color="auto" w:val="clear"/>
            <w:vAlign w:val="center"/>
          </w:tcPr>
          <w:p>
            <w:pPr>
              <w:spacing w:after="30" w:before="30" w:line="230"/>
              <w:jc w:val="left"/>
            </w:pPr>
            <w:r>
              <w:rPr>
                <w:b w:val="false"/>
                <w:bCs w:val="false"/>
                <w:sz w:val="17"/>
                <w:szCs w:val="17"/>
              </w:rPr>
              <w:t xml:space="preserve">Managementprämie ausgegraut</w:t>
            </w:r>
          </w:p>
        </w:tc>
      </w:tr>
      <w:tr>
        <w:tc>
          <w:tcPr>
            <w:tcW w:type="dxa" w:w="2400"/>
            <w:vAlign w:val="center"/>
          </w:tcPr>
          <w:p>
            <w:pPr>
              <w:spacing w:after="30" w:before="30" w:line="230"/>
              <w:jc w:val="left"/>
            </w:pPr>
            <w:r>
              <w:rPr>
                <w:b/>
                <w:bCs/>
                <w:sz w:val="17"/>
                <w:szCs w:val="17"/>
              </w:rPr>
              <w:t xml:space="preserve">Ausschreibungsmodell</w:t>
            </w:r>
          </w:p>
        </w:tc>
        <w:tc>
          <w:tcPr>
            <w:tcW w:type="dxa" w:w="2600"/>
            <w:vAlign w:val="center"/>
          </w:tcPr>
          <w:p>
            <w:pPr>
              <w:spacing w:after="30" w:before="30" w:line="230"/>
              <w:jc w:val="left"/>
            </w:pPr>
            <w:r>
              <w:rPr>
                <w:b w:val="false"/>
                <w:bCs w:val="false"/>
                <w:sz w:val="17"/>
                <w:szCs w:val="17"/>
              </w:rPr>
              <w:t xml:space="preserve">–</w:t>
            </w:r>
          </w:p>
        </w:tc>
        <w:tc>
          <w:tcPr>
            <w:tcW w:type="dxa" w:w="4638"/>
            <w:vAlign w:val="center"/>
          </w:tcPr>
          <w:p>
            <w:pPr>
              <w:spacing w:after="30" w:before="30" w:line="230"/>
              <w:jc w:val="left"/>
            </w:pPr>
            <w:r>
              <w:rPr>
                <w:b w:val="false"/>
                <w:bCs w:val="false"/>
                <w:sz w:val="17"/>
                <w:szCs w:val="17"/>
              </w:rPr>
              <w:t xml:space="preserve">ausgegraut, da unter 100 kWp bzw. Gebäudeanlage; ebenso der Agri-PV-Zuschlag</w:t>
            </w:r>
          </w:p>
        </w:tc>
      </w:tr>
      <w:tr>
        <w:tc>
          <w:tcPr>
            <w:tcW w:type="dxa" w:w="2400"/>
            <w:shd w:fill="F2F5FA" w:color="auto" w:val="clear"/>
            <w:vAlign w:val="center"/>
          </w:tcPr>
          <w:p>
            <w:pPr>
              <w:spacing w:after="30" w:before="30" w:line="230"/>
              <w:jc w:val="left"/>
            </w:pPr>
            <w:r>
              <w:rPr>
                <w:b/>
                <w:bCs/>
                <w:sz w:val="17"/>
                <w:szCs w:val="17"/>
              </w:rPr>
              <w:t xml:space="preserve">Sonstige Direktvermarktung</w:t>
            </w:r>
          </w:p>
        </w:tc>
        <w:tc>
          <w:tcPr>
            <w:tcW w:type="dxa" w:w="2600"/>
            <w:shd w:fill="F2F5FA" w:color="auto" w:val="clear"/>
            <w:vAlign w:val="center"/>
          </w:tcPr>
          <w:p>
            <w:pPr>
              <w:spacing w:after="30" w:before="30" w:line="230"/>
              <w:jc w:val="left"/>
            </w:pPr>
            <w:r>
              <w:rPr>
                <w:b w:val="false"/>
                <w:bCs w:val="false"/>
                <w:sz w:val="17"/>
                <w:szCs w:val="17"/>
              </w:rPr>
              <w:t xml:space="preserve">4,00 ct/kWh, Vermarktungspauschale 0,40 ct/kWh</w:t>
            </w:r>
          </w:p>
        </w:tc>
        <w:tc>
          <w:tcPr>
            <w:tcW w:type="dxa" w:w="4638"/>
            <w:shd w:fill="F2F5FA" w:color="auto" w:val="clear"/>
            <w:vAlign w:val="center"/>
          </w:tcPr>
          <w:p>
            <w:pPr>
              <w:spacing w:after="30" w:before="30" w:line="230"/>
              <w:jc w:val="left"/>
            </w:pPr>
            <w:r>
              <w:rPr>
                <w:b w:val="false"/>
                <w:bCs w:val="false"/>
                <w:sz w:val="17"/>
                <w:szCs w:val="17"/>
              </w:rPr>
              <w:t xml:space="preserve">frei wählbar</w:t>
            </w:r>
          </w:p>
        </w:tc>
      </w:tr>
      <w:tr>
        <w:tc>
          <w:tcPr>
            <w:tcW w:type="dxa" w:w="2400"/>
            <w:vAlign w:val="center"/>
          </w:tcPr>
          <w:p>
            <w:pPr>
              <w:spacing w:after="30" w:before="30" w:line="230"/>
              <w:jc w:val="left"/>
            </w:pPr>
            <w:r>
              <w:rPr>
                <w:b/>
                <w:bCs/>
                <w:sz w:val="17"/>
                <w:szCs w:val="17"/>
              </w:rPr>
              <w:t xml:space="preserve">Freier Vergütungssatz</w:t>
            </w:r>
          </w:p>
        </w:tc>
        <w:tc>
          <w:tcPr>
            <w:tcW w:type="dxa" w:w="2600"/>
            <w:vAlign w:val="center"/>
          </w:tcPr>
          <w:p>
            <w:pPr>
              <w:spacing w:after="30" w:before="30" w:line="230"/>
              <w:jc w:val="left"/>
            </w:pPr>
            <w:r>
              <w:rPr>
                <w:b w:val="false"/>
                <w:bCs w:val="false"/>
                <w:sz w:val="17"/>
                <w:szCs w:val="17"/>
              </w:rPr>
              <w:t xml:space="preserve">8,00 ct/kWh</w:t>
            </w:r>
          </w:p>
        </w:tc>
        <w:tc>
          <w:tcPr>
            <w:tcW w:type="dxa" w:w="4638"/>
            <w:vAlign w:val="center"/>
          </w:tcPr>
          <w:p>
            <w:pPr>
              <w:spacing w:after="30" w:before="30" w:line="230"/>
              <w:jc w:val="left"/>
            </w:pPr>
            <w:r>
              <w:rPr>
                <w:b w:val="false"/>
                <w:bCs w:val="false"/>
                <w:sz w:val="17"/>
                <w:szCs w:val="17"/>
              </w:rPr>
              <w:t xml:space="preserve">für Betrachtungen nach dem Förderende</w:t>
            </w:r>
          </w:p>
        </w:tc>
      </w:tr>
      <w:tr>
        <w:tc>
          <w:tcPr>
            <w:tcW w:type="dxa" w:w="2400"/>
            <w:shd w:fill="F2F5FA" w:color="auto" w:val="clear"/>
            <w:vAlign w:val="center"/>
          </w:tcPr>
          <w:p>
            <w:pPr>
              <w:spacing w:after="30" w:before="30" w:line="230"/>
              <w:jc w:val="left"/>
            </w:pPr>
            <w:r>
              <w:rPr>
                <w:b/>
                <w:bCs/>
                <w:sz w:val="17"/>
                <w:szCs w:val="17"/>
              </w:rPr>
              <w:t xml:space="preserve">Marktwert Solar</w:t>
            </w:r>
          </w:p>
        </w:tc>
        <w:tc>
          <w:tcPr>
            <w:tcW w:type="dxa" w:w="2600"/>
            <w:shd w:fill="F2F5FA" w:color="auto" w:val="clear"/>
            <w:vAlign w:val="center"/>
          </w:tcPr>
          <w:p>
            <w:pPr>
              <w:spacing w:after="30" w:before="30" w:line="230"/>
              <w:jc w:val="left"/>
            </w:pPr>
            <w:r>
              <w:rPr>
                <w:b w:val="false"/>
                <w:bCs w:val="false"/>
                <w:sz w:val="17"/>
                <w:szCs w:val="17"/>
              </w:rPr>
              <w:t xml:space="preserve">3,50 ct/kWh</w:t>
            </w:r>
          </w:p>
        </w:tc>
        <w:tc>
          <w:tcPr>
            <w:tcW w:type="dxa" w:w="4638"/>
            <w:shd w:fill="F2F5FA" w:color="auto" w:val="clear"/>
            <w:vAlign w:val="center"/>
          </w:tcPr>
          <w:p>
            <w:pPr>
              <w:spacing w:after="30" w:before="30" w:line="230"/>
              <w:jc w:val="left"/>
            </w:pPr>
            <w:r>
              <w:rPr>
                <w:b w:val="false"/>
                <w:bCs w:val="false"/>
                <w:sz w:val="17"/>
                <w:szCs w:val="17"/>
              </w:rPr>
              <w:t xml:space="preserve">Prognosewert; zum Vergleich Jahresmarktwert 2025: 4,508 ct/kWh [7][8]</w:t>
            </w:r>
          </w:p>
        </w:tc>
      </w:tr>
    </w:tbl>
    <w:p>
      <w:pPr>
        <w:spacing w:after="160"/>
      </w:pPr>
      <w:r>
        <w:rPr>
          <w:sz w:val="8"/>
          <w:szCs w:val="8"/>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90"/>
          <w:left w:type="dxa" w:w="150"/>
          <w:bottom w:type="dxa" w:w="90"/>
          <w:right w:type="dxa" w:w="150"/>
        </w:tblCellMar>
      </w:tblPr>
      <w:tblGrid>
        <w:gridCol w:w="9638"/>
      </w:tblGrid>
      <w:tr>
        <w:trPr>
          <w:cantSplit/>
        </w:trPr>
        <w:tc>
          <w:tcPr>
            <w:tcW w:type="dxa" w:w="9638"/>
            <w:tcBorders>
              <w:top w:val="single" w:color="C00000" w:sz="2"/>
              <w:left w:val="single" w:color="C00000" w:sz="24"/>
              <w:bottom w:val="single" w:color="C00000" w:sz="2"/>
              <w:right w:val="single" w:color="C00000" w:sz="2"/>
            </w:tcBorders>
            <w:shd w:fill="FDEDEC" w:color="auto" w:val="clear"/>
          </w:tcPr>
          <w:p>
            <w:pPr>
              <w:spacing w:after="80" w:before="40"/>
            </w:pPr>
            <w:r>
              <w:rPr>
                <w:b/>
                <w:bCs/>
                <w:color w:val="C00000"/>
                <w:sz w:val="20"/>
                <w:szCs w:val="20"/>
              </w:rPr>
              <w:t xml:space="preserve">Zwei Warnhinweise für die Beratungspraxis</w:t>
            </w:r>
          </w:p>
          <w:p>
            <w:pPr>
              <w:spacing w:after="60" w:before="40" w:line="250"/>
            </w:pPr>
            <w:r>
              <w:rPr>
                <w:b/>
                <w:bCs/>
                <w:sz w:val="19"/>
                <w:szCs w:val="19"/>
              </w:rPr>
              <w:t xml:space="preserve">Erstens</w:t>
            </w:r>
            <w:r>
              <w:rPr>
                <w:sz w:val="19"/>
                <w:szCs w:val="19"/>
              </w:rPr>
              <w:t xml:space="preserve"> weist das Tool die Ausfallvergütung mit 6,30 ct/kWh aus, obwohl der Anspruch aus § 21 Abs. 1 S. 1 Nr. 3 i. V. m. § 53 Abs. 3 EEG </w:t>
            </w:r>
            <w:r>
              <w:rPr>
                <w:b/>
                <w:bCs/>
                <w:sz w:val="19"/>
                <w:szCs w:val="19"/>
              </w:rPr>
              <w:t xml:space="preserve">nur Anlagen über 100 kW</w:t>
            </w:r>
            <w:r>
              <w:rPr>
                <w:sz w:val="19"/>
                <w:szCs w:val="19"/>
              </w:rPr>
              <w:t xml:space="preserve"> zusteht [4]; bei 30 kWp handelt es sich also um einen rechnerischen Vergleichswert, nicht um eine verfügbare Option.</w:t>
            </w:r>
          </w:p>
          <w:p>
            <w:pPr>
              <w:spacing w:after="60" w:before="40" w:line="250"/>
            </w:pPr>
            <w:r>
              <w:rPr>
                <w:b/>
                <w:bCs/>
                <w:sz w:val="19"/>
                <w:szCs w:val="19"/>
              </w:rPr>
              <w:t xml:space="preserve">Zweitens</w:t>
            </w:r>
            <w:r>
              <w:rPr>
                <w:sz w:val="19"/>
                <w:szCs w:val="19"/>
              </w:rPr>
              <w:t xml:space="preserve"> enthält das Tool den Hinweis, dass Werte ab dem 16.05.2024 den Aufschlag von +1,5 ct/kWh für Anlagen ab 40 kWp berücksichtigen und die beihilferechtliche Genehmigung der EU-Kommission noch ausstehe [29]. Dieser Aufschlag ist gesetzlich vorgesehen, aber </w:t>
            </w:r>
            <w:r>
              <w:rPr>
                <w:b/>
                <w:bCs/>
                <w:sz w:val="19"/>
                <w:szCs w:val="19"/>
              </w:rPr>
              <w:t xml:space="preserve">nach § 101 EEG mangels EU-Genehmigung nicht anwendbar (Stand 25.08.2026)</w:t>
            </w:r>
            <w:r>
              <w:rPr>
                <w:sz w:val="19"/>
                <w:szCs w:val="19"/>
              </w:rPr>
              <w:t xml:space="preserve"> – Ergebnisse für Anlagen ab 40 kWp mit Inbetriebnahme ab 16.05.2024 sind deshalb vor der Weitergabe an Kunden zu prüfen.</w:t>
            </w:r>
          </w:p>
        </w:tc>
      </w:tr>
    </w:tbl>
    <w:p>
      <w:pPr>
        <w:pStyle w:val="Heading2"/>
      </w:pPr>
      <w:bookmarkStart w:id="900040" w:name="_Toc90000040"/>
      <w:r>
        <w:t xml:space="preserve">C4  Kennzahlen-Duell und wirtschaftliche Interpretation</w:t>
      </w:r>
      <w:bookmarkEnd w:id="900040"/>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700"/>
        <w:gridCol w:w="2250"/>
        <w:gridCol w:w="2250"/>
        <w:gridCol w:w="2438"/>
      </w:tblGrid>
      <w:tr>
        <w:trPr>
          <w:tblHeader/>
        </w:trPr>
        <w:tc>
          <w:tcPr>
            <w:tcW w:type="dxa" w:w="2700"/>
            <w:shd w:fill="1F3864" w:color="auto" w:val="clear"/>
            <w:vAlign w:val="center"/>
          </w:tcPr>
          <w:p>
            <w:pPr>
              <w:spacing w:after="30" w:before="30" w:line="230"/>
              <w:jc w:val="left"/>
            </w:pPr>
            <w:r>
              <w:rPr>
                <w:b/>
                <w:bCs/>
                <w:color w:val="FFFFFF"/>
                <w:sz w:val="17"/>
                <w:szCs w:val="17"/>
              </w:rPr>
              <w:t xml:space="preserve">Kennzahl</w:t>
            </w:r>
          </w:p>
        </w:tc>
        <w:tc>
          <w:tcPr>
            <w:tcW w:type="dxa" w:w="2250"/>
            <w:shd w:fill="1F3864" w:color="auto" w:val="clear"/>
            <w:vAlign w:val="center"/>
          </w:tcPr>
          <w:p>
            <w:pPr>
              <w:spacing w:after="30" w:before="30" w:line="230"/>
              <w:jc w:val="center"/>
            </w:pPr>
            <w:r>
              <w:rPr>
                <w:b/>
                <w:bCs/>
                <w:color w:val="FFFFFF"/>
                <w:sz w:val="17"/>
                <w:szCs w:val="17"/>
              </w:rPr>
              <w:t xml:space="preserve">Plan „Überschuss“</w:t>
            </w:r>
          </w:p>
        </w:tc>
        <w:tc>
          <w:tcPr>
            <w:tcW w:type="dxa" w:w="2250"/>
            <w:shd w:fill="1F3864" w:color="auto" w:val="clear"/>
            <w:vAlign w:val="center"/>
          </w:tcPr>
          <w:p>
            <w:pPr>
              <w:spacing w:after="30" w:before="30" w:line="230"/>
              <w:jc w:val="center"/>
            </w:pPr>
            <w:r>
              <w:rPr>
                <w:b/>
                <w:bCs/>
                <w:color w:val="FFFFFF"/>
                <w:sz w:val="17"/>
                <w:szCs w:val="17"/>
              </w:rPr>
              <w:t xml:space="preserve">Plan „Volleinspeisung“</w:t>
            </w:r>
          </w:p>
        </w:tc>
        <w:tc>
          <w:tcPr>
            <w:tcW w:type="dxa" w:w="2438"/>
            <w:shd w:fill="1F3864" w:color="auto" w:val="clear"/>
            <w:vAlign w:val="center"/>
          </w:tcPr>
          <w:p>
            <w:pPr>
              <w:spacing w:after="30" w:before="30" w:line="230"/>
              <w:jc w:val="center"/>
            </w:pPr>
            <w:r>
              <w:rPr>
                <w:b/>
                <w:bCs/>
                <w:color w:val="FFFFFF"/>
                <w:sz w:val="17"/>
                <w:szCs w:val="17"/>
              </w:rPr>
              <w:t xml:space="preserve">Delta (Überschuss − Volleinspeisung)</w:t>
            </w:r>
          </w:p>
        </w:tc>
      </w:tr>
      <w:tr>
        <w:tc>
          <w:tcPr>
            <w:tcW w:type="dxa" w:w="2700"/>
            <w:vAlign w:val="center"/>
          </w:tcPr>
          <w:p>
            <w:pPr>
              <w:spacing w:after="30" w:before="30" w:line="230"/>
              <w:jc w:val="left"/>
            </w:pPr>
            <w:r>
              <w:rPr>
                <w:sz w:val="17"/>
                <w:szCs w:val="17"/>
              </w:rPr>
              <w:t xml:space="preserve">Eigenkapital</w:t>
            </w:r>
          </w:p>
        </w:tc>
        <w:tc>
          <w:tcPr>
            <w:tcW w:type="dxa" w:w="2250"/>
            <w:vAlign w:val="center"/>
          </w:tcPr>
          <w:p>
            <w:pPr>
              <w:spacing w:after="30" w:before="30" w:line="230"/>
              <w:jc w:val="center"/>
            </w:pPr>
            <w:r>
              <w:rPr>
                <w:sz w:val="17"/>
                <w:szCs w:val="17"/>
              </w:rPr>
              <w:t xml:space="preserve">54.000 € (100 %)</w:t>
            </w:r>
          </w:p>
        </w:tc>
        <w:tc>
          <w:tcPr>
            <w:tcW w:type="dxa" w:w="2250"/>
            <w:vAlign w:val="center"/>
          </w:tcPr>
          <w:p>
            <w:pPr>
              <w:spacing w:after="30" w:before="30" w:line="230"/>
              <w:jc w:val="center"/>
            </w:pPr>
            <w:r>
              <w:rPr>
                <w:sz w:val="17"/>
                <w:szCs w:val="17"/>
              </w:rPr>
              <w:t xml:space="preserve">54.000 € (100 %)</w:t>
            </w:r>
          </w:p>
        </w:tc>
        <w:tc>
          <w:tcPr>
            <w:tcW w:type="dxa" w:w="2438"/>
            <w:vAlign w:val="center"/>
          </w:tcPr>
          <w:p>
            <w:pPr>
              <w:spacing w:after="30" w:before="30" w:line="230"/>
              <w:jc w:val="center"/>
            </w:pPr>
            <w:r>
              <w:rPr>
                <w:sz w:val="17"/>
                <w:szCs w:val="17"/>
              </w:rPr>
              <w:t xml:space="preserve">0 €</w:t>
            </w:r>
          </w:p>
        </w:tc>
      </w:tr>
      <w:tr>
        <w:tc>
          <w:tcPr>
            <w:tcW w:type="dxa" w:w="2700"/>
            <w:shd w:fill="F2F5FA" w:color="auto" w:val="clear"/>
            <w:vAlign w:val="center"/>
          </w:tcPr>
          <w:p>
            <w:pPr>
              <w:spacing w:after="30" w:before="30" w:line="230"/>
              <w:jc w:val="left"/>
            </w:pPr>
            <w:r>
              <w:rPr>
                <w:sz w:val="17"/>
                <w:szCs w:val="17"/>
              </w:rPr>
              <w:t xml:space="preserve">Kalkulationszinssatz</w:t>
            </w:r>
          </w:p>
        </w:tc>
        <w:tc>
          <w:tcPr>
            <w:tcW w:type="dxa" w:w="2250"/>
            <w:shd w:fill="F2F5FA" w:color="auto" w:val="clear"/>
            <w:vAlign w:val="center"/>
          </w:tcPr>
          <w:p>
            <w:pPr>
              <w:spacing w:after="30" w:before="30" w:line="230"/>
              <w:jc w:val="center"/>
            </w:pPr>
            <w:r>
              <w:rPr>
                <w:sz w:val="17"/>
                <w:szCs w:val="17"/>
              </w:rPr>
              <w:t xml:space="preserve">3,50 %</w:t>
            </w:r>
          </w:p>
        </w:tc>
        <w:tc>
          <w:tcPr>
            <w:tcW w:type="dxa" w:w="2250"/>
            <w:shd w:fill="F2F5FA" w:color="auto" w:val="clear"/>
            <w:vAlign w:val="center"/>
          </w:tcPr>
          <w:p>
            <w:pPr>
              <w:spacing w:after="30" w:before="30" w:line="230"/>
              <w:jc w:val="center"/>
            </w:pPr>
            <w:r>
              <w:rPr>
                <w:sz w:val="17"/>
                <w:szCs w:val="17"/>
              </w:rPr>
              <w:t xml:space="preserve">3,50 %</w:t>
            </w:r>
          </w:p>
        </w:tc>
        <w:tc>
          <w:tcPr>
            <w:tcW w:type="dxa" w:w="2438"/>
            <w:shd w:fill="F2F5FA" w:color="auto" w:val="clear"/>
            <w:vAlign w:val="center"/>
          </w:tcPr>
          <w:p>
            <w:pPr>
              <w:spacing w:after="30" w:before="30" w:line="230"/>
              <w:jc w:val="center"/>
            </w:pPr>
            <w:r>
              <w:rPr>
                <w:sz w:val="17"/>
                <w:szCs w:val="17"/>
              </w:rPr>
              <w:t xml:space="preserve">0,00 %-Punkte</w:t>
            </w:r>
          </w:p>
        </w:tc>
      </w:tr>
      <w:tr>
        <w:tc>
          <w:tcPr>
            <w:tcW w:type="dxa" w:w="2700"/>
            <w:vAlign w:val="center"/>
          </w:tcPr>
          <w:p>
            <w:pPr>
              <w:spacing w:after="30" w:before="30" w:line="230"/>
              <w:jc w:val="left"/>
            </w:pPr>
            <w:r>
              <w:rPr>
                <w:b/>
                <w:bCs/>
                <w:sz w:val="17"/>
                <w:szCs w:val="17"/>
              </w:rPr>
              <w:t xml:space="preserve">Kapitalwert</w:t>
            </w:r>
          </w:p>
        </w:tc>
        <w:tc>
          <w:tcPr>
            <w:tcW w:type="dxa" w:w="2250"/>
            <w:vAlign w:val="center"/>
          </w:tcPr>
          <w:p>
            <w:pPr>
              <w:spacing w:after="30" w:before="30" w:line="230"/>
              <w:jc w:val="center"/>
            </w:pPr>
            <w:r>
              <w:rPr>
                <w:b/>
                <w:bCs/>
                <w:sz w:val="17"/>
                <w:szCs w:val="17"/>
              </w:rPr>
              <w:t xml:space="preserve">92.568 €</w:t>
            </w:r>
          </w:p>
        </w:tc>
        <w:tc>
          <w:tcPr>
            <w:tcW w:type="dxa" w:w="2250"/>
            <w:vAlign w:val="center"/>
          </w:tcPr>
          <w:p>
            <w:pPr>
              <w:spacing w:after="30" w:before="30" w:line="230"/>
              <w:jc w:val="center"/>
            </w:pPr>
            <w:r>
              <w:rPr>
                <w:b/>
                <w:bCs/>
                <w:sz w:val="17"/>
                <w:szCs w:val="17"/>
              </w:rPr>
              <w:t xml:space="preserve">−22.979 €</w:t>
            </w:r>
          </w:p>
        </w:tc>
        <w:tc>
          <w:tcPr>
            <w:tcW w:type="dxa" w:w="2438"/>
            <w:vAlign w:val="center"/>
          </w:tcPr>
          <w:p>
            <w:pPr>
              <w:spacing w:after="30" w:before="30" w:line="230"/>
              <w:jc w:val="center"/>
            </w:pPr>
            <w:r>
              <w:rPr>
                <w:b/>
                <w:bCs/>
                <w:sz w:val="17"/>
                <w:szCs w:val="17"/>
              </w:rPr>
              <w:t xml:space="preserve">+115.547 €</w:t>
            </w:r>
          </w:p>
        </w:tc>
      </w:tr>
      <w:tr>
        <w:tc>
          <w:tcPr>
            <w:tcW w:type="dxa" w:w="2700"/>
            <w:shd w:fill="F2F5FA" w:color="auto" w:val="clear"/>
            <w:vAlign w:val="center"/>
          </w:tcPr>
          <w:p>
            <w:pPr>
              <w:spacing w:after="30" w:before="30" w:line="230"/>
              <w:jc w:val="left"/>
            </w:pPr>
            <w:r>
              <w:rPr>
                <w:b/>
                <w:bCs/>
                <w:sz w:val="17"/>
                <w:szCs w:val="17"/>
              </w:rPr>
              <w:t xml:space="preserve">Interner Zinsfuß (IRR)</w:t>
            </w:r>
          </w:p>
        </w:tc>
        <w:tc>
          <w:tcPr>
            <w:tcW w:type="dxa" w:w="2250"/>
            <w:shd w:fill="F2F5FA" w:color="auto" w:val="clear"/>
            <w:vAlign w:val="center"/>
          </w:tcPr>
          <w:p>
            <w:pPr>
              <w:spacing w:after="30" w:before="30" w:line="230"/>
              <w:jc w:val="center"/>
            </w:pPr>
            <w:r>
              <w:rPr>
                <w:b/>
                <w:bCs/>
                <w:sz w:val="17"/>
                <w:szCs w:val="17"/>
              </w:rPr>
              <w:t xml:space="preserve">15,99 %</w:t>
            </w:r>
          </w:p>
        </w:tc>
        <w:tc>
          <w:tcPr>
            <w:tcW w:type="dxa" w:w="2250"/>
            <w:shd w:fill="F2F5FA" w:color="auto" w:val="clear"/>
            <w:vAlign w:val="center"/>
          </w:tcPr>
          <w:p>
            <w:pPr>
              <w:spacing w:after="30" w:before="30" w:line="230"/>
              <w:jc w:val="center"/>
            </w:pPr>
            <w:r>
              <w:rPr>
                <w:b/>
                <w:bCs/>
                <w:sz w:val="17"/>
                <w:szCs w:val="17"/>
              </w:rPr>
              <w:t xml:space="preserve">−2,10 %</w:t>
            </w:r>
          </w:p>
        </w:tc>
        <w:tc>
          <w:tcPr>
            <w:tcW w:type="dxa" w:w="2438"/>
            <w:shd w:fill="F2F5FA" w:color="auto" w:val="clear"/>
            <w:vAlign w:val="center"/>
          </w:tcPr>
          <w:p>
            <w:pPr>
              <w:spacing w:after="30" w:before="30" w:line="230"/>
              <w:jc w:val="center"/>
            </w:pPr>
            <w:r>
              <w:rPr>
                <w:b/>
                <w:bCs/>
                <w:sz w:val="17"/>
                <w:szCs w:val="17"/>
              </w:rPr>
              <w:t xml:space="preserve">+18,09 %-Punkte</w:t>
            </w:r>
          </w:p>
        </w:tc>
      </w:tr>
      <w:tr>
        <w:tc>
          <w:tcPr>
            <w:tcW w:type="dxa" w:w="2700"/>
            <w:vAlign w:val="center"/>
          </w:tcPr>
          <w:p>
            <w:pPr>
              <w:spacing w:after="30" w:before="30" w:line="230"/>
              <w:jc w:val="left"/>
            </w:pPr>
            <w:r>
              <w:rPr>
                <w:sz w:val="17"/>
                <w:szCs w:val="17"/>
              </w:rPr>
              <w:t xml:space="preserve">IRR nach Baldwin</w:t>
            </w:r>
          </w:p>
        </w:tc>
        <w:tc>
          <w:tcPr>
            <w:tcW w:type="dxa" w:w="2250"/>
            <w:vAlign w:val="center"/>
          </w:tcPr>
          <w:p>
            <w:pPr>
              <w:spacing w:after="30" w:before="30" w:line="230"/>
              <w:jc w:val="center"/>
            </w:pPr>
            <w:r>
              <w:rPr>
                <w:sz w:val="17"/>
                <w:szCs w:val="17"/>
              </w:rPr>
              <w:t xml:space="preserve">8,58 %</w:t>
            </w:r>
          </w:p>
        </w:tc>
        <w:tc>
          <w:tcPr>
            <w:tcW w:type="dxa" w:w="2250"/>
            <w:vAlign w:val="center"/>
          </w:tcPr>
          <w:p>
            <w:pPr>
              <w:spacing w:after="30" w:before="30" w:line="230"/>
              <w:jc w:val="center"/>
            </w:pPr>
            <w:r>
              <w:rPr>
                <w:sz w:val="17"/>
                <w:szCs w:val="17"/>
              </w:rPr>
              <w:t xml:space="preserve">0,78 %</w:t>
            </w:r>
          </w:p>
        </w:tc>
        <w:tc>
          <w:tcPr>
            <w:tcW w:type="dxa" w:w="2438"/>
            <w:vAlign w:val="center"/>
          </w:tcPr>
          <w:p>
            <w:pPr>
              <w:spacing w:after="30" w:before="30" w:line="230"/>
              <w:jc w:val="center"/>
            </w:pPr>
            <w:r>
              <w:rPr>
                <w:sz w:val="17"/>
                <w:szCs w:val="17"/>
              </w:rPr>
              <w:t xml:space="preserve">+7,80 %-Punkte</w:t>
            </w:r>
          </w:p>
        </w:tc>
      </w:tr>
      <w:tr>
        <w:tc>
          <w:tcPr>
            <w:tcW w:type="dxa" w:w="2700"/>
            <w:shd w:fill="F2F5FA" w:color="auto" w:val="clear"/>
            <w:vAlign w:val="center"/>
          </w:tcPr>
          <w:p>
            <w:pPr>
              <w:spacing w:after="30" w:before="30" w:line="230"/>
              <w:jc w:val="left"/>
            </w:pPr>
            <w:r>
              <w:rPr>
                <w:b/>
                <w:bCs/>
                <w:sz w:val="17"/>
                <w:szCs w:val="17"/>
              </w:rPr>
              <w:t xml:space="preserve">Liquiditätsüberschuss</w:t>
            </w:r>
          </w:p>
        </w:tc>
        <w:tc>
          <w:tcPr>
            <w:tcW w:type="dxa" w:w="2250"/>
            <w:shd w:fill="F2F5FA" w:color="auto" w:val="clear"/>
            <w:vAlign w:val="center"/>
          </w:tcPr>
          <w:p>
            <w:pPr>
              <w:spacing w:after="30" w:before="30" w:line="230"/>
              <w:jc w:val="center"/>
            </w:pPr>
            <w:r>
              <w:rPr>
                <w:b/>
                <w:bCs/>
                <w:sz w:val="17"/>
                <w:szCs w:val="17"/>
              </w:rPr>
              <w:t xml:space="preserve">162.850 €</w:t>
            </w:r>
          </w:p>
        </w:tc>
        <w:tc>
          <w:tcPr>
            <w:tcW w:type="dxa" w:w="2250"/>
            <w:shd w:fill="F2F5FA" w:color="auto" w:val="clear"/>
            <w:vAlign w:val="center"/>
          </w:tcPr>
          <w:p>
            <w:pPr>
              <w:spacing w:after="30" w:before="30" w:line="230"/>
              <w:jc w:val="center"/>
            </w:pPr>
            <w:r>
              <w:rPr>
                <w:b/>
                <w:bCs/>
                <w:sz w:val="17"/>
                <w:szCs w:val="17"/>
              </w:rPr>
              <w:t xml:space="preserve">−10.867 €</w:t>
            </w:r>
          </w:p>
        </w:tc>
        <w:tc>
          <w:tcPr>
            <w:tcW w:type="dxa" w:w="2438"/>
            <w:shd w:fill="F2F5FA" w:color="auto" w:val="clear"/>
            <w:vAlign w:val="center"/>
          </w:tcPr>
          <w:p>
            <w:pPr>
              <w:spacing w:after="30" w:before="30" w:line="230"/>
              <w:jc w:val="center"/>
            </w:pPr>
            <w:r>
              <w:rPr>
                <w:b/>
                <w:bCs/>
                <w:sz w:val="17"/>
                <w:szCs w:val="17"/>
              </w:rPr>
              <w:t xml:space="preserve">+173.717 €</w:t>
            </w:r>
          </w:p>
        </w:tc>
      </w:tr>
      <w:tr>
        <w:tc>
          <w:tcPr>
            <w:tcW w:type="dxa" w:w="2700"/>
            <w:vAlign w:val="center"/>
          </w:tcPr>
          <w:p>
            <w:pPr>
              <w:spacing w:after="30" w:before="30" w:line="230"/>
              <w:jc w:val="left"/>
            </w:pPr>
            <w:r>
              <w:rPr>
                <w:sz w:val="17"/>
                <w:szCs w:val="17"/>
              </w:rPr>
              <w:t xml:space="preserve">Statische Amortisation</w:t>
            </w:r>
          </w:p>
        </w:tc>
        <w:tc>
          <w:tcPr>
            <w:tcW w:type="dxa" w:w="2250"/>
            <w:vAlign w:val="center"/>
          </w:tcPr>
          <w:p>
            <w:pPr>
              <w:spacing w:after="30" w:before="30" w:line="230"/>
              <w:jc w:val="center"/>
            </w:pPr>
            <w:r>
              <w:rPr>
                <w:sz w:val="17"/>
                <w:szCs w:val="17"/>
              </w:rPr>
              <w:t xml:space="preserve">8 Jahre</w:t>
            </w:r>
          </w:p>
        </w:tc>
        <w:tc>
          <w:tcPr>
            <w:tcW w:type="dxa" w:w="2250"/>
            <w:vAlign w:val="center"/>
          </w:tcPr>
          <w:p>
            <w:pPr>
              <w:spacing w:after="30" w:before="30" w:line="230"/>
              <w:jc w:val="center"/>
            </w:pPr>
            <w:r>
              <w:rPr>
                <w:sz w:val="17"/>
                <w:szCs w:val="17"/>
              </w:rPr>
              <w:t xml:space="preserve">keine</w:t>
            </w:r>
          </w:p>
        </w:tc>
        <w:tc>
          <w:tcPr>
            <w:tcW w:type="dxa" w:w="2438"/>
            <w:vAlign w:val="center"/>
          </w:tcPr>
          <w:p>
            <w:pPr>
              <w:spacing w:after="30" w:before="30" w:line="230"/>
              <w:jc w:val="center"/>
            </w:pPr>
            <w:r>
              <w:rPr>
                <w:sz w:val="17"/>
                <w:szCs w:val="17"/>
              </w:rPr>
              <w:t xml:space="preserve">nicht bestimmbar</w:t>
            </w:r>
          </w:p>
        </w:tc>
      </w:tr>
      <w:tr>
        <w:tc>
          <w:tcPr>
            <w:tcW w:type="dxa" w:w="2700"/>
            <w:shd w:fill="F2F5FA" w:color="auto" w:val="clear"/>
            <w:vAlign w:val="center"/>
          </w:tcPr>
          <w:p>
            <w:pPr>
              <w:spacing w:after="30" w:before="30" w:line="230"/>
              <w:jc w:val="left"/>
            </w:pPr>
            <w:r>
              <w:rPr>
                <w:sz w:val="17"/>
                <w:szCs w:val="17"/>
              </w:rPr>
              <w:t xml:space="preserve">Dynamische Amortisation</w:t>
            </w:r>
          </w:p>
        </w:tc>
        <w:tc>
          <w:tcPr>
            <w:tcW w:type="dxa" w:w="2250"/>
            <w:shd w:fill="F2F5FA" w:color="auto" w:val="clear"/>
            <w:vAlign w:val="center"/>
          </w:tcPr>
          <w:p>
            <w:pPr>
              <w:spacing w:after="30" w:before="30" w:line="230"/>
              <w:jc w:val="center"/>
            </w:pPr>
            <w:r>
              <w:rPr>
                <w:sz w:val="17"/>
                <w:szCs w:val="17"/>
              </w:rPr>
              <w:t xml:space="preserve">9 Jahre</w:t>
            </w:r>
          </w:p>
        </w:tc>
        <w:tc>
          <w:tcPr>
            <w:tcW w:type="dxa" w:w="2250"/>
            <w:shd w:fill="F2F5FA" w:color="auto" w:val="clear"/>
            <w:vAlign w:val="center"/>
          </w:tcPr>
          <w:p>
            <w:pPr>
              <w:spacing w:after="30" w:before="30" w:line="230"/>
              <w:jc w:val="center"/>
            </w:pPr>
            <w:r>
              <w:rPr>
                <w:sz w:val="17"/>
                <w:szCs w:val="17"/>
              </w:rPr>
              <w:t xml:space="preserve">keine</w:t>
            </w:r>
          </w:p>
        </w:tc>
        <w:tc>
          <w:tcPr>
            <w:tcW w:type="dxa" w:w="2438"/>
            <w:shd w:fill="F2F5FA" w:color="auto" w:val="clear"/>
            <w:vAlign w:val="center"/>
          </w:tcPr>
          <w:p>
            <w:pPr>
              <w:spacing w:after="30" w:before="30" w:line="230"/>
              <w:jc w:val="center"/>
            </w:pPr>
            <w:r>
              <w:rPr>
                <w:sz w:val="17"/>
                <w:szCs w:val="17"/>
              </w:rPr>
              <w:t xml:space="preserve">nicht bestimmbar</w:t>
            </w:r>
          </w:p>
        </w:tc>
      </w:tr>
      <w:tr>
        <w:tc>
          <w:tcPr>
            <w:tcW w:type="dxa" w:w="2700"/>
            <w:vAlign w:val="center"/>
          </w:tcPr>
          <w:p>
            <w:pPr>
              <w:spacing w:after="30" w:before="30" w:line="230"/>
              <w:jc w:val="left"/>
            </w:pPr>
            <w:r>
              <w:rPr>
                <w:sz w:val="17"/>
                <w:szCs w:val="17"/>
              </w:rPr>
              <w:t xml:space="preserve">Stromgestehungskosten (mit KZS 3,5 %)</w:t>
            </w:r>
          </w:p>
        </w:tc>
        <w:tc>
          <w:tcPr>
            <w:tcW w:type="dxa" w:w="2250"/>
            <w:vAlign w:val="center"/>
          </w:tcPr>
          <w:p>
            <w:pPr>
              <w:spacing w:after="30" w:before="30" w:line="230"/>
              <w:jc w:val="center"/>
            </w:pPr>
            <w:r>
              <w:rPr>
                <w:sz w:val="17"/>
                <w:szCs w:val="17"/>
              </w:rPr>
              <w:t xml:space="preserve">17,85 ct/kWh</w:t>
            </w:r>
          </w:p>
        </w:tc>
        <w:tc>
          <w:tcPr>
            <w:tcW w:type="dxa" w:w="2250"/>
            <w:vAlign w:val="center"/>
          </w:tcPr>
          <w:p>
            <w:pPr>
              <w:spacing w:after="30" w:before="30" w:line="230"/>
              <w:jc w:val="center"/>
            </w:pPr>
            <w:r>
              <w:rPr>
                <w:sz w:val="17"/>
                <w:szCs w:val="17"/>
              </w:rPr>
              <w:t xml:space="preserve">16,47 ct/kWh</w:t>
            </w:r>
          </w:p>
        </w:tc>
        <w:tc>
          <w:tcPr>
            <w:tcW w:type="dxa" w:w="2438"/>
            <w:vAlign w:val="center"/>
          </w:tcPr>
          <w:p>
            <w:pPr>
              <w:spacing w:after="30" w:before="30" w:line="230"/>
              <w:jc w:val="center"/>
            </w:pPr>
            <w:r>
              <w:rPr>
                <w:b/>
                <w:bCs/>
                <w:sz w:val="17"/>
                <w:szCs w:val="17"/>
              </w:rPr>
              <w:t xml:space="preserve">+1,38 ct/kWh</w:t>
            </w:r>
          </w:p>
        </w:tc>
      </w:tr>
      <w:tr>
        <w:tc>
          <w:tcPr>
            <w:tcW w:type="dxa" w:w="2700"/>
            <w:shd w:fill="F2F5FA" w:color="auto" w:val="clear"/>
            <w:vAlign w:val="center"/>
          </w:tcPr>
          <w:p>
            <w:pPr>
              <w:spacing w:after="30" w:before="30" w:line="230"/>
              <w:jc w:val="left"/>
            </w:pPr>
            <w:r>
              <w:rPr>
                <w:sz w:val="17"/>
                <w:szCs w:val="17"/>
              </w:rPr>
              <w:t xml:space="preserve">Stromgestehungskosten (KZS = 0)</w:t>
            </w:r>
          </w:p>
        </w:tc>
        <w:tc>
          <w:tcPr>
            <w:tcW w:type="dxa" w:w="2250"/>
            <w:shd w:fill="F2F5FA" w:color="auto" w:val="clear"/>
            <w:vAlign w:val="center"/>
          </w:tcPr>
          <w:p>
            <w:pPr>
              <w:spacing w:after="30" w:before="30" w:line="230"/>
              <w:jc w:val="center"/>
            </w:pPr>
            <w:r>
              <w:rPr>
                <w:sz w:val="17"/>
                <w:szCs w:val="17"/>
              </w:rPr>
              <w:t xml:space="preserve">14,64 ct/kWh</w:t>
            </w:r>
          </w:p>
        </w:tc>
        <w:tc>
          <w:tcPr>
            <w:tcW w:type="dxa" w:w="2250"/>
            <w:shd w:fill="F2F5FA" w:color="auto" w:val="clear"/>
            <w:vAlign w:val="center"/>
          </w:tcPr>
          <w:p>
            <w:pPr>
              <w:spacing w:after="30" w:before="30" w:line="230"/>
              <w:jc w:val="center"/>
            </w:pPr>
            <w:r>
              <w:rPr>
                <w:sz w:val="17"/>
                <w:szCs w:val="17"/>
              </w:rPr>
              <w:t xml:space="preserve">13,25 ct/kWh</w:t>
            </w:r>
          </w:p>
        </w:tc>
        <w:tc>
          <w:tcPr>
            <w:tcW w:type="dxa" w:w="2438"/>
            <w:shd w:fill="F2F5FA" w:color="auto" w:val="clear"/>
            <w:vAlign w:val="center"/>
          </w:tcPr>
          <w:p>
            <w:pPr>
              <w:spacing w:after="30" w:before="30" w:line="230"/>
              <w:jc w:val="center"/>
            </w:pPr>
            <w:r>
              <w:rPr>
                <w:b/>
                <w:bCs/>
                <w:sz w:val="17"/>
                <w:szCs w:val="17"/>
              </w:rPr>
              <w:t xml:space="preserve">+1,39 ct/kWh</w:t>
            </w:r>
          </w:p>
        </w:tc>
      </w:tr>
      <w:tr>
        <w:tc>
          <w:tcPr>
            <w:tcW w:type="dxa" w:w="2700"/>
            <w:vAlign w:val="center"/>
          </w:tcPr>
          <w:p>
            <w:pPr>
              <w:spacing w:after="30" w:before="30" w:line="230"/>
              <w:jc w:val="left"/>
            </w:pPr>
            <w:r>
              <w:rPr>
                <w:sz w:val="17"/>
                <w:szCs w:val="17"/>
              </w:rPr>
              <w:t xml:space="preserve">EEG-Einspeisevergütung im Plan</w:t>
            </w:r>
          </w:p>
        </w:tc>
        <w:tc>
          <w:tcPr>
            <w:tcW w:type="dxa" w:w="2250"/>
            <w:vAlign w:val="center"/>
          </w:tcPr>
          <w:p>
            <w:pPr>
              <w:spacing w:after="30" w:before="30" w:line="230"/>
              <w:jc w:val="center"/>
            </w:pPr>
            <w:r>
              <w:rPr>
                <w:sz w:val="17"/>
                <w:szCs w:val="17"/>
              </w:rPr>
              <w:t xml:space="preserve">7,47 ct/kWh</w:t>
            </w:r>
          </w:p>
        </w:tc>
        <w:tc>
          <w:tcPr>
            <w:tcW w:type="dxa" w:w="2250"/>
            <w:vAlign w:val="center"/>
          </w:tcPr>
          <w:p>
            <w:pPr>
              <w:spacing w:after="30" w:before="30" w:line="230"/>
              <w:jc w:val="center"/>
            </w:pPr>
            <w:r>
              <w:rPr>
                <w:sz w:val="17"/>
                <w:szCs w:val="17"/>
              </w:rPr>
              <w:t xml:space="preserve">11,60 ct/kWh</w:t>
            </w:r>
          </w:p>
        </w:tc>
        <w:tc>
          <w:tcPr>
            <w:tcW w:type="dxa" w:w="2438"/>
            <w:vAlign w:val="center"/>
          </w:tcPr>
          <w:p>
            <w:pPr>
              <w:spacing w:after="30" w:before="30" w:line="230"/>
              <w:jc w:val="center"/>
            </w:pPr>
            <w:r>
              <w:rPr>
                <w:b/>
                <w:bCs/>
                <w:sz w:val="17"/>
                <w:szCs w:val="17"/>
              </w:rPr>
              <w:t xml:space="preserve">−4,13 ct/kWh</w:t>
            </w:r>
          </w:p>
        </w:tc>
      </w:tr>
      <w:tr>
        <w:tc>
          <w:tcPr>
            <w:tcW w:type="dxa" w:w="2700"/>
            <w:shd w:fill="F2F5FA" w:color="auto" w:val="clear"/>
            <w:vAlign w:val="center"/>
          </w:tcPr>
          <w:p>
            <w:pPr>
              <w:spacing w:after="30" w:before="30" w:line="230"/>
              <w:jc w:val="left"/>
            </w:pPr>
            <w:r>
              <w:rPr>
                <w:sz w:val="17"/>
                <w:szCs w:val="17"/>
              </w:rPr>
              <w:t xml:space="preserve">Betriebskosten</w:t>
            </w:r>
          </w:p>
        </w:tc>
        <w:tc>
          <w:tcPr>
            <w:tcW w:type="dxa" w:w="2250"/>
            <w:shd w:fill="F2F5FA" w:color="auto" w:val="clear"/>
            <w:vAlign w:val="center"/>
          </w:tcPr>
          <w:p>
            <w:pPr>
              <w:spacing w:after="30" w:before="30" w:line="230"/>
              <w:jc w:val="center"/>
            </w:pPr>
            <w:r>
              <w:rPr>
                <w:sz w:val="17"/>
                <w:szCs w:val="17"/>
              </w:rPr>
              <w:t xml:space="preserve">2.040 €/a (68,00 €/kWp·a), gesamt 42.500 €</w:t>
            </w:r>
          </w:p>
        </w:tc>
        <w:tc>
          <w:tcPr>
            <w:tcW w:type="dxa" w:w="2250"/>
            <w:shd w:fill="F2F5FA" w:color="auto" w:val="clear"/>
            <w:vAlign w:val="center"/>
          </w:tcPr>
          <w:p>
            <w:pPr>
              <w:spacing w:after="30" w:before="30" w:line="230"/>
              <w:jc w:val="center"/>
            </w:pPr>
            <w:r>
              <w:rPr>
                <w:sz w:val="17"/>
                <w:szCs w:val="17"/>
              </w:rPr>
              <w:t xml:space="preserve">1.600 €/a (53,33 €/kWp·a), gesamt 33.333 €</w:t>
            </w:r>
          </w:p>
        </w:tc>
        <w:tc>
          <w:tcPr>
            <w:tcW w:type="dxa" w:w="2438"/>
            <w:shd w:fill="F2F5FA" w:color="auto" w:val="clear"/>
            <w:vAlign w:val="center"/>
          </w:tcPr>
          <w:p>
            <w:pPr>
              <w:spacing w:after="30" w:before="30" w:line="230"/>
              <w:jc w:val="center"/>
            </w:pPr>
            <w:r>
              <w:rPr>
                <w:sz w:val="17"/>
                <w:szCs w:val="17"/>
              </w:rPr>
              <w:t xml:space="preserve">+440 €/a; +14,67 €/(kWp·a); +9.167 € gesamt</w:t>
            </w:r>
          </w:p>
        </w:tc>
      </w:tr>
      <w:tr>
        <w:tc>
          <w:tcPr>
            <w:tcW w:type="dxa" w:w="2700"/>
            <w:vAlign w:val="center"/>
          </w:tcPr>
          <w:p>
            <w:pPr>
              <w:spacing w:after="30" w:before="30" w:line="230"/>
              <w:jc w:val="left"/>
            </w:pPr>
            <w:r>
              <w:rPr>
                <w:sz w:val="17"/>
                <w:szCs w:val="17"/>
              </w:rPr>
              <w:t xml:space="preserve">Eigenverbrauchsquote</w:t>
            </w:r>
          </w:p>
        </w:tc>
        <w:tc>
          <w:tcPr>
            <w:tcW w:type="dxa" w:w="2250"/>
            <w:vAlign w:val="center"/>
          </w:tcPr>
          <w:p>
            <w:pPr>
              <w:spacing w:after="30" w:before="30" w:line="230"/>
              <w:jc w:val="center"/>
            </w:pPr>
            <w:r>
              <w:rPr>
                <w:sz w:val="17"/>
                <w:szCs w:val="17"/>
              </w:rPr>
              <w:t xml:space="preserve">83 %</w:t>
            </w:r>
          </w:p>
        </w:tc>
        <w:tc>
          <w:tcPr>
            <w:tcW w:type="dxa" w:w="2250"/>
            <w:vAlign w:val="center"/>
          </w:tcPr>
          <w:p>
            <w:pPr>
              <w:spacing w:after="30" w:before="30" w:line="230"/>
              <w:jc w:val="center"/>
            </w:pPr>
            <w:r>
              <w:rPr>
                <w:sz w:val="17"/>
                <w:szCs w:val="17"/>
              </w:rPr>
              <w:t xml:space="preserve">0 %</w:t>
            </w:r>
          </w:p>
        </w:tc>
        <w:tc>
          <w:tcPr>
            <w:tcW w:type="dxa" w:w="2438"/>
            <w:vAlign w:val="center"/>
          </w:tcPr>
          <w:p>
            <w:pPr>
              <w:spacing w:after="30" w:before="30" w:line="230"/>
              <w:jc w:val="center"/>
            </w:pPr>
            <w:r>
              <w:rPr>
                <w:sz w:val="17"/>
                <w:szCs w:val="17"/>
              </w:rPr>
              <w:t xml:space="preserve">+83 %-Punkte</w:t>
            </w:r>
          </w:p>
        </w:tc>
      </w:tr>
      <w:tr>
        <w:tc>
          <w:tcPr>
            <w:tcW w:type="dxa" w:w="2700"/>
            <w:shd w:fill="F2F5FA" w:color="auto" w:val="clear"/>
            <w:vAlign w:val="center"/>
          </w:tcPr>
          <w:p>
            <w:pPr>
              <w:spacing w:after="30" w:before="30" w:line="230"/>
              <w:jc w:val="left"/>
            </w:pPr>
            <w:r>
              <w:rPr>
                <w:sz w:val="17"/>
                <w:szCs w:val="17"/>
              </w:rPr>
              <w:t xml:space="preserve">Autarkiegrad</w:t>
            </w:r>
          </w:p>
        </w:tc>
        <w:tc>
          <w:tcPr>
            <w:tcW w:type="dxa" w:w="2250"/>
            <w:shd w:fill="F2F5FA" w:color="auto" w:val="clear"/>
            <w:vAlign w:val="center"/>
          </w:tcPr>
          <w:p>
            <w:pPr>
              <w:spacing w:after="30" w:before="30" w:line="230"/>
              <w:jc w:val="center"/>
            </w:pPr>
            <w:r>
              <w:rPr>
                <w:sz w:val="17"/>
                <w:szCs w:val="17"/>
              </w:rPr>
              <w:t xml:space="preserve">26 % ¹</w:t>
            </w:r>
          </w:p>
        </w:tc>
        <w:tc>
          <w:tcPr>
            <w:tcW w:type="dxa" w:w="2250"/>
            <w:shd w:fill="F2F5FA" w:color="auto" w:val="clear"/>
            <w:vAlign w:val="center"/>
          </w:tcPr>
          <w:p>
            <w:pPr>
              <w:spacing w:after="30" w:before="30" w:line="230"/>
              <w:jc w:val="center"/>
            </w:pPr>
            <w:r>
              <w:rPr>
                <w:sz w:val="17"/>
                <w:szCs w:val="17"/>
              </w:rPr>
              <w:t xml:space="preserve">nicht anwendbar</w:t>
            </w:r>
          </w:p>
        </w:tc>
        <w:tc>
          <w:tcPr>
            <w:tcW w:type="dxa" w:w="2438"/>
            <w:shd w:fill="F2F5FA" w:color="auto" w:val="clear"/>
            <w:vAlign w:val="center"/>
          </w:tcPr>
          <w:p>
            <w:pPr>
              <w:spacing w:after="30" w:before="30" w:line="230"/>
              <w:jc w:val="center"/>
            </w:pPr>
            <w:r>
              <w:rPr>
                <w:sz w:val="17"/>
                <w:szCs w:val="17"/>
              </w:rPr>
              <w:t xml:space="preserve">nicht bestimmbar</w:t>
            </w:r>
          </w:p>
        </w:tc>
      </w:tr>
      <w:tr>
        <w:tc>
          <w:tcPr>
            <w:tcW w:type="dxa" w:w="2700"/>
            <w:vAlign w:val="center"/>
          </w:tcPr>
          <w:p>
            <w:pPr>
              <w:spacing w:after="30" w:before="30" w:line="230"/>
              <w:jc w:val="left"/>
            </w:pPr>
            <w:r>
              <w:rPr>
                <w:sz w:val="17"/>
                <w:szCs w:val="17"/>
              </w:rPr>
              <w:t xml:space="preserve">Vorteil durch PV</w:t>
            </w:r>
          </w:p>
        </w:tc>
        <w:tc>
          <w:tcPr>
            <w:tcW w:type="dxa" w:w="2250"/>
            <w:vAlign w:val="center"/>
          </w:tcPr>
          <w:p>
            <w:pPr>
              <w:spacing w:after="30" w:before="30" w:line="230"/>
              <w:jc w:val="center"/>
            </w:pPr>
            <w:r>
              <w:rPr>
                <w:b/>
                <w:bCs/>
                <w:sz w:val="17"/>
                <w:szCs w:val="17"/>
              </w:rPr>
              <w:t xml:space="preserve">+162.850 € gesamt, +7.817 €/a</w:t>
            </w:r>
          </w:p>
        </w:tc>
        <w:tc>
          <w:tcPr>
            <w:tcW w:type="dxa" w:w="2250"/>
            <w:vAlign w:val="center"/>
          </w:tcPr>
          <w:p>
            <w:pPr>
              <w:spacing w:after="30" w:before="30" w:line="230"/>
              <w:jc w:val="center"/>
            </w:pPr>
            <w:r>
              <w:rPr>
                <w:sz w:val="17"/>
                <w:szCs w:val="17"/>
              </w:rPr>
              <w:t xml:space="preserve">vom Tool nicht ausgewiesen (kein Referenzfall ohne PV, da kein Verbrauch); maßgeblich ist der Liquiditätsüberschuss von −10.867 €</w:t>
            </w:r>
          </w:p>
        </w:tc>
        <w:tc>
          <w:tcPr>
            <w:tcW w:type="dxa" w:w="2438"/>
            <w:vAlign w:val="center"/>
          </w:tcPr>
          <w:p>
            <w:pPr>
              <w:spacing w:after="30" w:before="30" w:line="230"/>
              <w:jc w:val="center"/>
            </w:pPr>
            <w:r>
              <w:rPr>
                <w:sz w:val="17"/>
                <w:szCs w:val="17"/>
              </w:rPr>
              <w:t xml:space="preserve">+173.717 €</w:t>
            </w:r>
          </w:p>
        </w:tc>
      </w:tr>
      <w:tr>
        <w:tc>
          <w:tcPr>
            <w:tcW w:type="dxa" w:w="2700"/>
            <w:shd w:fill="F2F5FA" w:color="auto" w:val="clear"/>
            <w:vAlign w:val="center"/>
          </w:tcPr>
          <w:p>
            <w:pPr>
              <w:spacing w:after="30" w:before="30" w:line="230"/>
              <w:jc w:val="left"/>
            </w:pPr>
            <w:r>
              <w:rPr>
                <w:sz w:val="17"/>
                <w:szCs w:val="17"/>
              </w:rPr>
              <w:t xml:space="preserve">Netz-Strompreis Ø netto</w:t>
            </w:r>
          </w:p>
        </w:tc>
        <w:tc>
          <w:tcPr>
            <w:tcW w:type="dxa" w:w="2250"/>
            <w:shd w:fill="F2F5FA" w:color="auto" w:val="clear"/>
            <w:vAlign w:val="center"/>
          </w:tcPr>
          <w:p>
            <w:pPr>
              <w:spacing w:after="30" w:before="30" w:line="230"/>
              <w:jc w:val="center"/>
            </w:pPr>
            <w:r>
              <w:rPr>
                <w:sz w:val="17"/>
                <w:szCs w:val="17"/>
              </w:rPr>
              <w:t xml:space="preserve">45,83 ct/kWh</w:t>
            </w:r>
          </w:p>
        </w:tc>
        <w:tc>
          <w:tcPr>
            <w:tcW w:type="dxa" w:w="2250"/>
            <w:shd w:fill="F2F5FA" w:color="auto" w:val="clear"/>
            <w:vAlign w:val="center"/>
          </w:tcPr>
          <w:p>
            <w:pPr>
              <w:spacing w:after="30" w:before="30" w:line="230"/>
              <w:jc w:val="center"/>
            </w:pPr>
            <w:r>
              <w:rPr>
                <w:sz w:val="17"/>
                <w:szCs w:val="17"/>
              </w:rPr>
              <w:t xml:space="preserve">nicht anwendbar</w:t>
            </w:r>
          </w:p>
        </w:tc>
        <w:tc>
          <w:tcPr>
            <w:tcW w:type="dxa" w:w="2438"/>
            <w:shd w:fill="F2F5FA" w:color="auto" w:val="clear"/>
            <w:vAlign w:val="center"/>
          </w:tcPr>
          <w:p>
            <w:pPr>
              <w:spacing w:after="30" w:before="30" w:line="230"/>
              <w:jc w:val="center"/>
            </w:pPr>
            <w:r>
              <w:rPr>
                <w:sz w:val="17"/>
                <w:szCs w:val="17"/>
              </w:rPr>
              <w:t xml:space="preserve">–</w:t>
            </w:r>
          </w:p>
        </w:tc>
      </w:tr>
    </w:tbl>
    <w:p>
      <w:pPr>
        <w:spacing w:after="100"/>
      </w:pPr>
      <w:r>
        <w:rPr>
          <w:sz w:val="8"/>
          <w:szCs w:val="8"/>
        </w:rPr>
        <w:t xml:space="preserve"/>
      </w:r>
    </w:p>
    <w:p>
      <w:r>
        <w:rPr>
          <w:sz w:val="19"/>
          <w:szCs w:val="19"/>
        </w:rPr>
        <w:t xml:space="preserve">Delta-Spalte: eigene Berechnung aus den in [29] erfassten Kennzahlen. Die vollständige Herleitung dieser Kennzahlen aus den Eingabewerten und ihre Verifikation gegen eine eigene Nachrechnung stehen in </w:t>
      </w:r>
      <w:r>
        <w:rPr>
          <w:b/>
          <w:bCs/>
          <w:sz w:val="19"/>
          <w:szCs w:val="19"/>
        </w:rPr>
        <w:t xml:space="preserve">K3.5</w:t>
      </w:r>
      <w:r>
        <w:rPr>
          <w:sz w:val="19"/>
          <w:szCs w:val="19"/>
        </w:rPr>
        <w:t xml:space="preserve"> [36].</w:t>
      </w:r>
    </w:p>
    <w:p>
      <w:r>
        <w:rPr>
          <w:sz w:val="19"/>
          <w:szCs w:val="19"/>
        </w:rPr>
        <w:t xml:space="preserve">¹ Autarkiegrad: Tool-Wert über die gesamte Laufzeit (also mit Leistungsminderung); der Startjahreswert beträgt 26.962 / 100.000 = 26,96 %.</w:t>
      </w:r>
    </w:p>
    <w:p>
      <w:pPr>
        <w:spacing w:before="200"/>
      </w:pPr>
      <w:r>
        <w:rPr>
          <w:b/>
          <w:bCs/>
        </w:rPr>
        <w:t xml:space="preserve">Interpretation 1 – Die Volleinspeisung ist hier defizitär, und zwar strukturell.</w:t>
      </w:r>
      <w:r>
        <w:t xml:space="preserve"> Die Volleinspeisevergütung von 11,60 ct/kWh liegt unterhalb der Stromgestehungskosten von 13,25 ct/kWh (ohne Kalkulationszins) und deutlich unterhalb von 16,47 ct/kWh (mit 3,5 % Kalkulationszins). Jede eingespeiste Kilowattstunde erwirtschaftet damit weniger, als sie kostet – das negative Ergebnis ist kein Rundungseffekt, sondern die zwangsläufige Folge dieser Relation. Zur Größenordnung (eigene Rechnung, Startjahr ohne Leistungsminderung): 32.340 kWh × 11,60 ct = 3.751 € Erlös gegenüber 1.600 € Betriebskosten, also rund 2.151 € Deckungsbeitrag pro Jahr; über die Laufzeit von 20 Jahren und 10 Monaten reicht das nicht aus, um die Investition von 54.000 € zurückzuverdienen – der Liquiditätsüberschuss bleibt mit −10.867 € negativ, es entsteht keine Amortisation.</w:t>
      </w:r>
    </w:p>
    <w:p>
      <w:r>
        <w:rPr>
          <w:b/>
          <w:bCs/>
        </w:rPr>
        <w:t xml:space="preserve">Interpretation 2 – Der Wert des Eigenverbrauchs schlägt jede Vergütung.</w:t>
      </w:r>
      <w:r>
        <w:t xml:space="preserve"> Im Plan „Überschuss“ ersetzt jede selbst verbrauchte Kilowattstunde Netzbezug zu 30,00 ct/kWh mit einer Steigerung von 4,00 % pro Jahr, im Laufzeitmittel 45,83 ct/kWh. Das ist rund das Sechsfache der Einspeisevergütung von 7,47 ct/kWh. Bei einer Eigenverbrauchsquote von 83 % (26.962 von 32.340 kWh) trägt der vermiedene Netzbezug praktisch das gesamte Ergebnis: Der Einspeiseerlös beträgt im Startjahr nur rund 402 € (5.378 kWh × 7,47 ct), während der Eigenverbrauch im Startjahr rund 8.089 € und im Laufzeitmittel rund 12.357 € pro Jahr wert ist (eigene Rechnung). Bemerkenswert ist die Asymmetrie zum Autarkiegrad: </w:t>
      </w:r>
      <w:r>
        <w:rPr>
          <w:b/>
          <w:bCs/>
        </w:rPr>
        <w:t xml:space="preserve">83 % Eigenverbrauchsquote stehen nur 26 % Autarkie gegenüber</w:t>
      </w:r>
      <w:r>
        <w:t xml:space="preserve"> – die Anlage deckt einen großen Teil ihrer eigenen Erzeugung, aber nur ein gutes Viertel des Gesamtbedarfs von 100.000 kWh/a. Für die Beratung heißt das: Beide Kennzahlen sind gemeinsam zu zeigen, sonst entsteht ein falscher Eindruck von der Versorgungswirkung der Anlage.</w:t>
      </w:r>
    </w:p>
    <w:p>
      <w:r>
        <w:rPr>
          <w:b/>
          <w:bCs/>
        </w:rPr>
        <w:t xml:space="preserve">Interpretation 3 – Die höheren Gestehungskosten des Überschussplans sind kein Nachteil.</w:t>
      </w:r>
      <w:r>
        <w:t xml:space="preserve"> Auf den ersten Blick irritiert, dass der wirtschaftlich klar überlegene Plan die </w:t>
      </w:r>
      <w:r>
        <w:rPr>
          <w:i/>
          <w:iCs/>
        </w:rPr>
        <w:t xml:space="preserve">höheren</w:t>
      </w:r>
      <w:r>
        <w:t xml:space="preserve"> Stromgestehungskosten aufweist (+1,39 ct/kWh ohne Kalkulationszins). Die Ursache ist rein kostenseitig und vollständig erklärbar: Die Betriebskosten liegen um 9.167 € über der Laufzeit höher (Wartungsansatz von 1,00 % der Investition). Bezogen auf die über die Laufzeit erzeugte Strommenge – rund 32.340 kWh × 20,83 Jahre = etwa 673.750 kWh, abzüglich der Leistungsminderung von 5 % im Mittel rund 656.900 kWh – ergeben sich daraus rund 1,4 ct/kWh; das deckt sich mit dem beobachteten Delta von 1,39 ct/kWh (eigene Plausibilitätsrechnung). </w:t>
      </w:r>
      <w:r>
        <w:rPr>
          <w:b/>
          <w:bCs/>
        </w:rPr>
        <w:t xml:space="preserve">Die Gestehungskosten sind also eine reine Kostenkennzahl; über die Wirtschaftlichkeit entscheidet, mit welchem Erlös bzw. welcher Ersparnis diese Kosten verglichen werden.</w:t>
      </w:r>
      <w:r>
        <w:t xml:space="preserve"> Genau das ist der didaktische Kern des Beispiels: 14,64 ct/kWh Gestehungskosten gegen 45,83 ct/kWh vermiedenen Netzbezug ergeben einen komfortablen Deckungsbeitrag, 13,25 ct/kWh gegen 11,60 ct/kWh Vergütung dagegen einen Verlust.</w:t>
      </w:r>
    </w:p>
    <w:p>
      <w:r>
        <w:rPr>
          <w:b/>
          <w:bCs/>
        </w:rPr>
        <w:t xml:space="preserve">Interpretation 4 – Didaktikhinweis zum historischen Inbetriebnahmedatum.</w:t>
      </w:r>
      <w:r>
        <w:t xml:space="preserve"> Das Beispiel rechnet mit Inbetriebnahme 3/2023 und damit mit den Sätzen des EEG 2023 (7,47 ct/kWh Teil- bzw. 11,60 ct/kWh Volleinspeisung). Für eine Inbetriebnahme ab 01.08.2026 läge der maßgebliche Mischsatz für 30 kWp </w:t>
      </w:r>
      <w:r>
        <w:rPr>
          <w:b/>
          <w:bCs/>
        </w:rPr>
        <w:t xml:space="preserve">niedriger</w:t>
      </w:r>
      <w:r>
        <w:t xml:space="preserve">: 7,01 ct/kWh (Teil) bzw. 10,90 ct/kWh (Voll); die Klassenwerte bis 10 kW betragen 7,70 / 12,22 ct/kWh – Rechenweg in C1 und B2. </w:t>
      </w:r>
      <w:r>
        <w:rPr>
          <w:b/>
          <w:bCs/>
        </w:rPr>
        <w:t xml:space="preserve">Die qualitative Aussage des Beispiels bleibt damit nicht nur gültig, sie verschärft sich:</w:t>
      </w:r>
      <w:r>
        <w:t xml:space="preserve"> Der Abstand zwischen Volleinspeisevergütung und Gestehungskosten wird größer, der relative Vorteil des Eigenverbrauchs ebenfalls. Für eine Kundenpräsentation sollte das historische Datum offengelegt und die Rechnung – sofern das Ergebnis zu einem konkreten Angebot passen muss – mit aktuellem Inbetriebnahmedatum und aktuellen Investitionskosten neu aufgesetzt werden.</w:t>
      </w:r>
    </w:p>
    <w:p>
      <w:r>
        <w:rPr>
          <w:b/>
          <w:bCs/>
        </w:rPr>
        <w:t xml:space="preserve">Konsistenzprüfung des Jahreswerts:</w:t>
      </w:r>
      <w:r>
        <w:t xml:space="preserve"> 162.850 € Vorteil über 250 Monate (3/2023 bis 12/2043) ergeben 7.816,80 €/a und damit exakt den vom Tool ausgewiesenen Wert von 7.817 €/a ✓.</w:t>
      </w:r>
    </w:p>
    <w:p>
      <w:pPr>
        <w:pStyle w:val="Heading1"/>
      </w:pPr>
      <w:bookmarkStart w:id="900041" w:name="_Toc90000041"/>
      <w:r>
        <w:t xml:space="preserve">D  Praxis und Hilfe (pv@now)</w:t>
      </w:r>
      <w:bookmarkEnd w:id="900041"/>
    </w:p>
    <w:p>
      <w:pPr>
        <w:pStyle w:val="Heading2"/>
      </w:pPr>
      <w:bookmarkStart w:id="900042" w:name="_Toc90000042"/>
      <w:r>
        <w:t xml:space="preserve">D1  Produkte, Preise und Zugänge</w:t>
      </w:r>
      <w:bookmarkEnd w:id="900042"/>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2200"/>
        <w:gridCol w:w="5400"/>
        <w:gridCol w:w="2038"/>
      </w:tblGrid>
      <w:tr>
        <w:trPr>
          <w:tblHeader/>
        </w:trPr>
        <w:tc>
          <w:tcPr>
            <w:tcW w:type="dxa" w:w="2200"/>
            <w:shd w:fill="1F3864" w:color="auto" w:val="clear"/>
            <w:vAlign w:val="center"/>
          </w:tcPr>
          <w:p>
            <w:pPr>
              <w:spacing w:after="30" w:before="30" w:line="230"/>
              <w:jc w:val="left"/>
            </w:pPr>
            <w:r>
              <w:rPr>
                <w:b/>
                <w:bCs/>
                <w:color w:val="FFFFFF"/>
                <w:sz w:val="17"/>
                <w:szCs w:val="17"/>
              </w:rPr>
              <w:t xml:space="preserve">Produkt</w:t>
            </w:r>
          </w:p>
        </w:tc>
        <w:tc>
          <w:tcPr>
            <w:tcW w:type="dxa" w:w="5400"/>
            <w:shd w:fill="1F3864" w:color="auto" w:val="clear"/>
            <w:vAlign w:val="center"/>
          </w:tcPr>
          <w:p>
            <w:pPr>
              <w:spacing w:after="30" w:before="30" w:line="230"/>
              <w:jc w:val="left"/>
            </w:pPr>
            <w:r>
              <w:rPr>
                <w:b/>
                <w:bCs/>
                <w:color w:val="FFFFFF"/>
                <w:sz w:val="17"/>
                <w:szCs w:val="17"/>
              </w:rPr>
              <w:t xml:space="preserve">Umfang</w:t>
            </w:r>
          </w:p>
        </w:tc>
        <w:tc>
          <w:tcPr>
            <w:tcW w:type="dxa" w:w="2038"/>
            <w:shd w:fill="1F3864" w:color="auto" w:val="clear"/>
            <w:vAlign w:val="center"/>
          </w:tcPr>
          <w:p>
            <w:pPr>
              <w:spacing w:after="30" w:before="30" w:line="230"/>
              <w:jc w:val="left"/>
            </w:pPr>
            <w:r>
              <w:rPr>
                <w:b/>
                <w:bCs/>
                <w:color w:val="FFFFFF"/>
                <w:sz w:val="17"/>
                <w:szCs w:val="17"/>
              </w:rPr>
              <w:t xml:space="preserve">Preis (netto)</w:t>
            </w:r>
          </w:p>
        </w:tc>
      </w:tr>
      <w:tr>
        <w:tc>
          <w:tcPr>
            <w:tcW w:type="dxa" w:w="2200"/>
            <w:vAlign w:val="center"/>
          </w:tcPr>
          <w:p>
            <w:pPr>
              <w:spacing w:after="30" w:before="30" w:line="230"/>
              <w:jc w:val="left"/>
            </w:pPr>
            <w:r>
              <w:rPr>
                <w:b/>
                <w:bCs/>
                <w:sz w:val="17"/>
                <w:szCs w:val="17"/>
              </w:rPr>
              <w:t xml:space="preserve">pv@now easy</w:t>
            </w:r>
          </w:p>
        </w:tc>
        <w:tc>
          <w:tcPr>
            <w:tcW w:type="dxa" w:w="5400"/>
            <w:vAlign w:val="center"/>
          </w:tcPr>
          <w:p>
            <w:pPr>
              <w:spacing w:after="30" w:before="30" w:line="230"/>
              <w:jc w:val="left"/>
            </w:pPr>
            <w:r>
              <w:rPr>
                <w:sz w:val="17"/>
                <w:szCs w:val="17"/>
              </w:rPr>
              <w:t xml:space="preserve">kostenfrei; nur Überschusseinspeisung; eine Auswertung in der Konstellation </w:t>
            </w:r>
            <w:r>
              <w:rPr>
                <w:rFonts w:ascii="Consolas" w:cs="Consolas" w:eastAsia="Consolas" w:hAnsi="Consolas"/>
                <w:b/>
                <w:bCs/>
                <w:sz w:val="17"/>
                <w:szCs w:val="17"/>
              </w:rPr>
              <w:t xml:space="preserve">I = B = V = G</w:t>
            </w:r>
          </w:p>
        </w:tc>
        <w:tc>
          <w:tcPr>
            <w:tcW w:type="dxa" w:w="2038"/>
            <w:vAlign w:val="center"/>
          </w:tcPr>
          <w:p>
            <w:pPr>
              <w:spacing w:after="30" w:before="30" w:line="230"/>
              <w:jc w:val="left"/>
            </w:pPr>
            <w:r>
              <w:rPr>
                <w:sz w:val="17"/>
                <w:szCs w:val="17"/>
              </w:rPr>
              <w:t xml:space="preserve">0 €</w:t>
            </w:r>
          </w:p>
        </w:tc>
      </w:tr>
      <w:tr>
        <w:tc>
          <w:tcPr>
            <w:tcW w:type="dxa" w:w="2200"/>
            <w:shd w:fill="F2F5FA" w:color="auto" w:val="clear"/>
            <w:vAlign w:val="center"/>
          </w:tcPr>
          <w:p>
            <w:pPr>
              <w:spacing w:after="30" w:before="30" w:line="230"/>
              <w:jc w:val="left"/>
            </w:pPr>
            <w:r>
              <w:rPr>
                <w:b/>
                <w:bCs/>
                <w:sz w:val="17"/>
                <w:szCs w:val="17"/>
              </w:rPr>
              <w:t xml:space="preserve">pv@now manager</w:t>
            </w:r>
          </w:p>
        </w:tc>
        <w:tc>
          <w:tcPr>
            <w:tcW w:type="dxa" w:w="5400"/>
            <w:shd w:fill="F2F5FA" w:color="auto" w:val="clear"/>
            <w:vAlign w:val="center"/>
          </w:tcPr>
          <w:p>
            <w:pPr>
              <w:spacing w:after="30" w:before="30" w:line="230"/>
              <w:jc w:val="left"/>
            </w:pPr>
            <w:r>
              <w:rPr>
                <w:sz w:val="17"/>
                <w:szCs w:val="17"/>
              </w:rPr>
              <w:t xml:space="preserve">Jahresabonnement, voller Funktionsumfang</w:t>
            </w:r>
          </w:p>
        </w:tc>
        <w:tc>
          <w:tcPr>
            <w:tcW w:type="dxa" w:w="2038"/>
            <w:shd w:fill="F2F5FA" w:color="auto" w:val="clear"/>
            <w:vAlign w:val="center"/>
          </w:tcPr>
          <w:p>
            <w:pPr>
              <w:spacing w:after="30" w:before="30" w:line="230"/>
              <w:jc w:val="left"/>
            </w:pPr>
            <w:r>
              <w:rPr>
                <w:sz w:val="17"/>
                <w:szCs w:val="17"/>
              </w:rPr>
              <w:t xml:space="preserve">Lizenz einmalig </w:t>
            </w:r>
            <w:r>
              <w:rPr>
                <w:b/>
                <w:bCs/>
                <w:sz w:val="17"/>
                <w:szCs w:val="17"/>
              </w:rPr>
              <w:t xml:space="preserve">500 €</w:t>
            </w:r>
            <w:r>
              <w:rPr>
                <w:sz w:val="17"/>
                <w:szCs w:val="17"/>
              </w:rPr>
              <w:t xml:space="preserve"> + Nutzung </w:t>
            </w:r>
            <w:r>
              <w:rPr>
                <w:b/>
                <w:bCs/>
                <w:sz w:val="17"/>
                <w:szCs w:val="17"/>
              </w:rPr>
              <w:t xml:space="preserve">350 €/a</w:t>
            </w:r>
            <w:r>
              <w:rPr>
                <w:sz w:val="17"/>
                <w:szCs w:val="17"/>
              </w:rPr>
              <w:t xml:space="preserve">; Preistafel: regulär 850 € im ersten Jahr, 350 € in den Folgejahren</w:t>
            </w:r>
          </w:p>
        </w:tc>
      </w:tr>
      <w:tr>
        <w:tc>
          <w:tcPr>
            <w:tcW w:type="dxa" w:w="2200"/>
            <w:vAlign w:val="center"/>
          </w:tcPr>
          <w:p>
            <w:pPr>
              <w:spacing w:after="30" w:before="30" w:line="230"/>
              <w:jc w:val="left"/>
            </w:pPr>
            <w:r>
              <w:rPr>
                <w:sz w:val="17"/>
                <w:szCs w:val="17"/>
              </w:rPr>
              <w:t xml:space="preserve">Ermäßigungen</w:t>
            </w:r>
          </w:p>
        </w:tc>
        <w:tc>
          <w:tcPr>
            <w:tcW w:type="dxa" w:w="5400"/>
            <w:vAlign w:val="center"/>
          </w:tcPr>
          <w:p>
            <w:pPr>
              <w:spacing w:after="30" w:before="30" w:line="230"/>
              <w:jc w:val="left"/>
            </w:pPr>
            <w:r>
              <w:rPr>
                <w:sz w:val="17"/>
                <w:szCs w:val="17"/>
              </w:rPr>
              <w:t xml:space="preserve">DGS-Firmenmitglieder zahlen 290 €/a; die einmalige Lizenzgebühr entfällt für Kleinstunternehmen (unter 10 Mitarbeitende), Genossenschaften, gemeinnützige Organisationen und DGS-Firmenmitglieder</w:t>
            </w:r>
          </w:p>
        </w:tc>
        <w:tc>
          <w:tcPr>
            <w:tcW w:type="dxa" w:w="2038"/>
            <w:vAlign w:val="center"/>
          </w:tcPr>
          <w:p>
            <w:pPr>
              <w:spacing w:after="30" w:before="30" w:line="230"/>
              <w:jc w:val="left"/>
            </w:pPr>
            <w:r>
              <w:rPr>
                <w:sz w:val="17"/>
                <w:szCs w:val="17"/>
              </w:rPr>
              <w:t xml:space="preserve">–</w:t>
            </w:r>
          </w:p>
        </w:tc>
      </w:tr>
      <w:tr>
        <w:tc>
          <w:tcPr>
            <w:tcW w:type="dxa" w:w="2200"/>
            <w:shd w:fill="F2F5FA" w:color="auto" w:val="clear"/>
            <w:vAlign w:val="center"/>
          </w:tcPr>
          <w:p>
            <w:pPr>
              <w:spacing w:after="30" w:before="30" w:line="230"/>
              <w:jc w:val="left"/>
            </w:pPr>
            <w:r>
              <w:rPr>
                <w:b/>
                <w:bCs/>
                <w:sz w:val="17"/>
                <w:szCs w:val="17"/>
              </w:rPr>
              <w:t xml:space="preserve">Projektzugang</w:t>
            </w:r>
          </w:p>
        </w:tc>
        <w:tc>
          <w:tcPr>
            <w:tcW w:type="dxa" w:w="5400"/>
            <w:shd w:fill="F2F5FA" w:color="auto" w:val="clear"/>
            <w:vAlign w:val="center"/>
          </w:tcPr>
          <w:p>
            <w:pPr>
              <w:spacing w:after="30" w:before="30" w:line="230"/>
              <w:jc w:val="left"/>
            </w:pPr>
            <w:r>
              <w:rPr>
                <w:sz w:val="17"/>
                <w:szCs w:val="17"/>
              </w:rPr>
              <w:t xml:space="preserve">4 Wochen, voller Funktionsumfang, Upgrade mit Projektübernahme möglich</w:t>
            </w:r>
          </w:p>
        </w:tc>
        <w:tc>
          <w:tcPr>
            <w:tcW w:type="dxa" w:w="2038"/>
            <w:shd w:fill="F2F5FA" w:color="auto" w:val="clear"/>
            <w:vAlign w:val="center"/>
          </w:tcPr>
          <w:p>
            <w:pPr>
              <w:spacing w:after="30" w:before="30" w:line="230"/>
              <w:jc w:val="left"/>
            </w:pPr>
            <w:r>
              <w:rPr>
                <w:b/>
                <w:bCs/>
                <w:sz w:val="17"/>
                <w:szCs w:val="17"/>
              </w:rPr>
              <w:t xml:space="preserve">50 €</w:t>
            </w:r>
          </w:p>
        </w:tc>
      </w:tr>
      <w:tr>
        <w:tc>
          <w:tcPr>
            <w:tcW w:type="dxa" w:w="2200"/>
            <w:vAlign w:val="center"/>
          </w:tcPr>
          <w:p>
            <w:pPr>
              <w:spacing w:after="30" w:before="30" w:line="230"/>
              <w:jc w:val="left"/>
            </w:pPr>
            <w:r>
              <w:rPr>
                <w:b/>
                <w:bCs/>
                <w:sz w:val="17"/>
                <w:szCs w:val="17"/>
              </w:rPr>
              <w:t xml:space="preserve">Gastzugang</w:t>
            </w:r>
          </w:p>
        </w:tc>
        <w:tc>
          <w:tcPr>
            <w:tcW w:type="dxa" w:w="5400"/>
            <w:vAlign w:val="center"/>
          </w:tcPr>
          <w:p>
            <w:pPr>
              <w:spacing w:after="30" w:before="30" w:line="230"/>
              <w:jc w:val="left"/>
            </w:pPr>
            <w:r>
              <w:rPr>
                <w:sz w:val="17"/>
                <w:szCs w:val="17"/>
              </w:rPr>
              <w:t xml:space="preserve">2 Stunden, gegen E-Mail-Adresse und Newsletter-Anmeldung</w:t>
            </w:r>
          </w:p>
        </w:tc>
        <w:tc>
          <w:tcPr>
            <w:tcW w:type="dxa" w:w="2038"/>
            <w:vAlign w:val="center"/>
          </w:tcPr>
          <w:p>
            <w:pPr>
              <w:spacing w:after="30" w:before="30" w:line="230"/>
              <w:jc w:val="left"/>
            </w:pPr>
            <w:r>
              <w:rPr>
                <w:sz w:val="17"/>
                <w:szCs w:val="17"/>
              </w:rPr>
              <w:t xml:space="preserve">kostenlos</w:t>
            </w:r>
          </w:p>
        </w:tc>
      </w:tr>
    </w:tbl>
    <w:p>
      <w:pPr>
        <w:spacing w:after="100"/>
      </w:pPr>
      <w:r>
        <w:rPr>
          <w:sz w:val="8"/>
          <w:szCs w:val="8"/>
        </w:rPr>
        <w:t xml:space="preserve"/>
      </w:r>
    </w:p>
    <w:p>
      <w:r>
        <w:t xml:space="preserve">Die Varianten „basic“ und „manager 250“ wurden mit Version 8.0.0 zum 15.05.2024 eingestellt. Zahlung per Rechnung, PayPal oder SEPA [22].</w:t>
      </w:r>
    </w:p>
    <w:p>
      <w:r>
        <w:rPr>
          <w:b/>
          <w:bCs/>
        </w:rPr>
        <w:t xml:space="preserve">Anbieter:</w:t>
      </w:r>
      <w:r>
        <w:t xml:space="preserve"> Solare Dienstleistungen GbR (Björn Hemmann, Stefan Seufert, Michael Vogtmann), Fürther Straße 246c, Nürnberg; Herausgeber ist die DGS Landesverband Franken e. V. Die Anwendung ist browserbasiert, aktuelle Version 10.0.0 [22][28]. </w:t>
      </w:r>
      <w:r>
        <w:rPr>
          <w:b/>
          <w:bCs/>
        </w:rPr>
        <w:t xml:space="preserve">Zielgruppen:</w:t>
      </w:r>
      <w:r>
        <w:t xml:space="preserve"> Planer, Solarteure, Betreiber, Stadtwerke, Genossenschaften, Hausverwaltungen und Energieberater.</w:t>
      </w:r>
    </w:p>
    <w:p>
      <w:r>
        <w:rPr>
          <w:b/>
          <w:bCs/>
        </w:rPr>
        <w:t xml:space="preserve">Einordnung im Beratungsprozess:</w:t>
      </w:r>
      <w:r>
        <w:t xml:space="preserve"> pv@now setzt </w:t>
      </w:r>
      <w:r>
        <w:rPr>
          <w:b/>
          <w:bCs/>
        </w:rPr>
        <w:t xml:space="preserve">nach</w:t>
      </w:r>
      <w:r>
        <w:t xml:space="preserve"> der technischen Auslegung an – die DGS verweist ausdrücklich darauf, dass Programme zur Berechnung technischer Aspekte vorher zum Einsatz kommen (genannt werden PV*SOL premium, PVsyst, Sunny Design, Polysun). Das Alleinstellungsmerkmal ist die </w:t>
      </w:r>
      <w:r>
        <w:rPr>
          <w:b/>
          <w:bCs/>
        </w:rPr>
        <w:t xml:space="preserve">rollen- und betreibermodellgetrennte betriebswirtschaftliche Auswertung für bis zu vier Akteure</w:t>
      </w:r>
      <w:r>
        <w:t xml:space="preserve"> [22].</w:t>
      </w:r>
    </w:p>
    <w:p>
      <w:pPr>
        <w:pStyle w:val="Heading2"/>
      </w:pPr>
      <w:bookmarkStart w:id="900043" w:name="_Toc90000043"/>
      <w:r>
        <w:t xml:space="preserve">D2  Schulungen und Support</w:t>
      </w:r>
      <w:bookmarkEnd w:id="900043"/>
    </w:p>
    <w:p>
      <w:r>
        <w:t xml:space="preserve">Die </w:t>
      </w:r>
      <w:r>
        <w:rPr>
          <w:b/>
          <w:bCs/>
        </w:rPr>
        <w:t xml:space="preserve">pv@now Software-Schulung (Webinar)</w:t>
      </w:r>
      <w:r>
        <w:t xml:space="preserve"> der Solarakademie Franken dauert 2 Stunden und ist </w:t>
      </w:r>
      <w:r>
        <w:rPr>
          <w:b/>
          <w:bCs/>
        </w:rPr>
        <w:t xml:space="preserve">kostenlos</w:t>
      </w:r>
      <w:r>
        <w:t xml:space="preserve">; Referenten sind Björn Hemmann und Michael Vogtmann. Die Schulung ist </w:t>
      </w:r>
      <w:r>
        <w:rPr>
          <w:b/>
          <w:bCs/>
        </w:rPr>
        <w:t xml:space="preserve">DENA-anerkannt</w:t>
      </w:r>
      <w:r>
        <w:t xml:space="preserve"> mit 2 Unterrichtseinheiten Wohngebäude, 2 UE Nichtwohngebäude und 2 UE Energieaudit (Code MZ53D) [27].</w:t>
      </w:r>
    </w:p>
    <w:p>
      <w:r>
        <w:rPr>
          <w:b/>
          <w:bCs/>
        </w:rPr>
        <w:t xml:space="preserve">Termine 2026:</w:t>
      </w:r>
      <w:r>
        <w:t xml:space="preserve"> 25.09.2026 · 19.10.2026 · 27.11.2026 · 18.12.2026 (Uhrzeiten: Buchungsseite solarakademie-franken.de). Buchung ebenfalls über solarakademie-franken.de [27].</w:t>
      </w:r>
    </w:p>
    <w:p>
      <w:r>
        <w:rPr>
          <w:b/>
          <w:bCs/>
        </w:rPr>
        <w:t xml:space="preserve">Inhalte:</w:t>
      </w:r>
      <w:r>
        <w:t xml:space="preserve"> Oberfläche und Struktur, Akteure anlegen, Betreibermodell ermitteln, Rollen zuweisen, Pläne aufbauen, Hilfsrechner Miete und Stromlieferung, Modellwechsel, eigene Zahlungsströme, Auswertung und Kundenreports [27].</w:t>
      </w:r>
    </w:p>
    <w:p>
      <w:r>
        <w:rPr>
          <w:b/>
          <w:bCs/>
        </w:rPr>
        <w:t xml:space="preserve">Support:</w:t>
      </w:r>
      <w:r>
        <w:t xml:space="preserve"> info@pv-now.de, Telefon 0911/376516-30 (Björn Hemmann) [28]. Belegt ist eine externe Schulung bei WFB/energiekonsens Bremen am 19.06.2025 (Vogtmann); INEKON-Schulungen sind in den Quellen nicht belegt.</w:t>
      </w:r>
    </w:p>
    <w:p>
      <w:r>
        <w:t xml:space="preserve">Zusätzliches Dienstleistungsangebot: </w:t>
      </w:r>
      <w:r>
        <w:rPr>
          <w:b/>
          <w:bCs/>
        </w:rPr>
        <w:t xml:space="preserve">PV Check</w:t>
      </w:r>
      <w:r>
        <w:t xml:space="preserve"> – Berechnung durch die DGS mit pv@now für 300 € netto (für Ü20-Anlagen 75 €) [25].</w:t>
      </w:r>
    </w:p>
    <w:p>
      <w:pPr>
        <w:pStyle w:val="Heading2"/>
      </w:pPr>
      <w:bookmarkStart w:id="900044" w:name="_Toc90000044"/>
      <w:r>
        <w:t xml:space="preserve">D3  Hilfen im Werkzeug</w:t>
      </w:r>
      <w:bookmarkEnd w:id="900044"/>
    </w:p>
    <w:p>
      <w:r>
        <w:t xml:space="preserve">Innerhalb der Anwendung stehen zur Verfügung [22][29]:</w:t>
      </w:r>
    </w:p>
    <w:p>
      <w:pPr>
        <w:pStyle w:val="ListParagraph"/>
        <w:numPr>
          <w:ilvl w:val="0"/>
          <w:numId w:val="2"/>
        </w:numPr>
        <w:spacing w:after="90" w:line="268"/>
      </w:pPr>
      <w:r>
        <w:rPr>
          <w:b/>
          <w:bCs/>
        </w:rPr>
        <w:t xml:space="preserve">i-Buttons</w:t>
      </w:r>
      <w:r>
        <w:t xml:space="preserve"> an den Eingabefeldern und ein </w:t>
      </w:r>
      <w:r>
        <w:rPr>
          <w:b/>
          <w:bCs/>
        </w:rPr>
        <w:t xml:space="preserve">Glossar von A bis Z</w:t>
      </w:r>
      <w:r>
        <w:t xml:space="preserve"> (Buchstabenindex: A B D E F G · H I J K L M N · Ö P R S T U Ü · V W Z – ohne C, O, Q, X und Y, dafür mit Ö und Ü). Die geprüften Begriffe stehen gesammelt in </w:t>
      </w:r>
      <w:r>
        <w:rPr>
          <w:b/>
          <w:bCs/>
        </w:rPr>
        <w:t xml:space="preserve">D5</w:t>
      </w:r>
      <w:r>
        <w:t xml:space="preserve">.</w:t>
      </w:r>
    </w:p>
    <w:p>
      <w:pPr>
        <w:pStyle w:val="ListParagraph"/>
        <w:numPr>
          <w:ilvl w:val="0"/>
          <w:numId w:val="2"/>
        </w:numPr>
        <w:spacing w:after="90" w:line="268"/>
      </w:pPr>
      <w:r>
        <w:rPr>
          <w:b/>
          <w:bCs/>
        </w:rPr>
        <w:t xml:space="preserve">Interaktives Hilfetool zur Modellauswahl</w:t>
      </w:r>
      <w:r>
        <w:t xml:space="preserve"> mit erläuternden Grafiken – der Weg zur vollständigen Modellliste (siehe A2).</w:t>
      </w:r>
    </w:p>
    <w:p>
      <w:pPr>
        <w:pStyle w:val="ListParagraph"/>
        <w:numPr>
          <w:ilvl w:val="0"/>
          <w:numId w:val="2"/>
        </w:numPr>
        <w:spacing w:after="90" w:line="268"/>
      </w:pPr>
      <w:r>
        <w:rPr>
          <w:b/>
          <w:bCs/>
        </w:rPr>
        <w:t xml:space="preserve">Hilfsrechner</w:t>
      </w:r>
      <w:r>
        <w:t xml:space="preserve">: PV-Miete und PV-Stromlieferung (Lieferpreis), jeweils mit DGS-Franken-Vorschlagswert, sowie der PVGIS-Ertragsrechner (SARAH-2 seit Version 8.3.1).</w:t>
      </w:r>
    </w:p>
    <w:p>
      <w:pPr>
        <w:pStyle w:val="ListParagraph"/>
        <w:numPr>
          <w:ilvl w:val="0"/>
          <w:numId w:val="2"/>
        </w:numPr>
        <w:spacing w:after="90" w:line="268"/>
      </w:pPr>
      <w:r>
        <w:rPr>
          <w:b/>
          <w:bCs/>
        </w:rPr>
        <w:t xml:space="preserve">EEG-Tabellen seit dem Jahr 2000</w:t>
      </w:r>
      <w:r>
        <w:t xml:space="preserve"> im Dialog „EEG-Vergütungen als Tabellen“.</w:t>
      </w:r>
    </w:p>
    <w:p>
      <w:pPr>
        <w:pStyle w:val="ListParagraph"/>
        <w:numPr>
          <w:ilvl w:val="0"/>
          <w:numId w:val="2"/>
        </w:numPr>
        <w:spacing w:after="90" w:line="268"/>
      </w:pPr>
      <w:r>
        <w:rPr>
          <w:b/>
          <w:bCs/>
        </w:rPr>
        <w:t xml:space="preserve">Berichte je Rolle</w:t>
      </w:r>
      <w:r>
        <w:t xml:space="preserve">: Gesamt-, Betreibermodelle-, Investor-, Betreiber-, Verbraucher- und Gebäudeeigentümerbericht; seit Version 9.0.0 mit Bilder- und Glossaranhang, seit 9.1.0 als vergleichender Bericht, seit 9.2.0 als Kurzbericht.</w:t>
      </w:r>
    </w:p>
    <w:p>
      <w:pPr>
        <w:pStyle w:val="ListParagraph"/>
        <w:numPr>
          <w:ilvl w:val="0"/>
          <w:numId w:val="2"/>
        </w:numPr>
        <w:spacing w:after="90" w:line="268"/>
      </w:pPr>
      <w:r>
        <w:rPr>
          <w:b/>
          <w:bCs/>
        </w:rPr>
        <w:t xml:space="preserve">Projektvergleich</w:t>
      </w:r>
      <w:r>
        <w:t xml:space="preserve">: vergleicht die Pläne je Akteur; übernehmbare Diagramme und Tabellen unter anderem zu Finanzfluss, Betriebsergebnis vor Ertragsteuer, Betriebskosten, Brutto-Cash-Flow, Erlösen aus EEG-Netzeinspeisung, geförderter und sonstiger Direktvermarktung, freiem Satz, Ausfallvergütung, Ertragsteuer sowie Kosten für den Gesamtstrom mit und ohne PV.</w:t>
      </w:r>
    </w:p>
    <w:p>
      <w:pPr>
        <w:pStyle w:val="ListParagraph"/>
        <w:numPr>
          <w:ilvl w:val="0"/>
          <w:numId w:val="2"/>
        </w:numPr>
        <w:spacing w:after="90" w:line="268"/>
      </w:pPr>
      <w:r>
        <w:rPr>
          <w:b/>
          <w:bCs/>
        </w:rPr>
        <w:t xml:space="preserve">Lastprofile</w:t>
      </w:r>
      <w:r>
        <w:t xml:space="preserve">: H0 Haushalt, G1–G4 Gewerbe, L1/L2 Landwirtschaft, Altenheim, Bürogebäude, Einfamilienhaus, Mehrfamilienhaus, Hotel, Schule, drei E-Auto-Profile und zwei Wärmepumpenprofile; eigene Profile sind hochladbar. Seit Version 10.0.0 (21.07.2026) sind Lastprofile je Stromaufteilungsintervall wählbar, Verbrauch und Stromaufteilung wurden zusammengeführt.</w:t>
      </w:r>
    </w:p>
    <w:p>
      <w:pPr>
        <w:spacing w:before="160"/>
      </w:pPr>
      <w:r>
        <w:rPr>
          <w:b/>
          <w:bCs/>
        </w:rPr>
        <w:t xml:space="preserve">Changelog-Highlights</w:t>
      </w:r>
      <w:r>
        <w:t xml:space="preserve"> [22]: 7.4.0 (19.08.2022) EEG 2023 · 7.5.2 (21.12.2022) Nullsteuersatz · 7.8.0 (10.10.2023) Prognose des Volleinspeisezuschlags editierbar · </w:t>
      </w:r>
      <w:r>
        <w:rPr>
          <w:b/>
          <w:bCs/>
        </w:rPr>
        <w:t xml:space="preserve">8.1.0 (16.05.2024) Solarpaket I</w:t>
      </w:r>
      <w:r>
        <w:t xml:space="preserve"> · 8.4.0 (04.10.2024) Gestehungskosten für alle Betreiber · 9.1.0 (01.08.2025) vergleichender Bericht · 9.2.0 (09.10.2025) Kurzbericht, Dachmiete standardmäßig nicht umsatzsteuerbar · 9.5.0 (12.01.2026) Ausschreibung monatsgenau · 10.0.0 (21.07.2026) Lastprofile je Stromaufteilungsintervall. Grundlegend war 3.0.0 (06.10.2016): seither ist die Direktvermarktung integraler Bestandteil jedes Betreibermodells; 2.0.0 (16.03.2016) brachte die maximal vier Modelle je Plan.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90"/>
          <w:left w:type="dxa" w:w="150"/>
          <w:bottom w:type="dxa" w:w="90"/>
          <w:right w:type="dxa" w:w="150"/>
        </w:tblCellMar>
      </w:tblPr>
      <w:tblGrid>
        <w:gridCol w:w="9638"/>
      </w:tblGrid>
      <w:tr>
        <w:trPr>
          <w:cantSplit/>
        </w:trPr>
        <w:tc>
          <w:tcPr>
            <w:tcW w:type="dxa" w:w="9638"/>
            <w:tcBorders>
              <w:top w:val="single" w:color="2E5395" w:sz="2"/>
              <w:left w:val="single" w:color="2E5395" w:sz="24"/>
              <w:bottom w:val="single" w:color="2E5395" w:sz="2"/>
              <w:right w:val="single" w:color="2E5395" w:sz="2"/>
            </w:tcBorders>
            <w:shd w:fill="EAF1FA" w:color="auto" w:val="clear"/>
          </w:tcPr>
          <w:p>
            <w:pPr>
              <w:spacing w:after="80" w:before="40"/>
            </w:pPr>
            <w:r>
              <w:rPr>
                <w:b/>
                <w:bCs/>
                <w:color w:val="2E5395"/>
                <w:sz w:val="20"/>
                <w:szCs w:val="20"/>
              </w:rPr>
              <w:t xml:space="preserve">Offener Punkt für den Support</w:t>
            </w:r>
          </w:p>
          <w:p>
            <w:pPr>
              <w:spacing w:after="60" w:before="40" w:line="250"/>
            </w:pPr>
            <w:r>
              <w:rPr>
                <w:sz w:val="19"/>
                <w:szCs w:val="19"/>
              </w:rPr>
              <w:t xml:space="preserve">Ein Changelog-Eintrag, der das </w:t>
            </w:r>
            <w:r>
              <w:rPr>
                <w:b/>
                <w:bCs/>
                <w:sz w:val="19"/>
                <w:szCs w:val="19"/>
              </w:rPr>
              <w:t xml:space="preserve">Solarspitzengesetz</w:t>
            </w:r>
            <w:r>
              <w:rPr>
                <w:sz w:val="19"/>
                <w:szCs w:val="19"/>
              </w:rPr>
              <w:t xml:space="preserve"> namentlich nennt, existiert nicht. Die Broschüre formuliert lediglich, pv@now könne es abbilden, und die Startseite meldet, seit Anfang Januar seien alle beschlossenen EEG-Änderungen umgesetzt [22]. Ob und wie die Regelungen der §§ 51/51a EEG (Null-Viertelstunden, Nachholung mit Faktor 0,5) sowie die 60-%-Kappung nach § 9 Abs. 2 EEG in der Berechnung abgebildet werden, sollte </w:t>
            </w:r>
            <w:r>
              <w:rPr>
                <w:b/>
                <w:bCs/>
                <w:sz w:val="19"/>
                <w:szCs w:val="19"/>
              </w:rPr>
              <w:t xml:space="preserve">vor der Verwendung in Kundenrechnungen beim Support erfragt werden</w:t>
            </w:r>
            <w:r>
              <w:rPr>
                <w:sz w:val="19"/>
                <w:szCs w:val="19"/>
              </w:rPr>
              <w:t xml:space="preserve">. Es handelt sich um den einzigen erkannten funktionalen Klärungsbedarf des Werkzeugs.</w:t>
            </w:r>
          </w:p>
        </w:tc>
      </w:tr>
    </w:tbl>
    <w:p>
      <w:pPr>
        <w:spacing w:after="160"/>
      </w:pPr>
      <w:r>
        <w:rPr>
          <w:sz w:val="8"/>
          <w:szCs w:val="8"/>
        </w:rPr>
        <w:t xml:space="preserve"/>
      </w:r>
    </w:p>
    <w:p>
      <w:pPr>
        <w:pStyle w:val="Heading3"/>
      </w:pPr>
      <w:bookmarkStart w:id="900045" w:name="_Toc90000045"/>
      <w:r>
        <w:t xml:space="preserve">Glossar-Funktion im Tool</w:t>
      </w:r>
      <w:bookmarkEnd w:id="900045"/>
    </w:p>
    <w:p>
      <w:r>
        <w:t xml:space="preserve">Das Glossar ist über den Buchstabenindex und über die i-Buttons an den Eingabefeldern erreichbar; die Texte erscheinen jeweils in einer Lightbox. </w:t>
      </w:r>
      <w:r>
        <w:rPr>
          <w:b/>
          <w:bCs/>
        </w:rPr>
        <w:t xml:space="preserve">Die geprüften und auf den Stand 08/2026 gebrachten Begriffe stehen gesammelt in D5</w:t>
      </w:r>
      <w:r>
        <w:t xml:space="preserve"> – dort steht je Begriff auch, wo ein Tool-Text den heutigen Rechtsstand nicht mehr trifft. Erfasst wurden am 25.08.2026 insgesamt 27 Einträge [29][32].</w:t>
      </w:r>
    </w:p>
    <w:p>
      <w:r>
        <w:rPr>
          <w:b/>
          <w:bCs/>
        </w:rPr>
        <w:t xml:space="preserve">Nicht im Glossar enthalten</w:t>
      </w:r>
      <w:r>
        <w:t xml:space="preserve"> sind die Begriffe „Grund-/Gebäudeeigentümer“, „Verbraucher“ und „Volleinspeisung“ – sie werden in der App zwar durchgängig verwendet (in den Modelllegenden bzw. als Planname), haben aber keinen eigenen Eintrag. Unter „V“ existiert lediglich „Vollversorgung“ in mehreren Varianten, was einen anderen Sachverhalt bezeichnet. Ebenfalls </w:t>
      </w:r>
      <w:r>
        <w:rPr>
          <w:b/>
          <w:bCs/>
        </w:rPr>
        <w:t xml:space="preserve">kein eigenes Lemma</w:t>
      </w:r>
      <w:r>
        <w:t xml:space="preserve"> haben „Mieterstrom“ (der Bezug läuft allein über „EEG-Mieterstromzuschlag“ unter E), „Direktvermarktung“ (abgedeckt durch die beiden Einträge zur geförderten Direktvermarktung und durch „Direktvermarktungspreis“), „Ausfallvergütung“ (nur „Anzulegender Wert Ausfallvergütung“) sowie „PV-Mieten“ und „PV-Miete Plus“; Vermarktungspauschale GDV und SDV stehen in einem gemeinsamen Eintrag. Auf die Schreibweise ist bei der Suche zu achten: Die Einträge heißen exakt „PV Teilmiete“ (ohne Bindestrich), „Solare Deckung (Autarkie)“, „Kalkulationszinssatz (KZS)“ und „Interner Zinsfuß (modifiziert nach Baldwin)“ [32].</w:t>
      </w:r>
    </w:p>
    <w:p>
      <w:pPr>
        <w:pStyle w:val="Heading2"/>
      </w:pPr>
      <w:bookmarkStart w:id="900046" w:name="_Toc90000046"/>
      <w:r>
        <w:t xml:space="preserve">D4  Downloads und weiterführende Links</w:t>
      </w:r>
      <w:bookmarkEnd w:id="900046"/>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3000"/>
        <w:gridCol w:w="4300"/>
        <w:gridCol w:w="2338"/>
      </w:tblGrid>
      <w:tr>
        <w:trPr>
          <w:tblHeader/>
        </w:trPr>
        <w:tc>
          <w:tcPr>
            <w:tcW w:type="dxa" w:w="3000"/>
            <w:shd w:fill="1F3864" w:color="auto" w:val="clear"/>
            <w:vAlign w:val="center"/>
          </w:tcPr>
          <w:p>
            <w:pPr>
              <w:spacing w:after="30" w:before="30" w:line="230"/>
              <w:jc w:val="left"/>
            </w:pPr>
            <w:r>
              <w:rPr>
                <w:b/>
                <w:bCs/>
                <w:color w:val="FFFFFF"/>
                <w:sz w:val="17"/>
                <w:szCs w:val="17"/>
              </w:rPr>
              <w:t xml:space="preserve">Dokument / Quelle</w:t>
            </w:r>
          </w:p>
        </w:tc>
        <w:tc>
          <w:tcPr>
            <w:tcW w:type="dxa" w:w="4300"/>
            <w:shd w:fill="1F3864" w:color="auto" w:val="clear"/>
            <w:vAlign w:val="center"/>
          </w:tcPr>
          <w:p>
            <w:pPr>
              <w:spacing w:after="30" w:before="30" w:line="230"/>
              <w:jc w:val="left"/>
            </w:pPr>
            <w:r>
              <w:rPr>
                <w:b/>
                <w:bCs/>
                <w:color w:val="FFFFFF"/>
                <w:sz w:val="17"/>
                <w:szCs w:val="17"/>
              </w:rPr>
              <w:t xml:space="preserve">Inhalt</w:t>
            </w:r>
          </w:p>
        </w:tc>
        <w:tc>
          <w:tcPr>
            <w:tcW w:type="dxa" w:w="2338"/>
            <w:shd w:fill="1F3864" w:color="auto" w:val="clear"/>
            <w:vAlign w:val="center"/>
          </w:tcPr>
          <w:p>
            <w:pPr>
              <w:spacing w:after="30" w:before="30" w:line="230"/>
              <w:jc w:val="left"/>
            </w:pPr>
            <w:r>
              <w:rPr>
                <w:b/>
                <w:bCs/>
                <w:color w:val="FFFFFF"/>
                <w:sz w:val="17"/>
                <w:szCs w:val="17"/>
              </w:rPr>
              <w:t xml:space="preserve">Fundstelle</w:t>
            </w:r>
          </w:p>
        </w:tc>
      </w:tr>
      <w:tr>
        <w:tc>
          <w:tcPr>
            <w:tcW w:type="dxa" w:w="3000"/>
            <w:vAlign w:val="center"/>
          </w:tcPr>
          <w:p>
            <w:pPr>
              <w:spacing w:after="30" w:before="30" w:line="230"/>
              <w:jc w:val="left"/>
            </w:pPr>
            <w:r>
              <w:rPr>
                <w:b/>
                <w:bCs/>
                <w:sz w:val="17"/>
                <w:szCs w:val="17"/>
              </w:rPr>
              <w:t xml:space="preserve">Broschüre „Neue Chancen für die Photovoltaik“ (11/2025, 28 Seiten, kostenlos)</w:t>
            </w:r>
          </w:p>
        </w:tc>
        <w:tc>
          <w:tcPr>
            <w:tcW w:type="dxa" w:w="4300"/>
            <w:vAlign w:val="center"/>
          </w:tcPr>
          <w:p>
            <w:pPr>
              <w:spacing w:after="30" w:before="30" w:line="230"/>
              <w:jc w:val="left"/>
            </w:pPr>
            <w:r>
              <w:rPr>
                <w:b w:val="false"/>
                <w:bCs w:val="false"/>
                <w:sz w:val="17"/>
                <w:szCs w:val="17"/>
              </w:rPr>
              <w:t xml:space="preserve">Vertragssystematik „PV-Mieten Plus“, Messkonzepte, Muster-Verbraucherbericht (S. 53), pv@now (S. 54–55)</w:t>
            </w:r>
          </w:p>
        </w:tc>
        <w:tc>
          <w:tcPr>
            <w:tcW w:type="dxa" w:w="2338"/>
            <w:vAlign w:val="center"/>
          </w:tcPr>
          <w:p>
            <w:pPr>
              <w:spacing w:after="30" w:before="30" w:line="230"/>
              <w:jc w:val="left"/>
            </w:pPr>
            <w:r>
              <w:rPr>
                <w:b w:val="false"/>
                <w:bCs w:val="false"/>
                <w:sz w:val="17"/>
                <w:szCs w:val="17"/>
              </w:rPr>
              <w:t xml:space="preserve">mieterstrom-info.de [26]</w:t>
            </w:r>
          </w:p>
        </w:tc>
      </w:tr>
      <w:tr>
        <w:tc>
          <w:tcPr>
            <w:tcW w:type="dxa" w:w="3000"/>
            <w:shd w:fill="F2F5FA" w:color="auto" w:val="clear"/>
            <w:vAlign w:val="center"/>
          </w:tcPr>
          <w:p>
            <w:pPr>
              <w:spacing w:after="30" w:before="30" w:line="230"/>
              <w:jc w:val="left"/>
            </w:pPr>
            <w:r>
              <w:rPr>
                <w:b/>
                <w:bCs/>
                <w:sz w:val="17"/>
                <w:szCs w:val="17"/>
              </w:rPr>
              <w:t xml:space="preserve">Berechnungsgrundlagen pv@now easy (17.02.2026)</w:t>
            </w:r>
          </w:p>
        </w:tc>
        <w:tc>
          <w:tcPr>
            <w:tcW w:type="dxa" w:w="4300"/>
            <w:shd w:fill="F2F5FA" w:color="auto" w:val="clear"/>
            <w:vAlign w:val="center"/>
          </w:tcPr>
          <w:p>
            <w:pPr>
              <w:spacing w:after="30" w:before="30" w:line="230"/>
              <w:jc w:val="left"/>
            </w:pPr>
            <w:r>
              <w:rPr>
                <w:b w:val="false"/>
                <w:bCs w:val="false"/>
                <w:sz w:val="17"/>
                <w:szCs w:val="17"/>
              </w:rPr>
              <w:t xml:space="preserve">Voreinstellungen: Netzstrompreis 26,05 ct/kWh netto + 2 %/a, Messkosten 100 €/a, Ertrag 950 kWh/kWp, Leistungsminderung 5 %, Betriebskosten 1,5 % der Investition, Kalkulationszins 2 %, Investitionsstützstellen 2.200 → 1.300 €/kWp (1 → 30 kWp), Speicher 800 → 450 €/kWh; Stromaufteilung aus HTW-Berlin-Simulationen</w:t>
            </w:r>
          </w:p>
        </w:tc>
        <w:tc>
          <w:tcPr>
            <w:tcW w:type="dxa" w:w="2338"/>
            <w:shd w:fill="F2F5FA" w:color="auto" w:val="clear"/>
            <w:vAlign w:val="center"/>
          </w:tcPr>
          <w:p>
            <w:pPr>
              <w:spacing w:after="30" w:before="30" w:line="230"/>
              <w:jc w:val="left"/>
            </w:pPr>
            <w:r>
              <w:rPr>
                <w:b w:val="false"/>
                <w:bCs w:val="false"/>
                <w:sz w:val="17"/>
                <w:szCs w:val="17"/>
              </w:rPr>
              <w:t xml:space="preserve">pv-now-easy.de [24]</w:t>
            </w:r>
          </w:p>
        </w:tc>
      </w:tr>
      <w:tr>
        <w:tc>
          <w:tcPr>
            <w:tcW w:type="dxa" w:w="3000"/>
            <w:vAlign w:val="center"/>
          </w:tcPr>
          <w:p>
            <w:pPr>
              <w:spacing w:after="30" w:before="30" w:line="230"/>
              <w:jc w:val="left"/>
            </w:pPr>
            <w:r>
              <w:rPr>
                <w:b/>
                <w:bCs/>
                <w:sz w:val="17"/>
                <w:szCs w:val="17"/>
              </w:rPr>
              <w:t xml:space="preserve">pvnow-vergleich.pdf (08/2025)</w:t>
            </w:r>
          </w:p>
        </w:tc>
        <w:tc>
          <w:tcPr>
            <w:tcW w:type="dxa" w:w="4300"/>
            <w:vAlign w:val="center"/>
          </w:tcPr>
          <w:p>
            <w:pPr>
              <w:spacing w:after="30" w:before="30" w:line="230"/>
              <w:jc w:val="left"/>
            </w:pPr>
            <w:r>
              <w:rPr>
                <w:b w:val="false"/>
                <w:bCs w:val="false"/>
                <w:sz w:val="17"/>
                <w:szCs w:val="17"/>
              </w:rPr>
              <w:t xml:space="preserve">Produktvergleich easy / manager</w:t>
            </w:r>
          </w:p>
        </w:tc>
        <w:tc>
          <w:tcPr>
            <w:tcW w:type="dxa" w:w="2338"/>
            <w:vAlign w:val="center"/>
          </w:tcPr>
          <w:p>
            <w:pPr>
              <w:spacing w:after="30" w:before="30" w:line="230"/>
              <w:jc w:val="left"/>
            </w:pPr>
            <w:r>
              <w:rPr>
                <w:b w:val="false"/>
                <w:bCs w:val="false"/>
                <w:sz w:val="17"/>
                <w:szCs w:val="17"/>
              </w:rPr>
              <w:t xml:space="preserve">pv-now.de/downloads [23]</w:t>
            </w:r>
          </w:p>
        </w:tc>
      </w:tr>
      <w:tr>
        <w:tc>
          <w:tcPr>
            <w:tcW w:type="dxa" w:w="3000"/>
            <w:shd w:fill="F2F5FA" w:color="auto" w:val="clear"/>
            <w:vAlign w:val="center"/>
          </w:tcPr>
          <w:p>
            <w:pPr>
              <w:spacing w:after="30" w:before="30" w:line="230"/>
              <w:jc w:val="left"/>
            </w:pPr>
            <w:r>
              <w:rPr>
                <w:b/>
                <w:bCs/>
                <w:sz w:val="17"/>
                <w:szCs w:val="17"/>
              </w:rPr>
              <w:t xml:space="preserve">Vergütungssatzdateien der Bundesnetzagentur</w:t>
            </w:r>
          </w:p>
        </w:tc>
        <w:tc>
          <w:tcPr>
            <w:tcW w:type="dxa" w:w="4300"/>
            <w:shd w:fill="F2F5FA" w:color="auto" w:val="clear"/>
            <w:vAlign w:val="center"/>
          </w:tcPr>
          <w:p>
            <w:pPr>
              <w:spacing w:after="30" w:before="30" w:line="230"/>
              <w:jc w:val="left"/>
            </w:pPr>
            <w:r>
              <w:rPr>
                <w:b w:val="false"/>
                <w:bCs w:val="false"/>
                <w:sz w:val="17"/>
                <w:szCs w:val="17"/>
              </w:rPr>
              <w:t xml:space="preserve">maßgebliche Sätze je Inbetriebnahmezeitraum, auch unrundet</w:t>
            </w:r>
          </w:p>
        </w:tc>
        <w:tc>
          <w:tcPr>
            <w:tcW w:type="dxa" w:w="2338"/>
            <w:shd w:fill="F2F5FA" w:color="auto" w:val="clear"/>
            <w:vAlign w:val="center"/>
          </w:tcPr>
          <w:p>
            <w:pPr>
              <w:spacing w:after="30" w:before="30" w:line="230"/>
              <w:jc w:val="left"/>
            </w:pPr>
            <w:r>
              <w:rPr>
                <w:b w:val="false"/>
                <w:bCs w:val="false"/>
                <w:sz w:val="17"/>
                <w:szCs w:val="17"/>
              </w:rPr>
              <w:t xml:space="preserve">bundesnetzagentur.de [1][2][3]</w:t>
            </w:r>
          </w:p>
        </w:tc>
      </w:tr>
      <w:tr>
        <w:tc>
          <w:tcPr>
            <w:tcW w:type="dxa" w:w="3000"/>
            <w:vAlign w:val="center"/>
          </w:tcPr>
          <w:p>
            <w:pPr>
              <w:spacing w:after="30" w:before="30" w:line="230"/>
              <w:jc w:val="left"/>
            </w:pPr>
            <w:r>
              <w:rPr>
                <w:b/>
                <w:bCs/>
                <w:sz w:val="17"/>
                <w:szCs w:val="17"/>
              </w:rPr>
              <w:t xml:space="preserve">mieterstrom-info.de</w:t>
            </w:r>
          </w:p>
        </w:tc>
        <w:tc>
          <w:tcPr>
            <w:tcW w:type="dxa" w:w="4300"/>
            <w:vAlign w:val="center"/>
          </w:tcPr>
          <w:p>
            <w:pPr>
              <w:spacing w:after="30" w:before="30" w:line="230"/>
              <w:jc w:val="left"/>
            </w:pPr>
            <w:r>
              <w:rPr>
                <w:b w:val="false"/>
                <w:bCs w:val="false"/>
                <w:sz w:val="17"/>
                <w:szCs w:val="17"/>
              </w:rPr>
              <w:t xml:space="preserve">Betreiber- und Messkonzepte, Musterverträge, Intersolar-Vortrag 2023 (Vogtmann, 20 Minuten) zu Betreiber- und Messkonzepten</w:t>
            </w:r>
          </w:p>
        </w:tc>
        <w:tc>
          <w:tcPr>
            <w:tcW w:type="dxa" w:w="2338"/>
            <w:vAlign w:val="center"/>
          </w:tcPr>
          <w:p>
            <w:pPr>
              <w:spacing w:after="30" w:before="30" w:line="230"/>
              <w:jc w:val="left"/>
            </w:pPr>
            <w:r>
              <w:rPr>
                <w:b w:val="false"/>
                <w:bCs w:val="false"/>
                <w:sz w:val="17"/>
                <w:szCs w:val="17"/>
              </w:rPr>
              <w:t xml:space="preserve">[26]</w:t>
            </w:r>
          </w:p>
        </w:tc>
      </w:tr>
    </w:tbl>
    <w:p>
      <w:pPr>
        <w:spacing w:after="100"/>
      </w:pPr>
      <w:r>
        <w:rPr>
          <w:sz w:val="8"/>
          <w:szCs w:val="8"/>
        </w:rPr>
        <w:t xml:space="preserve"/>
      </w:r>
    </w:p>
    <w:p>
      <w:r>
        <w:rPr>
          <w:b/>
          <w:bCs/>
        </w:rPr>
        <w:t xml:space="preserve">Hinweis zur Quellenlage:</w:t>
      </w:r>
      <w:r>
        <w:t xml:space="preserve"> Ein öffentliches Handbuch oder FAQ zu pv@now existiert nicht; der überwiegende Teil der Anwendung liegt hinter dem Login. Öffentlich zugänglich sind die Registrierungs- und Produktinfoseiten, vier PDFs im Downloadbereich sowie die Schwesterseiten pv-now-easy.de, pv-now-easy-ue20.de und mieterstrom-info.de [22]. Ein Musterprojekt zum Download gibt es nicht; als öffentliches Rechenbeispiel nennt die DGS Franken eine 6-kWp-Anlage von 2018 (ohne PV 46.700 €, mit PV 36.150 €, Vorteil 10.550 €) [25].</w:t>
      </w:r>
    </w:p>
    <w:p>
      <w:pPr>
        <w:pStyle w:val="Heading2"/>
      </w:pPr>
      <w:bookmarkStart w:id="900047" w:name="_Toc90000047"/>
      <w:r>
        <w:t xml:space="preserve">D5  Fachbegriffe aus pv@now — geprüft und auf Stand 08/2026 gebracht</w:t>
      </w:r>
      <w:bookmarkEnd w:id="900047"/>
    </w:p>
    <w:p>
      <w:r>
        <w:t xml:space="preserve">Die Glossartexte des Werkzeugs sind fachlich sorgfältig, inhaltlich aber teilweise auf den Stand des EEG 2017/2021 eingefroren. Die folgende Liste führt alle </w:t>
      </w:r>
      <w:r>
        <w:rPr>
          <w:b/>
          <w:bCs/>
        </w:rPr>
        <w:t xml:space="preserve">27 am 25.08.2026 ausgelesenen Einträge</w:t>
      </w:r>
      <w:r>
        <w:t xml:space="preserve"> [29][32] in geprüfter Fassung: Jeder Begriff erhält eine knappe Definition auf dem Rechtsstand 25.08.2026; wo die Formulierung des Werkzeugs weiterhin zutrifft, ist sie kurz wörtlich übernommen und als Zitat gekennzeichnet. Weicht der Tool-Text vom geltenden Recht ab, steht dies in </w:t>
      </w:r>
      <w:r>
        <w:rPr>
          <w:b/>
          <w:bCs/>
        </w:rPr>
        <w:t xml:space="preserve">einer</w:t>
      </w:r>
      <w:r>
        <w:t xml:space="preserve"> Zeile „⚠ Tool-Text veraltet“ mit Fundstelle — die überholte Rechtslage wird dabei nicht ausgebreitet. Die Reihenfolge ist alphabetisch. Bilanz der Prüfung der 21 im Ergänzungslauf erfassten Begriffe: </w:t>
      </w:r>
      <w:r>
        <w:rPr>
          <w:b/>
          <w:bCs/>
        </w:rPr>
        <w:t xml:space="preserve">elf gelten unverändert, vier mit Einschränkung, sechs sind veraltet</w:t>
      </w:r>
      <w:r>
        <w:t xml:space="preserve">; hinzu kommt der Eintrag zum Ausschreibungsmodell aus dem ersten Erfassungslauf, dessen Schwellenwerte ebenfalls überholt sind. Die sechs bereits zuvor erfassten Einträge (Betreiber, Betreibermodell Auswahl, Betreibermodell einfügen, Investor, Ausschreibungsmodell, EEG-Vergütung Netzeinspeisung) sind hier mit aufgenommen, damit die Begriffe nur an einer Stelle stehen.</w:t>
      </w:r>
    </w:p>
    <w:p>
      <w:pPr>
        <w:spacing w:after="70" w:before="200" w:line="268"/>
      </w:pPr>
      <w:r>
        <w:rPr>
          <w:b/>
          <w:bCs/>
          <w:color w:val="1F3864"/>
        </w:rPr>
        <w:t xml:space="preserve">Anzulegender Wert</w:t>
      </w:r>
      <w:r>
        <w:t xml:space="preserve">  —  </w:t>
      </w:r>
      <w:r>
        <w:t xml:space="preserve">Der gesetzlich bestimmte Vergütungsanker jeder EEG-Anlage; aus ihm werden sämtliche Zahlungsansprüche abgeleitet. In der geförderten Direktvermarktung ist er die auf 20 Jahre feste Erlösobergrenze des Marktprämienmodells (§ 20 EEG), bei der festen Einspeisevergütung wird er nach § 53 Abs. 1 Nr. 2 EEG um 0,40 ct/kWh gekürzt — die feste Vergütung liegt deshalb stets 0,40 ct/kWh unter dem anzulegenden Wert. Für Gebäudeanlagen ist er bis einschließlich 1.000 kW gesetzlich bestimmt (§ 48 Abs. 2 EEG) und wird über mehrere Leistungsklassen hinweg nach dem Stufenmodell des § 23c EEG anteilig gemischt; darüber wird er in der Ausschreibung ermittelt. Aktuelle Werte in B2.</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70"/>
          <w:left w:type="dxa" w:w="140"/>
          <w:bottom w:type="dxa" w:w="70"/>
          <w:right w:type="dxa" w:w="140"/>
        </w:tblCellMar>
      </w:tblPr>
      <w:tblGrid>
        <w:gridCol w:w="9638"/>
      </w:tblGrid>
      <w:tr>
        <w:trPr>
          <w:cantSplit/>
        </w:trPr>
        <w:tc>
          <w:tcPr>
            <w:tcW w:type="dxa" w:w="9638"/>
            <w:tcBorders>
              <w:top w:val="none" w:color="FFFFFF" w:sz="0"/>
              <w:left w:val="single" w:color="C00000" w:sz="18"/>
              <w:bottom w:val="none" w:color="FFFFFF" w:sz="0"/>
              <w:right w:val="none" w:color="FFFFFF" w:sz="0"/>
            </w:tcBorders>
            <w:shd w:fill="FDEDEC" w:color="auto" w:val="clear"/>
          </w:tcPr>
          <w:p>
            <w:pPr>
              <w:spacing w:after="20" w:before="20" w:line="250"/>
            </w:pPr>
            <w:r>
              <w:rPr>
                <w:sz w:val="18"/>
                <w:szCs w:val="18"/>
              </w:rPr>
              <w:t xml:space="preserve">⚠  </w:t>
            </w:r>
            <w:r>
              <w:rPr>
                <w:b/>
                <w:bCs/>
                <w:sz w:val="18"/>
                <w:szCs w:val="18"/>
              </w:rPr>
              <w:t xml:space="preserve">Tool-Text veraltet:</w:t>
            </w:r>
            <w:r>
              <w:rPr>
                <w:sz w:val="18"/>
                <w:szCs w:val="18"/>
              </w:rPr>
              <w:t xml:space="preserve"> Der Eintrag erklärt den Abstand von 0,40 ct/kWh als „integrierte Managementprämie“ und begrenzt den anzulegenden Wert auf 750 kWp. Heute ist dieser Betrag ein gesetzlicher </w:t>
            </w:r>
            <w:r>
              <w:rPr>
                <w:b/>
                <w:bCs/>
                <w:sz w:val="18"/>
                <w:szCs w:val="18"/>
              </w:rPr>
              <w:t xml:space="preserve">Abzug</w:t>
            </w:r>
            <w:r>
              <w:rPr>
                <w:sz w:val="18"/>
                <w:szCs w:val="18"/>
              </w:rPr>
              <w:t xml:space="preserve"> von der Einspeisevergütung (§ 53 Abs. 1 Nr. 2 EEG) und keine Prämie — die Managementprämie ist im Tool folgerichtig ausgegraut —, und gesetzlich bestimmte anzulegende Werte gibt es für Gebäudeanlagen bis 1.000 kW [4][35].</w:t>
            </w:r>
          </w:p>
        </w:tc>
      </w:tr>
    </w:tbl>
    <w:p>
      <w:pPr>
        <w:spacing w:after="70" w:before="200" w:line="268"/>
      </w:pPr>
      <w:r>
        <w:rPr>
          <w:b/>
          <w:bCs/>
          <w:color w:val="1F3864"/>
        </w:rPr>
        <w:t xml:space="preserve">Anzulegender Wert Ausfallvergütung</w:t>
      </w:r>
      <w:r>
        <w:t xml:space="preserve">  —  </w:t>
      </w:r>
      <w:r>
        <w:t xml:space="preserve">Die Ausfallvergütung („Einspeisevergütung in Ausnahmefällen“) erlaubt es, die geförderte Direktvermarktung vorübergehend zu verlassen und den Strom gegen </w:t>
      </w:r>
      <w:r>
        <w:rPr>
          <w:b/>
          <w:bCs/>
        </w:rPr>
        <w:t xml:space="preserve">80 % des anzulegenden Wertes</w:t>
      </w:r>
      <w:r>
        <w:t xml:space="preserve"> einzuspeisen; das Ergebnis ist auf zwei Nachkommastellen zu runden (§ 21 Abs. 1 S. 1 Nr. 3 i. V. m. § 53 Abs. 3 EEG). Sie steht nur Anlagen </w:t>
      </w:r>
      <w:r>
        <w:rPr>
          <w:b/>
          <w:bCs/>
        </w:rPr>
        <w:t xml:space="preserve">über 100 kW</w:t>
      </w:r>
      <w:r>
        <w:t xml:space="preserve"> offen und ist auf höchstens drei aufeinanderfolgende Kalendermonate und insgesamt sechs Kalendermonate je Kalenderjahr begrenzt; wird eine der beiden Höchstdauern überschritten, sinkt der Anspruch für den </w:t>
      </w:r>
      <w:r>
        <w:rPr>
          <w:b/>
          <w:bCs/>
        </w:rPr>
        <w:t xml:space="preserve">gesamten</w:t>
      </w:r>
      <w:r>
        <w:t xml:space="preserve"> Kalendermonat auf null. Die wirtschaftliche Einordnung des Werkzeugs gilt unverändert: Die Ausfallvergütung kann „besonders bei projektspezifischen hohen Direktverbrauchsquoten (z.B. 90 %) wirtschaftlich hinreichend attraktiv sein“, weil Vermarktungspauschale, Bürokratie und Vertragsbindung entfallen.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70"/>
          <w:left w:type="dxa" w:w="140"/>
          <w:bottom w:type="dxa" w:w="70"/>
          <w:right w:type="dxa" w:w="140"/>
        </w:tblCellMar>
      </w:tblPr>
      <w:tblGrid>
        <w:gridCol w:w="9638"/>
      </w:tblGrid>
      <w:tr>
        <w:trPr>
          <w:cantSplit/>
        </w:trPr>
        <w:tc>
          <w:tcPr>
            <w:tcW w:type="dxa" w:w="9638"/>
            <w:tcBorders>
              <w:top w:val="none" w:color="FFFFFF" w:sz="0"/>
              <w:left w:val="single" w:color="C00000" w:sz="18"/>
              <w:bottom w:val="none" w:color="FFFFFF" w:sz="0"/>
              <w:right w:val="none" w:color="FFFFFF" w:sz="0"/>
            </w:tcBorders>
            <w:shd w:fill="FDEDEC" w:color="auto" w:val="clear"/>
          </w:tcPr>
          <w:p>
            <w:pPr>
              <w:spacing w:after="20" w:before="20" w:line="250"/>
            </w:pPr>
            <w:r>
              <w:rPr>
                <w:sz w:val="18"/>
                <w:szCs w:val="18"/>
              </w:rPr>
              <w:t xml:space="preserve">⚠  </w:t>
            </w:r>
            <w:r>
              <w:rPr>
                <w:b/>
                <w:bCs/>
                <w:sz w:val="18"/>
                <w:szCs w:val="18"/>
              </w:rPr>
              <w:t xml:space="preserve">Tool-Text veraltet:</w:t>
            </w:r>
            <w:r>
              <w:rPr>
                <w:sz w:val="18"/>
                <w:szCs w:val="18"/>
              </w:rPr>
              <w:t xml:space="preserve"> Der Eintrag stützt sich auf § 21 EEG 2021 und auf die Rechtslage seit dem EEG 2017. Maßgeblich ist heute § 21 Abs. 1 S. 1 </w:t>
            </w:r>
            <w:r>
              <w:rPr>
                <w:b/>
                <w:bCs/>
                <w:sz w:val="18"/>
                <w:szCs w:val="18"/>
              </w:rPr>
              <w:t xml:space="preserve">Nr. 3</w:t>
            </w:r>
            <w:r>
              <w:rPr>
                <w:sz w:val="18"/>
                <w:szCs w:val="18"/>
              </w:rPr>
              <w:t xml:space="preserve"> i. V. m. § 53 Abs. 3 EEG 2023; die Drei- und die Sechs-Monats-Grenze gelten unverändert fort, ausdrücklich geregelt ist zusätzlich die Nullstellung für den gesamten Kalendermonat bei Überschreitung [35].</w:t>
            </w:r>
          </w:p>
        </w:tc>
      </w:tr>
    </w:tbl>
    <w:p>
      <w:pPr>
        <w:spacing w:after="70" w:before="200" w:line="268"/>
      </w:pPr>
      <w:r>
        <w:rPr>
          <w:b/>
          <w:bCs/>
          <w:color w:val="1F3864"/>
        </w:rPr>
        <w:t xml:space="preserve">Betreiber</w:t>
      </w:r>
      <w:r>
        <w:t xml:space="preserve">  —  </w:t>
      </w:r>
      <w:r>
        <w:t xml:space="preserve">Der Anlagenbetreiber ist nach § 3 Nr. 2 EEG, wer die Anlage unabhängig vom Eigentum für die Stromerzeugung nutzt; er ist Inhaber des Vergütungsanspruchs und Adressat der Melde- und Steuerbarkeitspflichten. Die Glossardefinition trifft das unverändert: Betreiber ist, „welche[r] hinreichende Verfügungsgewalt über die ‚Fahrweise' der Anlage hat, ein hinreichendes technisches und wirtschaftliches Betreiberrisiko trägt und die Anlage ‚auf eigene Rechnung betreibt'“. Für die Modelle PV-Miete und PV-Teilmiete ist das die tragende Voraussetzung: Der Mieter wird nur dann Betreiber, wenn er Einfluss auf die Fahrweise hat, das Betreiberrisiko trägt und die Abrechnung mit dem Netzbetreiber vornimmt. Auch der Teilmieter trägt Betreiberrisiken; sie werden im Innenverhältnis über den Teilmietvertrag zur Risikoabsicherung auf den Hauptbetreiber übertragen.</w:t>
      </w:r>
    </w:p>
    <w:p>
      <w:pPr>
        <w:spacing w:after="70" w:before="200" w:line="268"/>
      </w:pPr>
      <w:r>
        <w:rPr>
          <w:b/>
          <w:bCs/>
          <w:color w:val="1F3864"/>
        </w:rPr>
        <w:t xml:space="preserve">Betreibermodell Auswahl</w:t>
      </w:r>
      <w:r>
        <w:t xml:space="preserve">  —  </w:t>
      </w:r>
      <w:r>
        <w:t xml:space="preserve">Werkzeugfunktion ohne Rechtsbezug: „Hier wird das passende Betreiberkonzept ausgewählt: Eigenverbrauch mit Überschussnetzeinspeisung, PV-Stromlieferung an Dritte vor Ort mit Überschussnetzeinspeisung, PV-Miete, PV-Teilmiete, Mischformen, Volleinspeisung.“ Die vollständige Auswahlliste der App-Version 10.0.0 mit 25 Modellen steht in A2.</w:t>
      </w:r>
    </w:p>
    <w:p>
      <w:pPr>
        <w:spacing w:after="70" w:before="200" w:line="268"/>
      </w:pPr>
      <w:r>
        <w:rPr>
          <w:b/>
          <w:bCs/>
          <w:color w:val="1F3864"/>
        </w:rPr>
        <w:t xml:space="preserve">Betreibermodell einfügen</w:t>
      </w:r>
      <w:r>
        <w:t xml:space="preserve">  —  </w:t>
      </w:r>
      <w:r>
        <w:t xml:space="preserve">Werkzeugfunktion: Je Plan lassen sich bis zu vier Betreibermodelle zeitlich nacheinander abbilden — „[e]ntweder an Stelle des bisherigen Betreibermodells oder zeitlich vor- oder nachgelagert“. Als Standardfall nennt der Hilfetext die Kombination der PV-Miete mit Investitionsabzugsbetrag und Sonderabschreibung: Beginn mit Volleinspeisung, Wechsel zu Beginn des dritten Kalenderjahres in die PV-Miete. Methodisch bedeutet ein Modellwechsel, dass die Rechenschritte 2, 5 und 6 abschnittsweise mit unterschiedlichen Regeln laufen (siehe M1, M3).</w:t>
      </w:r>
    </w:p>
    <w:p>
      <w:pPr>
        <w:spacing w:after="70" w:before="200" w:line="268"/>
      </w:pPr>
      <w:r>
        <w:rPr>
          <w:b/>
          <w:bCs/>
          <w:color w:val="1F3864"/>
        </w:rPr>
        <w:t xml:space="preserve">Direktvermarktungspreis</w:t>
      </w:r>
      <w:r>
        <w:t xml:space="preserve">  —  </w:t>
      </w:r>
      <w:r>
        <w:t xml:space="preserve">Der je Kilowattstunde tatsächlich erzielte Erlös in der Direktvermarktung. In der geförderten Direktvermarktung setzt er sich aus dem Vermarktungserlös des Direktvermarkters und der Marktprämie zusammen und ist nach oben durch den anzulegenden Wert begrenzt; abzuziehen ist die vertraglich vereinbarte Vermarktungspauschale. In der sonstigen Direktvermarktung ist er das reine Verhandlungsergebnis ohne EEG-Anteil.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70"/>
          <w:left w:type="dxa" w:w="140"/>
          <w:bottom w:type="dxa" w:w="70"/>
          <w:right w:type="dxa" w:w="140"/>
        </w:tblCellMar>
      </w:tblPr>
      <w:tblGrid>
        <w:gridCol w:w="9638"/>
      </w:tblGrid>
      <w:tr>
        <w:trPr>
          <w:cantSplit/>
        </w:trPr>
        <w:tc>
          <w:tcPr>
            <w:tcW w:type="dxa" w:w="9638"/>
            <w:tcBorders>
              <w:top w:val="none" w:color="FFFFFF" w:sz="0"/>
              <w:left w:val="single" w:color="C00000" w:sz="18"/>
              <w:bottom w:val="none" w:color="FFFFFF" w:sz="0"/>
              <w:right w:val="none" w:color="FFFFFF" w:sz="0"/>
            </w:tcBorders>
            <w:shd w:fill="FDEDEC" w:color="auto" w:val="clear"/>
          </w:tcPr>
          <w:p>
            <w:pPr>
              <w:spacing w:after="20" w:before="20" w:line="250"/>
            </w:pPr>
            <w:r>
              <w:rPr>
                <w:sz w:val="18"/>
                <w:szCs w:val="18"/>
              </w:rPr>
              <w:t xml:space="preserve">⚠  </w:t>
            </w:r>
            <w:r>
              <w:rPr>
                <w:b/>
                <w:bCs/>
                <w:sz w:val="18"/>
                <w:szCs w:val="18"/>
              </w:rPr>
              <w:t xml:space="preserve">Tool-Text veraltet:</w:t>
            </w:r>
            <w:r>
              <w:rPr>
                <w:sz w:val="18"/>
                <w:szCs w:val="18"/>
              </w:rPr>
              <w:t xml:space="preserve"> Der Eintrag beschreibt Inbetriebnahmen bis 31.07.2014 und nennt für das EEG 2021 „die monatliche[…] Degression gemäß der Zielkorridorerreichung“. Heute sinken die anzulegenden Werte nach § 49 EEG </w:t>
            </w:r>
            <w:r>
              <w:rPr>
                <w:b/>
                <w:bCs/>
                <w:sz w:val="18"/>
                <w:szCs w:val="18"/>
              </w:rPr>
              <w:t xml:space="preserve">halbjährlich um 1 %</w:t>
            </w:r>
            <w:r>
              <w:rPr>
                <w:sz w:val="18"/>
                <w:szCs w:val="18"/>
              </w:rPr>
              <w:t xml:space="preserve"> — zuletzt zum 01.08.2026, nächste Absenkung 01.02.2027 —, ein zubauabhängiger atmender Deckel besteht nicht mehr; die Marktprämie wird für Inbetriebnahmen ab 01.01.2023 mit dem Jahresmarktwert Solar gebildet (Anlage 1 zu § 23a EEG) [1][4].</w:t>
            </w:r>
          </w:p>
        </w:tc>
      </w:tr>
    </w:tbl>
    <w:p>
      <w:pPr>
        <w:spacing w:after="70" w:before="200" w:line="268"/>
      </w:pPr>
      <w:r>
        <w:rPr>
          <w:b/>
          <w:bCs/>
          <w:color w:val="1F3864"/>
        </w:rPr>
        <w:t xml:space="preserve">EEG-Mieterstromzuschlag</w:t>
      </w:r>
      <w:r>
        <w:t xml:space="preserve">  —  </w:t>
      </w:r>
      <w:r>
        <w:t xml:space="preserve">Zusätzliche EEG-Zahlung für Solarstrom, der </w:t>
      </w:r>
      <w:r>
        <w:rPr>
          <w:b/>
          <w:bCs/>
        </w:rPr>
        <w:t xml:space="preserve">ohne Durchleitung durch ein Netz</w:t>
      </w:r>
      <w:r>
        <w:t xml:space="preserve"> an Letztverbraucher im Gebäude, in dessen Nebenanlagen oder in Gebäuden desselben Quartiers geliefert und dort verbraucht wird (§ 19 Abs. 1 Nr. 3, § 21 Abs. 3, § 48a EEG). Er tritt neben die Vergütung des eingespeisten Überschusses, ist nach den Leistungsklassen bis 10, bis 40 und bis 1.000 kW gestaffelt und wird für die Gesamtanlage anteilig gemischt; bei Inbetriebnahme 08/2026–01/2027 beträgt er 2,51 / 2,33 / 1,57 ct/kWh. Der Bedienhinweis des Werkzeugs gilt unverändert: Der Systemwert kann überschrieben werden, und „möchte [man] aber wieder zum Systemwert zurück, so kann man das Eingabefeld leeren und speichern“. Die formalen Voraussetzungen — insbesondere das Vollversorgungsgebot und der Preisdeckel von 90 % des Grundversorgungstarifs nach § 42a EnWG — prüft pv@now ausdrücklich nicht.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70"/>
          <w:left w:type="dxa" w:w="140"/>
          <w:bottom w:type="dxa" w:w="70"/>
          <w:right w:type="dxa" w:w="140"/>
        </w:tblCellMar>
      </w:tblPr>
      <w:tblGrid>
        <w:gridCol w:w="9638"/>
      </w:tblGrid>
      <w:tr>
        <w:trPr>
          <w:cantSplit/>
        </w:trPr>
        <w:tc>
          <w:tcPr>
            <w:tcW w:type="dxa" w:w="9638"/>
            <w:tcBorders>
              <w:top w:val="none" w:color="FFFFFF" w:sz="0"/>
              <w:left w:val="single" w:color="C00000" w:sz="18"/>
              <w:bottom w:val="none" w:color="FFFFFF" w:sz="0"/>
              <w:right w:val="none" w:color="FFFFFF" w:sz="0"/>
            </w:tcBorders>
            <w:shd w:fill="FDEDEC" w:color="auto" w:val="clear"/>
          </w:tcPr>
          <w:p>
            <w:pPr>
              <w:spacing w:after="20" w:before="20" w:line="250"/>
            </w:pPr>
            <w:r>
              <w:rPr>
                <w:sz w:val="18"/>
                <w:szCs w:val="18"/>
              </w:rPr>
              <w:t xml:space="preserve">⚠  </w:t>
            </w:r>
            <w:r>
              <w:rPr>
                <w:b/>
                <w:bCs/>
                <w:sz w:val="18"/>
                <w:szCs w:val="18"/>
              </w:rPr>
              <w:t xml:space="preserve">Tool-Text veraltet:</w:t>
            </w:r>
            <w:r>
              <w:rPr>
                <w:sz w:val="18"/>
                <w:szCs w:val="18"/>
              </w:rPr>
              <w:t xml:space="preserve"> Der Eintrag begrenzt die Förderfähigkeit auf Anlagen „kleiner gleich 100 kWp“ und (in der EEG-2017-Passage) auf Wohngebäude. Heute reicht § 48a EEG bis einschließlich 1 Megawatt, und seit dem Solarpaket I sind alle Gebäudetypen erfasst — als Wohngebäude gilt dabei ein Gebäude, dessen Fläche zu mindestens 40 % dem Wohnen dient (§ 21 Abs. 3 S. 3 EEG i. V. m. § 3 Nr. 50 EEG); bei Gebäuden, die keine Wohngebäude sind, entfällt der Anspruch, wenn Lieferant und Letztverbraucher verbundene Unternehmen sind, und für Strom, der in einen Speicher eingespeist wird, besteht er nicht [35].</w:t>
            </w:r>
          </w:p>
        </w:tc>
      </w:tr>
    </w:tbl>
    <w:p>
      <w:pPr>
        <w:spacing w:after="70" w:before="200" w:line="268"/>
      </w:pPr>
      <w:r>
        <w:rPr>
          <w:b/>
          <w:bCs/>
          <w:color w:val="1F3864"/>
        </w:rPr>
        <w:t xml:space="preserve">EEG-Vergütung für Eigen-/Direktverbrauch</w:t>
      </w:r>
      <w:r>
        <w:t xml:space="preserve">  —  </w:t>
      </w:r>
      <w:r>
        <w:t xml:space="preserve">Reines Bestandsanlagenfeld: Es betrifft ausschließlich Anlagen mit Inbetriebnahme vom 01.01.2009 bis 31.03.2012, für die das EEG 2009 bis EEG 2012/I den selbst oder durch Dritte vor Ort verbrauchten Strom gesondert vergütete. Für alle späteren Inbetriebnahmen gibt es diesen Anspruch nicht; Eigenverbrauch wirkt seither ausschließlich über den vermiedenen Netzbezug. Die letzten dieser Ansprüche laufen mit dem Ende des 20-jährigen Vergütungszeitraums bis Ende 2032 aus (§ 25 Abs. 1 EEG).</w:t>
      </w:r>
    </w:p>
    <w:p>
      <w:pPr>
        <w:spacing w:after="70" w:before="200" w:line="268"/>
      </w:pPr>
      <w:r>
        <w:rPr>
          <w:b/>
          <w:bCs/>
          <w:color w:val="1F3864"/>
        </w:rPr>
        <w:t xml:space="preserve">EEG-Vergütung Netzeinspeisung</w:t>
      </w:r>
      <w:r>
        <w:t xml:space="preserve">  —  </w:t>
      </w:r>
      <w:r>
        <w:t xml:space="preserve">Die staatlich festgelegte Vergütung für eingespeisten Strom aus erneuerbaren Energien auf Grundlage des EEG. Anwendungsbezogen ist es der in ct/kWh festgeschriebene Satz, der für 20 Jahre zuzüglich der Inbetriebnahmemonate des Anfangsjahres gilt (§ 25 Abs. 1 EEG) und im Werkzeug bei langfristig geplanten Projekten durch einen „freien Satz“ ersetzt oder ergänzt werden kann. Für Neuanlagen ist er auf Anlagen bis 100 kW beschränkt (§ 21 Abs. 1 Nr. 1 EEG).</w:t>
      </w:r>
    </w:p>
    <w:p>
      <w:pPr>
        <w:spacing w:after="70" w:before="200" w:line="268"/>
      </w:pPr>
      <w:r>
        <w:rPr>
          <w:b/>
          <w:bCs/>
          <w:color w:val="1F3864"/>
        </w:rPr>
        <w:t xml:space="preserve">EEG-Zuschlag bei Volleinspeisung</w:t>
      </w:r>
      <w:r>
        <w:t xml:space="preserve">  —  </w:t>
      </w:r>
      <w:r>
        <w:t xml:space="preserve">Aufschlag auf den anzulegenden Wert für </w:t>
      </w:r>
      <w:r>
        <w:rPr>
          <w:b/>
          <w:bCs/>
        </w:rPr>
        <w:t xml:space="preserve">Gebäudeanlagen</w:t>
      </w:r>
      <w:r>
        <w:t xml:space="preserve">, die den erzeugten Strom vollständig einspeisen (§ 48 Abs. 2a EEG). Die Begründung des Werkzeugs trifft weiterhin zu: Der Zuschlag „soll Anlagen, die keinen Eigenverbrauch umsetzen können oder wollen, eine Aussicht auf einen wirtschaftlichen Betrieb ermöglichen“; seine Höhe „richtet sich nach Anlagengröße und Inbetriebnahmedatum und wird gesetzlich festgelegt“. Zu ergänzen ist die praktisch entscheidende Formalie: Der Zuschlag setzt eine </w:t>
      </w:r>
      <w:r>
        <w:rPr>
          <w:b/>
          <w:bCs/>
        </w:rPr>
        <w:t xml:space="preserve">Meldung in Textform vor der Inbetriebnahme</w:t>
      </w:r>
      <w:r>
        <w:t xml:space="preserve"> voraus, für Folgejahre jeweils vor dem 1. Dezember des Vorjahres. Für Gebäudeanlagen bis 10 kW mit Inbetriebnahme ab 01.08.2026 führt er von 7,70 auf 12,22 ct/kWh feste Einspeisevergütung.</w:t>
      </w:r>
    </w:p>
    <w:p>
      <w:pPr>
        <w:spacing w:after="70" w:before="200" w:line="268"/>
      </w:pPr>
      <w:r>
        <w:rPr>
          <w:b/>
          <w:bCs/>
          <w:color w:val="1F3864"/>
        </w:rPr>
        <w:t xml:space="preserve">Eigenverbrauch</w:t>
      </w:r>
      <w:r>
        <w:t xml:space="preserve">  —  </w:t>
      </w:r>
      <w:r>
        <w:t xml:space="preserve">„Bezieht sich auf die prognostizierte oder tatsächliche Eigenverbrauchsquote, die der Anlagenbetreiber erzielt. Die Prozente beziehen sich auf den vollen Ertrag der Photovoltaikanlage (im jeweiligen Jahr). … Personenidentität als Voraussetzung zum Eigenverbrauch muss gewährleistet sein.“ Diese Definition gilt unverändert; die Personenidentität von Anlagenbetreiber und Verbraucher ist genau der Punkt, an dem sich Eigenverbrauch von einer Stromlieferung unterscheidet und den die Modelle PV-Miete und PV-Teilmiete gezielt herstellen. Wirtschaftlich ist der Eigenverbrauch keine Vergütung, sondern vermiedener Netzbezug zum vollen Arbeitspreis (im Fallbeispiel im Laufzeitmittel 45,83 ct/kWh gegenüber 7,47 ct/kWh Einspeisevergütung). Nicht zu verwechseln mit der solaren Deckung: Die Eigenverbrauchsquote misst den Anteil an der </w:t>
      </w:r>
      <w:r>
        <w:rPr>
          <w:b/>
          <w:bCs/>
        </w:rPr>
        <w:t xml:space="preserve">Erzeugung</w:t>
      </w:r>
      <w:r>
        <w:t xml:space="preserve">, der Autarkiegrad den Anteil am </w:t>
      </w:r>
      <w:r>
        <w:rPr>
          <w:b/>
          <w:bCs/>
        </w:rPr>
        <w:t xml:space="preserve">Verbrauch</w:t>
      </w:r>
      <w:r>
        <w:t xml:space="preserve">.</w:t>
      </w:r>
    </w:p>
    <w:p>
      <w:pPr>
        <w:spacing w:after="70" w:before="200" w:line="268"/>
      </w:pPr>
      <w:r>
        <w:rPr>
          <w:b/>
          <w:bCs/>
          <w:color w:val="1F3864"/>
        </w:rPr>
        <w:t xml:space="preserve">Freier Vergütungssatz</w:t>
      </w:r>
      <w:r>
        <w:t xml:space="preserve">  —  </w:t>
      </w:r>
      <w:r>
        <w:t xml:space="preserve">Frei eingebbarer Erlös je Kilowattstunde für eingespeisten Strom in Konstellationen ohne EEG-Vergütung oder abweichend von ihr: vertraglich vereinbarte Festsätze für ausgeförderte Ü20-Anlagen, eigene Annahmen zur Förderentwicklung oder Betrachtungen nach dem Förderende. Der im Eintrag genannte Sonderfall gilt fort: Werden auf demselben Grundstück oder Gebäude mehrere PV-Anlagen innerhalb von zwölf aufeinanderfolgenden Kalendermonaten in Betrieb genommen, gelten sie für die Ermittlung der Vergütungsklasse als </w:t>
      </w:r>
      <w:r>
        <w:rPr>
          <w:b/>
          <w:bCs/>
        </w:rPr>
        <w:t xml:space="preserve">eine</w:t>
      </w:r>
      <w:r>
        <w:t xml:space="preserve"> Anlage (§ 24 Abs. 1 EEG) — die Teile oberhalb von 10 kW erhalten dann nicht mehr den höchsten Satz. Ergänzend gilt heute: Gebäudeanlagen hinter verschiedenen Netzverknüpfungspunkten werden nicht zusammengefasst, Steckersolargeräte bis 2 kW bleiben unberücksichtigt [35].</w:t>
      </w:r>
    </w:p>
    <w:p>
      <w:pPr>
        <w:spacing w:after="70" w:before="200" w:line="268"/>
      </w:pPr>
      <w:r>
        <w:rPr>
          <w:b/>
          <w:bCs/>
          <w:color w:val="1F3864"/>
        </w:rPr>
        <w:t xml:space="preserve">Geförderte Direktvermarktung (Ausschreibungsmodell)</w:t>
      </w:r>
      <w:r>
        <w:t xml:space="preserve">  —  </w:t>
      </w:r>
      <w:r>
        <w:t xml:space="preserve">Für große Solaranlagen wird der anzulegende Wert nicht gesetzlich bestimmt, sondern in Ausschreibungen der Bundesnetzagentur ermittelt (§ 22 Abs. 3 EEG; pay-as-bid). Wie im Glossar beschrieben, werden „[s]eit dem EEG 2021 … Freiflächenanlagen und Gebäudeanlagen in getrennten ‚Segmenten' ausgeschrieben. Die Ausschreibungen finden dreimal pro Jahr statt und werden von der Bundesnetzagentur veröffentlicht.“ Die Ergebnisse der Runden 2026 stehen in B3.</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70"/>
          <w:left w:type="dxa" w:w="140"/>
          <w:bottom w:type="dxa" w:w="70"/>
          <w:right w:type="dxa" w:w="140"/>
        </w:tblCellMar>
      </w:tblPr>
      <w:tblGrid>
        <w:gridCol w:w="9638"/>
      </w:tblGrid>
      <w:tr>
        <w:trPr>
          <w:cantSplit/>
        </w:trPr>
        <w:tc>
          <w:tcPr>
            <w:tcW w:type="dxa" w:w="9638"/>
            <w:tcBorders>
              <w:top w:val="none" w:color="FFFFFF" w:sz="0"/>
              <w:left w:val="single" w:color="C00000" w:sz="18"/>
              <w:bottom w:val="none" w:color="FFFFFF" w:sz="0"/>
              <w:right w:val="none" w:color="FFFFFF" w:sz="0"/>
            </w:tcBorders>
            <w:shd w:fill="FDEDEC" w:color="auto" w:val="clear"/>
          </w:tcPr>
          <w:p>
            <w:pPr>
              <w:spacing w:after="20" w:before="20" w:line="250"/>
            </w:pPr>
            <w:r>
              <w:rPr>
                <w:sz w:val="18"/>
                <w:szCs w:val="18"/>
              </w:rPr>
              <w:t xml:space="preserve">⚠  </w:t>
            </w:r>
            <w:r>
              <w:rPr>
                <w:b/>
                <w:bCs/>
                <w:sz w:val="18"/>
                <w:szCs w:val="18"/>
              </w:rPr>
              <w:t xml:space="preserve">Tool-Text veraltet:</w:t>
            </w:r>
            <w:r>
              <w:rPr>
                <w:sz w:val="18"/>
                <w:szCs w:val="18"/>
              </w:rPr>
              <w:t xml:space="preserve"> Der Eintrag nennt durchgängig die Schwelle 750 kWp (und eine freiwillige Teilnahme von Gebäudeanlagen ab 100 kWp). Maßgeblich sind heute das 1. Segment ab mehr als 1 MW und im 2. Segment die Mindestgebotsgröße der Bundesnetzagentur von </w:t>
            </w:r>
            <w:r>
              <w:rPr>
                <w:b/>
                <w:bCs/>
                <w:sz w:val="18"/>
                <w:szCs w:val="18"/>
              </w:rPr>
              <w:t xml:space="preserve">1.001 kWp</w:t>
            </w:r>
            <w:r>
              <w:rPr>
                <w:sz w:val="18"/>
                <w:szCs w:val="18"/>
              </w:rPr>
              <w:t xml:space="preserve">; Gebäudeanlagen bis einschließlich 1.000 kW erhalten den gesetzlich bestimmten anzulegenden Wert [33]. Hinweis für Grenzfälle: § 22 Abs. 3 S. 2 Nr. 1a EEG nennt im Wortlaut weiterhin 750 kW und steht zudem unter dem Beihilfevorbehalt des § 101 EEG — für Gebäudeanlagen zwischen 750 und 1.000 kWp ist die Vergütungsform deshalb vor der Projektierung mit Netzbetreiber und Bundesnetzagentur zu klären [4][35] (siehe Q2).</w:t>
            </w:r>
          </w:p>
        </w:tc>
      </w:tr>
    </w:tbl>
    <w:p>
      <w:pPr>
        <w:spacing w:after="70" w:before="200" w:line="268"/>
      </w:pPr>
      <w:r>
        <w:rPr>
          <w:b/>
          <w:bCs/>
          <w:color w:val="1F3864"/>
        </w:rPr>
        <w:t xml:space="preserve">Geförderte Direktvermarktung (Marktprämienmodell)</w:t>
      </w:r>
      <w:r>
        <w:t xml:space="preserve">  —  </w:t>
      </w:r>
      <w:r>
        <w:t xml:space="preserve">Der Anlagenbetreiber verkauft den Strom über einen Direktvermarkter am Markt und erhält vom Netzbetreiber zusätzlich die Marktprämie; sie füllt die Differenz zwischen anzulegendem Wert und Marktwert auf (§ 20 EEG). Die Kernaussagen des Glossars gelten unverändert: „Seit dem EEG 2021 gilt die Direktvermarktung als Regelvermarktung für PV-Strom. Ausgenommen vom Zwang zur Direktvermarktung werden (bei Interesse des Anlagenbetreibers) nur PV-Anlagen mit einer Größe bis zu 100 kWp.“ Ebenso gilt fort, dass Strom, der „gar nicht erst durch das öffentliche Netz geht, … im Sinne des EEG nicht als direkt vermarkteter Strom angesehen [wird] sondern als Stromüberlassung an Dritte vor Ort“, dass anteilige Direktvermarktung möglich ist und dass die wirtschaftlichste Konstellation meist im Vorrang des Direktverbrauchs mit Direktvermarktung nur des Überschusses liegt.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70"/>
          <w:left w:type="dxa" w:w="140"/>
          <w:bottom w:type="dxa" w:w="70"/>
          <w:right w:type="dxa" w:w="140"/>
        </w:tblCellMar>
      </w:tblPr>
      <w:tblGrid>
        <w:gridCol w:w="9638"/>
      </w:tblGrid>
      <w:tr>
        <w:trPr>
          <w:cantSplit/>
        </w:trPr>
        <w:tc>
          <w:tcPr>
            <w:tcW w:type="dxa" w:w="9638"/>
            <w:tcBorders>
              <w:top w:val="none" w:color="FFFFFF" w:sz="0"/>
              <w:left w:val="single" w:color="C00000" w:sz="18"/>
              <w:bottom w:val="none" w:color="FFFFFF" w:sz="0"/>
              <w:right w:val="none" w:color="FFFFFF" w:sz="0"/>
            </w:tcBorders>
            <w:shd w:fill="FDEDEC" w:color="auto" w:val="clear"/>
          </w:tcPr>
          <w:p>
            <w:pPr>
              <w:spacing w:after="20" w:before="20" w:line="250"/>
            </w:pPr>
            <w:r>
              <w:rPr>
                <w:sz w:val="18"/>
                <w:szCs w:val="18"/>
              </w:rPr>
              <w:t xml:space="preserve">⚠  </w:t>
            </w:r>
            <w:r>
              <w:rPr>
                <w:b/>
                <w:bCs/>
                <w:sz w:val="18"/>
                <w:szCs w:val="18"/>
              </w:rPr>
              <w:t xml:space="preserve">Tool-Text veraltet:</w:t>
            </w:r>
            <w:r>
              <w:rPr>
                <w:sz w:val="18"/>
                <w:szCs w:val="18"/>
              </w:rPr>
              <w:t xml:space="preserve"> Der Eintrag beschreibt den anzulegenden Wert als bestehend aus „monatsdurchschnittlichem Börsenpreis zuzüglich gleitender Marktprämie“. Für Inbetriebnahmen ab 01.01.2023 ist die Marktprämie mit dem </w:t>
            </w:r>
            <w:r>
              <w:rPr>
                <w:b/>
                <w:bCs/>
                <w:sz w:val="18"/>
                <w:szCs w:val="18"/>
              </w:rPr>
              <w:t xml:space="preserve">Jahres</w:t>
            </w:r>
            <w:r>
              <w:rPr>
                <w:sz w:val="18"/>
                <w:szCs w:val="18"/>
              </w:rPr>
              <w:t xml:space="preserve">marktwert Solar zu bilden (Anlage 1 zu § 23a EEG); der Monatsmarktwert gilt nur für frühere Inbetriebnahmen [4] (siehe B1 Zeile b).</w:t>
            </w:r>
          </w:p>
        </w:tc>
      </w:tr>
    </w:tbl>
    <w:p>
      <w:pPr>
        <w:spacing w:after="70" w:before="200" w:line="268"/>
      </w:pPr>
      <w:r>
        <w:rPr>
          <w:b/>
          <w:bCs/>
          <w:color w:val="1F3864"/>
        </w:rPr>
        <w:t xml:space="preserve">Interner Zinsfuß (modifiziert nach Baldwin)</w:t>
      </w:r>
      <w:r>
        <w:t xml:space="preserve">  —  </w:t>
      </w:r>
      <w:r>
        <w:t xml:space="preserve">Renditekennzahl, die die zu optimistische Wiederanlageprämisse der reinen Internen-Zinsfuß-Methode korrigiert: Die Einzahlungsüberschüsse werden „lediglich zum Kalkulationszinssatz, also dem Wunsch nach einer alternativen Mindestverzinsung (z.B. 4%) wiederangelegt“. Der Baldwin-Wert liegt deshalb regelmäßig unter dem klassischen internen Zinsfuß (im Fallbeispiel 8,58 % gegenüber 15,99 %) und ist die belastbarere Beratungsgröße. Zwei Grenzen des Werkzeugs gelten unverändert: Mit steigendem Fremdkapitalanteil verliert die Kennzahl ihre Aussagekraft — bei 100 % Fremdkapital ist sie nicht definiert —, und ab 30 % Rendite weist die Ergebnispräsentation nur noch einen Strich aus.</w:t>
      </w:r>
    </w:p>
    <w:p>
      <w:pPr>
        <w:spacing w:after="70" w:before="200" w:line="268"/>
      </w:pPr>
      <w:r>
        <w:rPr>
          <w:b/>
          <w:bCs/>
          <w:color w:val="1F3864"/>
        </w:rPr>
        <w:t xml:space="preserve">Investor</w:t>
      </w:r>
      <w:r>
        <w:t xml:space="preserve">  —  </w:t>
      </w:r>
      <w:r>
        <w:t xml:space="preserve">Der Kapitalgeber der Anlage. Für die Betreibermodelle entscheidend ist der Satz des Glossars: „dass ein Investor zwar Anlagenbetreiber sein kann, aber nicht sein muss“ — genau diese Trennung tragen die Familien PV-Mieten und PV-Teil-Mieten. Als Motive nennt der Eintrag Renditeerwartung, Amortisationszeit, Steuerersparnis, Stromkostenreduzierung und -planbarkeit, Teilautonomie vom Energieversorger sowie den Beitrag zu Energiewende und Klimaschutz.</w:t>
      </w:r>
    </w:p>
    <w:p>
      <w:pPr>
        <w:spacing w:after="70" w:before="200" w:line="268"/>
      </w:pPr>
      <w:r>
        <w:rPr>
          <w:b/>
          <w:bCs/>
          <w:color w:val="1F3864"/>
        </w:rPr>
        <w:t xml:space="preserve">Kalkulationszinssatz (KZS)</w:t>
      </w:r>
      <w:r>
        <w:t xml:space="preserve">  —  </w:t>
      </w:r>
      <w:r>
        <w:t xml:space="preserve">Der Zinssatz, „zu dem das Eigenkapital hätte opportun (alternativ) angelegt werden können“ — also die Opportunitätskosten des Eigenkapitals bei gleichem Risiko und gleicher Laufzeit. Er ist zugleich der Diskontierungszins der Kapitalwertmethode (Kapitalwert &gt; 0 bedeutet: die Investition ist vorteilhafter als die Alternativanlage) und der Diskontierungszins der Stromgestehungskosten. Weil er beide Kennzahlen zugleich bewegt, ist er der sensibelste Eingabewert der gesamten Rechnung; im Fallbeispiel sind 3,50 % angesetzt.</w:t>
      </w:r>
    </w:p>
    <w:p>
      <w:pPr>
        <w:spacing w:after="70" w:before="200" w:line="268"/>
      </w:pPr>
      <w:r>
        <w:rPr>
          <w:b/>
          <w:bCs/>
          <w:color w:val="1F3864"/>
        </w:rPr>
        <w:t xml:space="preserve">Marktwert Solar</w:t>
      </w:r>
      <w:r>
        <w:t xml:space="preserve">  —  </w:t>
      </w:r>
      <w:r>
        <w:t xml:space="preserve">Der mengengewichtete Durchschnittspreis, den Solarstrom an der Strombörse erzielt; er wird monatlich ermittelt und veröffentlicht, der Jahresmarktwert nach Anlage 1 zu § 23a EEG. Für Neuanlagen ab 2023 ist der </w:t>
      </w:r>
      <w:r>
        <w:rPr>
          <w:b/>
          <w:bCs/>
        </w:rPr>
        <w:t xml:space="preserve">Jahres</w:t>
      </w:r>
      <w:r>
        <w:t xml:space="preserve">marktwert die Rechengröße der Marktprämie (2025: 4,508 ct/kWh); die Monatswerte 2026 stehen in B4. Zweites Anwendungsfeld ist die Anschlussvergütung ausgeförderter Ü20-Anlagen: Nach § 23b EEG ist der Jahresmarktwert der anzulegende Wert, ab dem Kalenderjahr 2023 höchstens jedoch 10 ct/kWh; davon zieht § 53 Abs. 4 EEG den von den Übertragungsnetzbetreibern veröffentlichten Vermarktungskostenwert ab, der sich bei Ausstattung mit einem intelligenten Messsystem halbiert. Drittens dient er als Erlösansatz für die Monate, in denen eine Anlage über 100 kW die Ausfallvergütung nicht mehr in Anspruch nehmen kann — der Strom ist dann zu vermarkten.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70"/>
          <w:left w:type="dxa" w:w="140"/>
          <w:bottom w:type="dxa" w:w="70"/>
          <w:right w:type="dxa" w:w="140"/>
        </w:tblCellMar>
      </w:tblPr>
      <w:tblGrid>
        <w:gridCol w:w="9638"/>
      </w:tblGrid>
      <w:tr>
        <w:trPr>
          <w:cantSplit/>
        </w:trPr>
        <w:tc>
          <w:tcPr>
            <w:tcW w:type="dxa" w:w="9638"/>
            <w:tcBorders>
              <w:top w:val="none" w:color="FFFFFF" w:sz="0"/>
              <w:left w:val="single" w:color="C00000" w:sz="18"/>
              <w:bottom w:val="none" w:color="FFFFFF" w:sz="0"/>
              <w:right w:val="none" w:color="FFFFFF" w:sz="0"/>
            </w:tcBorders>
            <w:shd w:fill="FDEDEC" w:color="auto" w:val="clear"/>
          </w:tcPr>
          <w:p>
            <w:pPr>
              <w:spacing w:after="20" w:before="20" w:line="250"/>
            </w:pPr>
            <w:r>
              <w:rPr>
                <w:sz w:val="18"/>
                <w:szCs w:val="18"/>
              </w:rPr>
              <w:t xml:space="preserve">⚠  </w:t>
            </w:r>
            <w:r>
              <w:rPr>
                <w:b/>
                <w:bCs/>
                <w:sz w:val="18"/>
                <w:szCs w:val="18"/>
              </w:rPr>
              <w:t xml:space="preserve">Tool-Text veraltet:</w:t>
            </w:r>
            <w:r>
              <w:rPr>
                <w:sz w:val="18"/>
                <w:szCs w:val="18"/>
              </w:rPr>
              <w:t xml:space="preserve"> Drei Punkte. Erstens ist die Anschlussvergütung für ausgeförderte Anlagen nicht „bis Ende 2027“ befristet — sie ist nach § 25 Abs. 2 EEG </w:t>
            </w:r>
            <w:r>
              <w:rPr>
                <w:b/>
                <w:bCs/>
                <w:sz w:val="18"/>
                <w:szCs w:val="18"/>
              </w:rPr>
              <w:t xml:space="preserve">bis zum 31.12.2032</w:t>
            </w:r>
            <w:r>
              <w:rPr>
                <w:sz w:val="18"/>
                <w:szCs w:val="18"/>
              </w:rPr>
              <w:t xml:space="preserve"> zu zahlen [35]. Zweitens trifft es nicht mehr zu, dass der Netzbetreiber in den übrigen Monaten „verpflichtend den Marktwert Solar … als Vergütung“ zahlt: Wird eine der Höchstdauern der Ausfallvergütung überschritten, sinkt der Anspruch für den gesamten Kalendermonat auf null (§ 21 Abs. 1 S. 1 Nr. 3 EEG) [35]. Drittens ist die Voreinstellung von 3,50 ct/kWh ein reiner Eingabewert; sie liegt unter dem Jahresmarktwert Solar 2025 von 4,508 ct/kWh und ist vor jeder Kundenrechnung zu aktualisieren [7][8].</w:t>
            </w:r>
          </w:p>
        </w:tc>
      </w:tr>
    </w:tbl>
    <w:p>
      <w:pPr>
        <w:spacing w:after="70" w:before="200" w:line="268"/>
      </w:pPr>
      <w:r>
        <w:rPr>
          <w:b/>
          <w:bCs/>
          <w:color w:val="1F3864"/>
        </w:rPr>
        <w:t xml:space="preserve">PV-Miete</w:t>
      </w:r>
      <w:r>
        <w:t xml:space="preserve">  —  </w:t>
      </w:r>
      <w:r>
        <w:t xml:space="preserve">Ein Anlageneigentümer (Investor) vermietet die </w:t>
      </w:r>
      <w:r>
        <w:rPr>
          <w:b/>
          <w:bCs/>
        </w:rPr>
        <w:t xml:space="preserve">gesamte</w:t>
      </w:r>
      <w:r>
        <w:t xml:space="preserve"> PV-Anlage an den Gebäudeeigentümer oder -pächter; dieser wird dadurch Anlagenbetreiber, verbraucht den Solarstrom als Eigenverbrauch und erhält für den eingespeisten Überschuss die EEG-Vergütung, während der Investor eine feste Miete einnimmt. Der wirtschaftliche Kern ist dieser Rollentausch: Weil kein Lieferverhältnis entsteht, fallen weder Versorgerpflichten noch Mieterstromregime oder Preisdeckel an (siehe M3). Voraussetzung ist, dass die Betreibereigenschaft des Mieters tatsächlich vorliegt (siehe „Betreiber“).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70"/>
          <w:left w:type="dxa" w:w="140"/>
          <w:bottom w:type="dxa" w:w="70"/>
          <w:right w:type="dxa" w:w="140"/>
        </w:tblCellMar>
      </w:tblPr>
      <w:tblGrid>
        <w:gridCol w:w="9638"/>
      </w:tblGrid>
      <w:tr>
        <w:trPr>
          <w:cantSplit/>
        </w:trPr>
        <w:tc>
          <w:tcPr>
            <w:tcW w:type="dxa" w:w="9638"/>
            <w:tcBorders>
              <w:top w:val="none" w:color="FFFFFF" w:sz="0"/>
              <w:left w:val="single" w:color="C00000" w:sz="18"/>
              <w:bottom w:val="none" w:color="FFFFFF" w:sz="0"/>
              <w:right w:val="none" w:color="FFFFFF" w:sz="0"/>
            </w:tcBorders>
            <w:shd w:fill="FDEDEC" w:color="auto" w:val="clear"/>
          </w:tcPr>
          <w:p>
            <w:pPr>
              <w:spacing w:after="20" w:before="20" w:line="250"/>
            </w:pPr>
            <w:r>
              <w:rPr>
                <w:sz w:val="18"/>
                <w:szCs w:val="18"/>
              </w:rPr>
              <w:t xml:space="preserve">⚠  </w:t>
            </w:r>
            <w:r>
              <w:rPr>
                <w:b/>
                <w:bCs/>
                <w:sz w:val="18"/>
                <w:szCs w:val="18"/>
              </w:rPr>
              <w:t xml:space="preserve">Tool-Text veraltet:</w:t>
            </w:r>
            <w:r>
              <w:rPr>
                <w:sz w:val="18"/>
                <w:szCs w:val="18"/>
              </w:rPr>
              <w:t xml:space="preserve"> Die gesamte Passage zur EEG-Umlage auf den Eigenverbrauch (Staffel 30/35/40 % ab 01.08.2014, vollständige Befreiung bis 30 kWp seit 2021) ist gegenstandslos. Die EEG-Umlage beträgt seit dem 01.07.2022 null und ist mit dem EEG 2023 zum 01.01.2023 vollständig entfallen; die Eigenversorgungsregelungen der §§ 3 Nr. 19 und 59 bis 69 EEG wurden gestrichen [34]. Das Eingabefeld „EEG-Umlage Eigenverbrauch“ führt die App weiterhin — es ist für Neuanlagen mit null zu belegen.</w:t>
            </w:r>
          </w:p>
        </w:tc>
      </w:tr>
    </w:tbl>
    <w:p>
      <w:pPr>
        <w:spacing w:after="70" w:before="200" w:line="268"/>
      </w:pPr>
      <w:r>
        <w:rPr>
          <w:b/>
          <w:bCs/>
          <w:color w:val="1F3864"/>
        </w:rPr>
        <w:t xml:space="preserve">PV-Stromlieferung in kWh</w:t>
      </w:r>
      <w:r>
        <w:t xml:space="preserve">  —  </w:t>
      </w:r>
      <w:r>
        <w:t xml:space="preserve">Die Menge an Solarstrom, die der Betreiber an einen Verbraucher vor Ort liefert, gemessen in Kilowattstunden. Sie ist die Abrechnungsbasis des PV-Stromlieferpreises und damit die Alternative zur mengenunabhängigen „PV-Miete“: Bei der Lieferung wird nach tatsächlichem Verbrauch bezahlt, bei der Miete für die Nutzung der Anlage. Die Unterscheidung entscheidet zugleich über das Regime — Lieferung bedeutet Versorgerpflichten, Miete bedeutet Eigenverbrauch des Mieters.</w:t>
      </w:r>
    </w:p>
    <w:p>
      <w:pPr>
        <w:spacing w:after="70" w:before="200" w:line="268"/>
      </w:pPr>
      <w:r>
        <w:rPr>
          <w:b/>
          <w:bCs/>
          <w:color w:val="1F3864"/>
        </w:rPr>
        <w:t xml:space="preserve">PV Teilmiete</w:t>
      </w:r>
      <w:r>
        <w:t xml:space="preserve">  —  </w:t>
      </w:r>
      <w:r>
        <w:t xml:space="preserve">(Teilanlagenmiete, PV-Anlagenmitbenutzung) Der Anlageneigentümer vermietet nur </w:t>
      </w:r>
      <w:r>
        <w:rPr>
          <w:b/>
          <w:bCs/>
        </w:rPr>
        <w:t xml:space="preserve">einen Teil</w:t>
      </w:r>
      <w:r>
        <w:t xml:space="preserve"> der Anlage; der Umfang richtet sich nach dem kalkulierten Eigenverbrauch des Solarstromnutzers, der damit „lediglich stiller Mitbetreiber der Anlage“ wird und seinen Anteil selbst verbraucht. Der überschüssige Strom wird vom Hauptbetreiber eingespeist und ihm nach EEG vergütet. Praktische Voraussetzung ist die messtechnische Trennung der Anteile — hier greifen die DGS-Messkonzepte (siehe A3, M3).</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70"/>
          <w:left w:type="dxa" w:w="140"/>
          <w:bottom w:type="dxa" w:w="70"/>
          <w:right w:type="dxa" w:w="140"/>
        </w:tblCellMar>
      </w:tblPr>
      <w:tblGrid>
        <w:gridCol w:w="9638"/>
      </w:tblGrid>
      <w:tr>
        <w:trPr>
          <w:cantSplit/>
        </w:trPr>
        <w:tc>
          <w:tcPr>
            <w:tcW w:type="dxa" w:w="9638"/>
            <w:tcBorders>
              <w:top w:val="none" w:color="FFFFFF" w:sz="0"/>
              <w:left w:val="single" w:color="C00000" w:sz="18"/>
              <w:bottom w:val="none" w:color="FFFFFF" w:sz="0"/>
              <w:right w:val="none" w:color="FFFFFF" w:sz="0"/>
            </w:tcBorders>
            <w:shd w:fill="FDEDEC" w:color="auto" w:val="clear"/>
          </w:tcPr>
          <w:p>
            <w:pPr>
              <w:spacing w:after="20" w:before="20" w:line="250"/>
            </w:pPr>
            <w:r>
              <w:rPr>
                <w:sz w:val="18"/>
                <w:szCs w:val="18"/>
              </w:rPr>
              <w:t xml:space="preserve">⚠  </w:t>
            </w:r>
            <w:r>
              <w:rPr>
                <w:b/>
                <w:bCs/>
                <w:sz w:val="18"/>
                <w:szCs w:val="18"/>
              </w:rPr>
              <w:t xml:space="preserve">Tool-Text veraltet:</w:t>
            </w:r>
            <w:r>
              <w:rPr>
                <w:sz w:val="18"/>
                <w:szCs w:val="18"/>
              </w:rPr>
              <w:t xml:space="preserve"> Die Aussage, die Mitbetreiberschaft sei „(nur) für den Umfang der Teilmiete voll EEG-Umlagepflichtig“, trifft nicht mehr zu: Die EEG-Umlage beträgt seit dem 01.07.2022 null und ist seit dem 01.01.2023 vollständig entfallen [34]. Die Abgrenzung selbst — Eigenverbrauch des Mitbetreibers gegenüber Überlassung an Dritte — bleibt für Messkonzept, Betreiberstellung und die umsatzsteuerliche Behandlung maßgeblich.</w:t>
            </w:r>
          </w:p>
        </w:tc>
      </w:tr>
    </w:tbl>
    <w:p>
      <w:pPr>
        <w:spacing w:after="70" w:before="200" w:line="268"/>
      </w:pPr>
      <w:r>
        <w:rPr>
          <w:b/>
          <w:bCs/>
          <w:color w:val="1F3864"/>
        </w:rPr>
        <w:t xml:space="preserve">Solare Deckung (Autarkie)</w:t>
      </w:r>
      <w:r>
        <w:t xml:space="preserve">  —  </w:t>
      </w:r>
      <w:r>
        <w:t xml:space="preserve">„Der Anteil des Energiebedarfs, den man sich selbst zeitgleich bereitstellen kann (direkt aus PV-Anlage oder aus mit eigenem PV-Strom geladenem Speicher)“, gerechnet als Eigenverbrauch (kWh/a) geteilt durch Verbrauch im Gebäude (kWh/a). Die Definition gilt unverändert, ebenso der Hinweis, dass 100 % in der Praxis kaum erreichbar sind und ein Speicher den Deckungsanteil deutlich erhöht. Für die Beratung wichtig ist die Abgrenzung zur Eigenverbrauchsquote: Im Fallbeispiel stehen 83 % Eigenverbrauchsquote nur 26 % Autarkie gegenüber — beide Kennzahlen sind stets gemeinsam zu zeigen (siehe C4).</w:t>
      </w:r>
    </w:p>
    <w:p>
      <w:pPr>
        <w:spacing w:after="70" w:before="200" w:line="268"/>
      </w:pPr>
      <w:r>
        <w:rPr>
          <w:b/>
          <w:bCs/>
          <w:color w:val="1F3864"/>
        </w:rPr>
        <w:t xml:space="preserve">Sonstige Direktvermarktung</w:t>
      </w:r>
      <w:r>
        <w:t xml:space="preserve">  —  </w:t>
      </w:r>
      <w:r>
        <w:t xml:space="preserve">Verkauf des Stroms zu Marktpreisen </w:t>
      </w:r>
      <w:r>
        <w:rPr>
          <w:b/>
          <w:bCs/>
        </w:rPr>
        <w:t xml:space="preserve">ohne</w:t>
      </w:r>
      <w:r>
        <w:t xml:space="preserve"> EEG-Förderung (§ 21a EEG). Jede Anlage kann diesen Weg wählen; ein EEG-Zahlungsanspruch besteht dann nicht, dafür verbleibt die Grünstromeigenschaft beim Betreiber. Die Einschätzung des Werkzeugs trifft weiter zu: Bei förderfähigen Anlagen wird dieser Weg „noch selten begangen, da die finanziellen Unterschiede zur entgangenen EEG-Vergütung bzw. zum ‚Anzulegenden Wert' … noch zu groß sind“; wirtschaftlich interessant ist er vor allem für ausgeförderte Ü20-Anlagen und für große PPA-Anlagen. Marktreferenz Solar Deutschland 2025: 3,5–4,5 ct/kWh (siehe B4).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70"/>
          <w:left w:type="dxa" w:w="140"/>
          <w:bottom w:type="dxa" w:w="70"/>
          <w:right w:type="dxa" w:w="140"/>
        </w:tblCellMar>
      </w:tblPr>
      <w:tblGrid>
        <w:gridCol w:w="9638"/>
      </w:tblGrid>
      <w:tr>
        <w:trPr>
          <w:cantSplit/>
        </w:trPr>
        <w:tc>
          <w:tcPr>
            <w:tcW w:type="dxa" w:w="9638"/>
            <w:tcBorders>
              <w:top w:val="none" w:color="FFFFFF" w:sz="0"/>
              <w:left w:val="single" w:color="C00000" w:sz="18"/>
              <w:bottom w:val="none" w:color="FFFFFF" w:sz="0"/>
              <w:right w:val="none" w:color="FFFFFF" w:sz="0"/>
            </w:tcBorders>
            <w:shd w:fill="FDEDEC" w:color="auto" w:val="clear"/>
          </w:tcPr>
          <w:p>
            <w:pPr>
              <w:spacing w:after="20" w:before="20" w:line="250"/>
            </w:pPr>
            <w:r>
              <w:rPr>
                <w:sz w:val="18"/>
                <w:szCs w:val="18"/>
              </w:rPr>
              <w:t xml:space="preserve">⚠  </w:t>
            </w:r>
            <w:r>
              <w:rPr>
                <w:b/>
                <w:bCs/>
                <w:sz w:val="18"/>
                <w:szCs w:val="18"/>
              </w:rPr>
              <w:t xml:space="preserve">Tool-Text veraltet:</w:t>
            </w:r>
            <w:r>
              <w:rPr>
                <w:sz w:val="18"/>
                <w:szCs w:val="18"/>
              </w:rPr>
              <w:t xml:space="preserve"> Der Eintrag zitiert „§ 21a EEG 2021“; die Vorschrift ist im EEG 2023 unter derselben Nummer fortgeführt und inhaltlich maßgeblich [4].</w:t>
            </w:r>
          </w:p>
        </w:tc>
      </w:tr>
    </w:tbl>
    <w:p>
      <w:pPr>
        <w:spacing w:after="70" w:before="200" w:line="268"/>
      </w:pPr>
      <w:r>
        <w:rPr>
          <w:b/>
          <w:bCs/>
          <w:color w:val="1F3864"/>
        </w:rPr>
        <w:t xml:space="preserve">Sonstige Direktvermarktung Wert</w:t>
      </w:r>
      <w:r>
        <w:t xml:space="preserve">  —  </w:t>
      </w:r>
      <w:r>
        <w:t xml:space="preserve">Eingabefeld für den angenommenen oder vertraglich vereinbarten Erlös je Kilowattstunde aus sonstiger Direktvermarktung; die Voreinstellung von 4,00 ct/kWh ist überschreibbar.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70"/>
          <w:left w:type="dxa" w:w="140"/>
          <w:bottom w:type="dxa" w:w="70"/>
          <w:right w:type="dxa" w:w="140"/>
        </w:tblCellMar>
      </w:tblPr>
      <w:tblGrid>
        <w:gridCol w:w="9638"/>
      </w:tblGrid>
      <w:tr>
        <w:trPr>
          <w:cantSplit/>
        </w:trPr>
        <w:tc>
          <w:tcPr>
            <w:tcW w:type="dxa" w:w="9638"/>
            <w:tcBorders>
              <w:top w:val="none" w:color="FFFFFF" w:sz="0"/>
              <w:left w:val="single" w:color="C00000" w:sz="18"/>
              <w:bottom w:val="none" w:color="FFFFFF" w:sz="0"/>
              <w:right w:val="none" w:color="FFFFFF" w:sz="0"/>
            </w:tcBorders>
            <w:shd w:fill="FDEDEC" w:color="auto" w:val="clear"/>
          </w:tcPr>
          <w:p>
            <w:pPr>
              <w:spacing w:after="20" w:before="20" w:line="250"/>
            </w:pPr>
            <w:r>
              <w:rPr>
                <w:sz w:val="18"/>
                <w:szCs w:val="18"/>
              </w:rPr>
              <w:t xml:space="preserve">⚠  </w:t>
            </w:r>
            <w:r>
              <w:rPr>
                <w:b/>
                <w:bCs/>
                <w:sz w:val="18"/>
                <w:szCs w:val="18"/>
              </w:rPr>
              <w:t xml:space="preserve">Tool-Text veraltet:</w:t>
            </w:r>
            <w:r>
              <w:rPr>
                <w:sz w:val="18"/>
                <w:szCs w:val="18"/>
              </w:rPr>
              <w:t xml:space="preserve"> Die Begründung, der Wert „entspricht dem durchschnittlichen Börsenpreis für Solarstrom der letzten Jahre“, trägt nur noch als grobe Näherung: Der Jahresmarktwert Solar lag 2024 bei 4,624 und 2025 bei 4,508 ct/kWh, die 2025 in Deutschland abgeschlossenen Solar-PPA bei 3,5–4,5 ct/kWh [7][8][10]. Der Default ist ein Eingabewert und projektbezogen zu setzen.</w:t>
            </w:r>
          </w:p>
        </w:tc>
      </w:tr>
    </w:tbl>
    <w:p>
      <w:pPr>
        <w:spacing w:after="70" w:before="200" w:line="268"/>
      </w:pPr>
      <w:r>
        <w:rPr>
          <w:b/>
          <w:bCs/>
          <w:color w:val="1F3864"/>
        </w:rPr>
        <w:t xml:space="preserve">Stromgestehungskosten</w:t>
      </w:r>
      <w:r>
        <w:t xml:space="preserve">  —  </w:t>
      </w:r>
      <w:r>
        <w:t xml:space="preserve">Alle Ausgaben der Stromerzeugung — Investition, Fremdfinanzierung und Betriebskosten — werden mit dem Kalkulationszinssatz auf den Zeitpunkt der Inbetriebnahme abgezinst und durch die ebenfalls diskontierte Summe der Erträge in Kilowattstunden geteilt (Levelized Costs of Electricity). Die Methode erlaubt den Vergleich von Kraftwerken unterschiedlicher Kosten- und Erzeugungsstruktur; die Diskontierung technischer Erträge ist dabei „eine Abstraktion der Realität“, die sich finanzmathematisch begründet. Der Praxishinweis des Werkzeugs gilt unverändert: Für den Vergleich mit der EEG-Einspeisevergütung ist der Wert „PV-Stromgestehungskosten (KZS = 0 %)“ besser geeignet. Es handelt sich um eine reine </w:t>
      </w:r>
      <w:r>
        <w:rPr>
          <w:b/>
          <w:bCs/>
        </w:rPr>
        <w:t xml:space="preserve">Kostenkennzahl</w:t>
      </w:r>
      <w:r>
        <w:t xml:space="preserve"> — über die Wirtschaftlichkeit entscheidet erst der Vergleich mit Vergütung oder vermiedenem Netzbezug (siehe C4, Interpretation 3). Der Listeneintrag „PV-Stromgestehungskosten“ unter P öffnet keine Lightbox; der inhaltlich identische Text steht unter S [32].</w:t>
      </w:r>
    </w:p>
    <w:p>
      <w:pPr>
        <w:spacing w:after="70" w:before="200" w:line="268"/>
      </w:pPr>
      <w:r>
        <w:rPr>
          <w:b/>
          <w:bCs/>
          <w:color w:val="1F3864"/>
        </w:rPr>
        <w:t xml:space="preserve">Vermarktungspauschale (GDV)/(SDV)</w:t>
      </w:r>
      <w:r>
        <w:t xml:space="preserve">  —  </w:t>
      </w:r>
      <w:r>
        <w:t xml:space="preserve">Das vertraglich vereinbarte Dienstleistungsentgelt des Direktvermarkters, das der Anlagenbetreiber trägt — sowohl in der geförderten (GDV) als auch in der sonstigen Direktvermarktung (SDV). Art und Höhe variieren stark: je MWh vermarkteten Stroms, teils abhängig vom gleichzeitigen Direktverbrauch, teils als Grundgebühr in Euro je kWp und Jahr oder Monat, teils größenklassenabhängig. Sie ist gesetzlich </w:t>
      </w:r>
      <w:r>
        <w:rPr>
          <w:b/>
          <w:bCs/>
        </w:rPr>
        <w:t xml:space="preserve">nicht</w:t>
      </w:r>
      <w:r>
        <w:t xml:space="preserve"> geregelt und deshalb in der Rechnung zusätzlich anzusetzen; nicht zu verwechseln mit dem gesetzlichen Abzug von 0,40 ct/kWh nach § 53 Abs. 1 Nr. 2 EEG, der ausschließlich die feste Einspeisevergütung betrifft (siehe M4). Voreinstellung im Werkzeug: 0,40 ct/kWh.</w:t>
      </w:r>
    </w:p>
    <w:p>
      <w:pPr>
        <w:spacing w:after="70" w:before="200" w:line="268"/>
      </w:pPr>
      <w:r>
        <w:rPr>
          <w:b/>
          <w:bCs/>
          <w:color w:val="1F3864"/>
        </w:rPr>
        <w:t xml:space="preserve">Vorteil/Nachteil durch PV</w:t>
      </w:r>
      <w:r>
        <w:t xml:space="preserve">  —  </w:t>
      </w:r>
      <w:r>
        <w:t xml:space="preserve">Die zentrale Beraterkennzahl: der kumulierte finanzielle Vorteil in Euro, den die Nutzung von PV-Strom gegenüber einer Situation ohne PV-Anlage bringt. Verglichen werden zwei vollständige Zahlungssituationen — ohne PV nur Netzstrom, mit PV sämtliche Einnahmen und Ausgaben aus der Anlage zuzüglich des verbleibenden Netzbezugs. Weil die Kennzahl je Akteur berechnet wird, zeigt sie in mehrparteiigen Modellen, ob eine Konstruktion für </w:t>
      </w:r>
      <w:r>
        <w:rPr>
          <w:b/>
          <w:bCs/>
        </w:rPr>
        <w:t xml:space="preserve">alle</w:t>
      </w:r>
      <w:r>
        <w:t xml:space="preserve"> Beteiligten vorteilhaft ist. Sie setzt eine hinterlegte Verbrauchssituation voraus: In reinen Volleinspeisemodellen weist das Werkzeug sie folgerichtig nicht aus, dort ist der Liquiditätsüberschuss die maßgebliche Größe (siehe C4).</w:t>
      </w:r>
    </w:p>
    <w:p>
      <w:pPr>
        <w:pStyle w:val="Heading1"/>
      </w:pPr>
      <w:bookmarkStart w:id="900048" w:name="_Toc90000048"/>
      <w:r>
        <w:t xml:space="preserve">Q  Quellenverzeichnis, Datenstand und Disclaimer</w:t>
      </w:r>
      <w:bookmarkEnd w:id="900048"/>
    </w:p>
    <w:p>
      <w:pPr>
        <w:pStyle w:val="Heading2"/>
      </w:pPr>
      <w:bookmarkStart w:id="900049" w:name="_Toc90000049"/>
      <w:r>
        <w:t xml:space="preserve">Q1  Nummerierte Quellen</w:t>
      </w:r>
      <w:bookmarkEnd w:id="900049"/>
    </w:p>
    <w:tbl>
      <w:tblPr>
        <w:tblW w:type="dxa" w:w="9638"/>
        <w:tblBorders>
          <w:top w:val="single" w:color="B4C6E7" w:sz="2"/>
          <w:left w:val="single" w:color="B4C6E7" w:sz="2"/>
          <w:bottom w:val="single" w:color="B4C6E7" w:sz="2"/>
          <w:right w:val="single" w:color="B4C6E7" w:sz="2"/>
          <w:insideH w:val="single" w:color="B4C6E7" w:sz="2"/>
          <w:insideV w:val="single" w:color="B4C6E7" w:sz="2"/>
        </w:tblBorders>
        <w:tblLayout w:type="fixed"/>
        <w:tblCellMar>
          <w:top w:type="dxa" w:w="30"/>
          <w:left w:type="dxa" w:w="85"/>
          <w:bottom w:type="dxa" w:w="30"/>
          <w:right w:type="dxa" w:w="85"/>
        </w:tblCellMar>
      </w:tblPr>
      <w:tblGrid>
        <w:gridCol w:w="800"/>
        <w:gridCol w:w="8838"/>
      </w:tblGrid>
      <w:tr>
        <w:trPr>
          <w:tblHeader/>
        </w:trPr>
        <w:tc>
          <w:tcPr>
            <w:tcW w:type="dxa" w:w="800"/>
            <w:shd w:fill="1F3864" w:color="auto" w:val="clear"/>
            <w:vAlign w:val="center"/>
          </w:tcPr>
          <w:p>
            <w:pPr>
              <w:spacing w:after="30" w:before="30" w:line="230"/>
              <w:jc w:val="left"/>
            </w:pPr>
            <w:r>
              <w:rPr>
                <w:b/>
                <w:bCs/>
                <w:color w:val="FFFFFF"/>
                <w:sz w:val="16"/>
                <w:szCs w:val="16"/>
              </w:rPr>
              <w:t xml:space="preserve">Nr.</w:t>
            </w:r>
          </w:p>
        </w:tc>
        <w:tc>
          <w:tcPr>
            <w:tcW w:type="dxa" w:w="8838"/>
            <w:shd w:fill="1F3864" w:color="auto" w:val="clear"/>
            <w:vAlign w:val="center"/>
          </w:tcPr>
          <w:p>
            <w:pPr>
              <w:spacing w:after="30" w:before="30" w:line="230"/>
              <w:jc w:val="left"/>
            </w:pPr>
            <w:r>
              <w:rPr>
                <w:b/>
                <w:bCs/>
                <w:color w:val="FFFFFF"/>
                <w:sz w:val="16"/>
                <w:szCs w:val="16"/>
              </w:rPr>
              <w:t xml:space="preserve">Quelle</w:t>
            </w:r>
          </w:p>
        </w:tc>
      </w:tr>
      <w:tr>
        <w:tc>
          <w:tcPr>
            <w:tcW w:type="dxa" w:w="800"/>
            <w:vAlign w:val="center"/>
          </w:tcPr>
          <w:p>
            <w:pPr>
              <w:spacing w:after="30" w:before="30" w:line="230"/>
              <w:jc w:val="center"/>
            </w:pPr>
            <w:r>
              <w:rPr>
                <w:b/>
                <w:bCs/>
                <w:sz w:val="16"/>
                <w:szCs w:val="16"/>
              </w:rPr>
              <w:t xml:space="preserve">[1]</w:t>
            </w:r>
          </w:p>
        </w:tc>
        <w:tc>
          <w:tcPr>
            <w:tcW w:type="dxa" w:w="8838"/>
            <w:vAlign w:val="center"/>
          </w:tcPr>
          <w:p>
            <w:pPr>
              <w:spacing w:after="30" w:before="30" w:line="230"/>
              <w:jc w:val="left"/>
            </w:pPr>
            <w:r>
              <w:rPr>
                <w:sz w:val="16"/>
                <w:szCs w:val="16"/>
              </w:rPr>
              <w:t xml:space="preserve">Bundesnetzagentur, EEG-Fördersätze (Übersicht): https://www.bundesnetzagentur.de/DE/Fachthemen/ElektrizitaetundGas/ErneuerbareEnergien/EEG_Foerderung/start.html</w:t>
            </w:r>
          </w:p>
        </w:tc>
      </w:tr>
      <w:tr>
        <w:tc>
          <w:tcPr>
            <w:tcW w:type="dxa" w:w="800"/>
            <w:shd w:fill="F2F5FA" w:color="auto" w:val="clear"/>
            <w:vAlign w:val="center"/>
          </w:tcPr>
          <w:p>
            <w:pPr>
              <w:spacing w:after="30" w:before="30" w:line="230"/>
              <w:jc w:val="center"/>
            </w:pPr>
            <w:r>
              <w:rPr>
                <w:b/>
                <w:bCs/>
                <w:sz w:val="16"/>
                <w:szCs w:val="16"/>
              </w:rPr>
              <w:t xml:space="preserve">[2]</w:t>
            </w:r>
          </w:p>
        </w:tc>
        <w:tc>
          <w:tcPr>
            <w:tcW w:type="dxa" w:w="8838"/>
            <w:shd w:fill="F2F5FA" w:color="auto" w:val="clear"/>
            <w:vAlign w:val="center"/>
          </w:tcPr>
          <w:p>
            <w:pPr>
              <w:spacing w:after="30" w:before="30" w:line="230"/>
              <w:jc w:val="left"/>
            </w:pPr>
            <w:r>
              <w:rPr>
                <w:sz w:val="16"/>
                <w:szCs w:val="16"/>
              </w:rPr>
              <w:t xml:space="preserve">Bundesnetzagentur, Vergütungssätze für Inbetriebnahmen 08/2026–01/2027 (XLSX): https://www.bundesnetzagentur.de/DE/Fachthemen/ElektrizitaetundGas/ErneuerbareEnergien/EEG_Foerderung/Archiv_VergSaetze/_DL/VergSaetzeAug26bisJan27.xlsx</w:t>
            </w:r>
          </w:p>
        </w:tc>
      </w:tr>
      <w:tr>
        <w:tc>
          <w:tcPr>
            <w:tcW w:type="dxa" w:w="800"/>
            <w:vAlign w:val="center"/>
          </w:tcPr>
          <w:p>
            <w:pPr>
              <w:spacing w:after="30" w:before="30" w:line="230"/>
              <w:jc w:val="center"/>
            </w:pPr>
            <w:r>
              <w:rPr>
                <w:b/>
                <w:bCs/>
                <w:sz w:val="16"/>
                <w:szCs w:val="16"/>
              </w:rPr>
              <w:t xml:space="preserve">[3]</w:t>
            </w:r>
          </w:p>
        </w:tc>
        <w:tc>
          <w:tcPr>
            <w:tcW w:type="dxa" w:w="8838"/>
            <w:vAlign w:val="center"/>
          </w:tcPr>
          <w:p>
            <w:pPr>
              <w:spacing w:after="30" w:before="30" w:line="230"/>
              <w:jc w:val="left"/>
            </w:pPr>
            <w:r>
              <w:rPr>
                <w:sz w:val="16"/>
                <w:szCs w:val="16"/>
              </w:rPr>
              <w:t xml:space="preserve">Bundesnetzagentur, Vergütungssätze für Inbetriebnahmen 02/2026–07/2026 (XLSX): .../VergSaetzeFeb26bisJul26.xlsx</w:t>
            </w:r>
          </w:p>
        </w:tc>
      </w:tr>
      <w:tr>
        <w:tc>
          <w:tcPr>
            <w:tcW w:type="dxa" w:w="800"/>
            <w:shd w:fill="F2F5FA" w:color="auto" w:val="clear"/>
            <w:vAlign w:val="center"/>
          </w:tcPr>
          <w:p>
            <w:pPr>
              <w:spacing w:after="30" w:before="30" w:line="230"/>
              <w:jc w:val="center"/>
            </w:pPr>
            <w:r>
              <w:rPr>
                <w:b/>
                <w:bCs/>
                <w:sz w:val="16"/>
                <w:szCs w:val="16"/>
              </w:rPr>
              <w:t xml:space="preserve">[4]</w:t>
            </w:r>
          </w:p>
        </w:tc>
        <w:tc>
          <w:tcPr>
            <w:tcW w:type="dxa" w:w="8838"/>
            <w:shd w:fill="F2F5FA" w:color="auto" w:val="clear"/>
            <w:vAlign w:val="center"/>
          </w:tcPr>
          <w:p>
            <w:pPr>
              <w:spacing w:after="30" w:before="30" w:line="230"/>
              <w:jc w:val="left"/>
            </w:pPr>
            <w:r>
              <w:rPr>
                <w:sz w:val="16"/>
                <w:szCs w:val="16"/>
              </w:rPr>
              <w:t xml:space="preserve">EEG 2023 in der Fassung der 15. Änderung (Gesetz vom 18.12.2025, BGBl. 2025 I Nr. 347), insbesondere §§ 9, 19, 20, 21, 21a, 21b, 22, 23a–23c, 25, 42a–42c EnWG-Bezüge, 48, 48a, 49, 51, 51a, 53, 101 und Anlage 1: https://www.gesetze-im-internet.de/eeg_2014/</w:t>
            </w:r>
          </w:p>
        </w:tc>
      </w:tr>
      <w:tr>
        <w:tc>
          <w:tcPr>
            <w:tcW w:type="dxa" w:w="800"/>
            <w:vAlign w:val="center"/>
          </w:tcPr>
          <w:p>
            <w:pPr>
              <w:spacing w:after="30" w:before="30" w:line="230"/>
              <w:jc w:val="center"/>
            </w:pPr>
            <w:r>
              <w:rPr>
                <w:b/>
                <w:bCs/>
                <w:sz w:val="16"/>
                <w:szCs w:val="16"/>
              </w:rPr>
              <w:t xml:space="preserve">[5]</w:t>
            </w:r>
          </w:p>
        </w:tc>
        <w:tc>
          <w:tcPr>
            <w:tcW w:type="dxa" w:w="8838"/>
            <w:vAlign w:val="center"/>
          </w:tcPr>
          <w:p>
            <w:pPr>
              <w:spacing w:after="30" w:before="30" w:line="230"/>
              <w:jc w:val="left"/>
            </w:pPr>
            <w:r>
              <w:rPr>
                <w:sz w:val="16"/>
                <w:szCs w:val="16"/>
              </w:rPr>
              <w:t xml:space="preserve">Bundesnetzagentur, Beendete Ausschreibungen Solaranlagen 1. Segment (Freifläche) sowie Ausschreibungsverfahren</w:t>
            </w:r>
          </w:p>
        </w:tc>
      </w:tr>
      <w:tr>
        <w:tc>
          <w:tcPr>
            <w:tcW w:type="dxa" w:w="800"/>
            <w:shd w:fill="F2F5FA" w:color="auto" w:val="clear"/>
            <w:vAlign w:val="center"/>
          </w:tcPr>
          <w:p>
            <w:pPr>
              <w:spacing w:after="30" w:before="30" w:line="230"/>
              <w:jc w:val="center"/>
            </w:pPr>
            <w:r>
              <w:rPr>
                <w:b/>
                <w:bCs/>
                <w:sz w:val="16"/>
                <w:szCs w:val="16"/>
              </w:rPr>
              <w:t xml:space="preserve">[6]</w:t>
            </w:r>
          </w:p>
        </w:tc>
        <w:tc>
          <w:tcPr>
            <w:tcW w:type="dxa" w:w="8838"/>
            <w:shd w:fill="F2F5FA" w:color="auto" w:val="clear"/>
            <w:vAlign w:val="center"/>
          </w:tcPr>
          <w:p>
            <w:pPr>
              <w:spacing w:after="30" w:before="30" w:line="230"/>
              <w:jc w:val="left"/>
            </w:pPr>
            <w:r>
              <w:rPr>
                <w:sz w:val="16"/>
                <w:szCs w:val="16"/>
              </w:rPr>
              <w:t xml:space="preserve">Bundesnetzagentur, Beendete Ausschreibungen Solaranlagen 2. Segment (Gebäude/Lärmschutzwand)</w:t>
            </w:r>
          </w:p>
        </w:tc>
      </w:tr>
      <w:tr>
        <w:tc>
          <w:tcPr>
            <w:tcW w:type="dxa" w:w="800"/>
            <w:vAlign w:val="center"/>
          </w:tcPr>
          <w:p>
            <w:pPr>
              <w:spacing w:after="30" w:before="30" w:line="230"/>
              <w:jc w:val="center"/>
            </w:pPr>
            <w:r>
              <w:rPr>
                <w:b/>
                <w:bCs/>
                <w:sz w:val="16"/>
                <w:szCs w:val="16"/>
              </w:rPr>
              <w:t xml:space="preserve">[7]</w:t>
            </w:r>
          </w:p>
        </w:tc>
        <w:tc>
          <w:tcPr>
            <w:tcW w:type="dxa" w:w="8838"/>
            <w:vAlign w:val="center"/>
          </w:tcPr>
          <w:p>
            <w:pPr>
              <w:spacing w:after="30" w:before="30" w:line="230"/>
              <w:jc w:val="left"/>
            </w:pPr>
            <w:r>
              <w:rPr>
                <w:sz w:val="16"/>
                <w:szCs w:val="16"/>
              </w:rPr>
              <w:t xml:space="preserve">netztransparenz.de, Marktwertübersicht (Monats- und Jahresmarktwerte)</w:t>
            </w:r>
          </w:p>
        </w:tc>
      </w:tr>
      <w:tr>
        <w:tc>
          <w:tcPr>
            <w:tcW w:type="dxa" w:w="800"/>
            <w:shd w:fill="F2F5FA" w:color="auto" w:val="clear"/>
            <w:vAlign w:val="center"/>
          </w:tcPr>
          <w:p>
            <w:pPr>
              <w:spacing w:after="30" w:before="30" w:line="230"/>
              <w:jc w:val="center"/>
            </w:pPr>
            <w:r>
              <w:rPr>
                <w:b/>
                <w:bCs/>
                <w:sz w:val="16"/>
                <w:szCs w:val="16"/>
              </w:rPr>
              <w:t xml:space="preserve">[8]</w:t>
            </w:r>
          </w:p>
        </w:tc>
        <w:tc>
          <w:tcPr>
            <w:tcW w:type="dxa" w:w="8838"/>
            <w:shd w:fill="F2F5FA" w:color="auto" w:val="clear"/>
            <w:vAlign w:val="center"/>
          </w:tcPr>
          <w:p>
            <w:pPr>
              <w:spacing w:after="30" w:before="30" w:line="230"/>
              <w:jc w:val="left"/>
            </w:pPr>
            <w:r>
              <w:rPr>
                <w:sz w:val="16"/>
                <w:szCs w:val="16"/>
              </w:rPr>
              <w:t xml:space="preserve">DGS, Jahresmarktwert Solar 2025</w:t>
            </w:r>
          </w:p>
        </w:tc>
      </w:tr>
      <w:tr>
        <w:tc>
          <w:tcPr>
            <w:tcW w:type="dxa" w:w="800"/>
            <w:vAlign w:val="center"/>
          </w:tcPr>
          <w:p>
            <w:pPr>
              <w:spacing w:after="30" w:before="30" w:line="230"/>
              <w:jc w:val="center"/>
            </w:pPr>
            <w:r>
              <w:rPr>
                <w:b/>
                <w:bCs/>
                <w:sz w:val="16"/>
                <w:szCs w:val="16"/>
              </w:rPr>
              <w:t xml:space="preserve">[9]</w:t>
            </w:r>
          </w:p>
        </w:tc>
        <w:tc>
          <w:tcPr>
            <w:tcW w:type="dxa" w:w="8838"/>
            <w:vAlign w:val="center"/>
          </w:tcPr>
          <w:p>
            <w:pPr>
              <w:spacing w:after="30" w:before="30" w:line="230"/>
              <w:jc w:val="left"/>
            </w:pPr>
            <w:r>
              <w:rPr>
                <w:sz w:val="16"/>
                <w:szCs w:val="16"/>
              </w:rPr>
              <w:t xml:space="preserve">Solarserver, Monatsmarktwerte Solar 2026</w:t>
            </w:r>
          </w:p>
        </w:tc>
      </w:tr>
      <w:tr>
        <w:tc>
          <w:tcPr>
            <w:tcW w:type="dxa" w:w="800"/>
            <w:shd w:fill="F2F5FA" w:color="auto" w:val="clear"/>
            <w:vAlign w:val="center"/>
          </w:tcPr>
          <w:p>
            <w:pPr>
              <w:spacing w:after="30" w:before="30" w:line="230"/>
              <w:jc w:val="center"/>
            </w:pPr>
            <w:r>
              <w:rPr>
                <w:b/>
                <w:bCs/>
                <w:sz w:val="16"/>
                <w:szCs w:val="16"/>
              </w:rPr>
              <w:t xml:space="preserve">[10]</w:t>
            </w:r>
          </w:p>
        </w:tc>
        <w:tc>
          <w:tcPr>
            <w:tcW w:type="dxa" w:w="8838"/>
            <w:shd w:fill="F2F5FA" w:color="auto" w:val="clear"/>
            <w:vAlign w:val="center"/>
          </w:tcPr>
          <w:p>
            <w:pPr>
              <w:spacing w:after="30" w:before="30" w:line="230"/>
              <w:jc w:val="left"/>
            </w:pPr>
            <w:r>
              <w:rPr>
                <w:sz w:val="16"/>
                <w:szCs w:val="16"/>
              </w:rPr>
              <w:t xml:space="preserve">dena, PPA-Marktanalyse 2025 (veröffentlicht 04/2026): https://www.dena.de/fileadmin/dena/Publikationen/PDFs/2026/PPA_Marktanalyse_2025.pdf</w:t>
            </w:r>
          </w:p>
        </w:tc>
      </w:tr>
      <w:tr>
        <w:tc>
          <w:tcPr>
            <w:tcW w:type="dxa" w:w="800"/>
            <w:vAlign w:val="center"/>
          </w:tcPr>
          <w:p>
            <w:pPr>
              <w:spacing w:after="30" w:before="30" w:line="230"/>
              <w:jc w:val="center"/>
            </w:pPr>
            <w:r>
              <w:rPr>
                <w:b/>
                <w:bCs/>
                <w:sz w:val="16"/>
                <w:szCs w:val="16"/>
              </w:rPr>
              <w:t xml:space="preserve">[11]</w:t>
            </w:r>
          </w:p>
        </w:tc>
        <w:tc>
          <w:tcPr>
            <w:tcW w:type="dxa" w:w="8838"/>
            <w:vAlign w:val="center"/>
          </w:tcPr>
          <w:p>
            <w:pPr>
              <w:spacing w:after="30" w:before="30" w:line="230"/>
              <w:jc w:val="left"/>
            </w:pPr>
            <w:r>
              <w:rPr>
                <w:sz w:val="16"/>
                <w:szCs w:val="16"/>
              </w:rPr>
              <w:t xml:space="preserve">BDEW, Strompreisanalyse 08/2026: https://www.bdew.de/media/documents/BDEW_Strompreisanalyse_082026.pdf</w:t>
            </w:r>
          </w:p>
        </w:tc>
      </w:tr>
      <w:tr>
        <w:tc>
          <w:tcPr>
            <w:tcW w:type="dxa" w:w="800"/>
            <w:shd w:fill="F2F5FA" w:color="auto" w:val="clear"/>
            <w:vAlign w:val="center"/>
          </w:tcPr>
          <w:p>
            <w:pPr>
              <w:spacing w:after="30" w:before="30" w:line="230"/>
              <w:jc w:val="center"/>
            </w:pPr>
            <w:r>
              <w:rPr>
                <w:b/>
                <w:bCs/>
                <w:sz w:val="16"/>
                <w:szCs w:val="16"/>
              </w:rPr>
              <w:t xml:space="preserve">[12]</w:t>
            </w:r>
          </w:p>
        </w:tc>
        <w:tc>
          <w:tcPr>
            <w:tcW w:type="dxa" w:w="8838"/>
            <w:shd w:fill="F2F5FA" w:color="auto" w:val="clear"/>
            <w:vAlign w:val="center"/>
          </w:tcPr>
          <w:p>
            <w:pPr>
              <w:spacing w:after="30" w:before="30" w:line="230"/>
              <w:jc w:val="left"/>
            </w:pPr>
            <w:r>
              <w:rPr>
                <w:sz w:val="16"/>
                <w:szCs w:val="16"/>
              </w:rPr>
              <w:t xml:space="preserve">Clearingstelle EEG | KWKG: EEG 2023; Gesetz Nr. 7055 (Solarspitzengesetz); Gesetz Nr. 6652 (Solarpaket I)</w:t>
            </w:r>
          </w:p>
        </w:tc>
      </w:tr>
      <w:tr>
        <w:tc>
          <w:tcPr>
            <w:tcW w:type="dxa" w:w="800"/>
            <w:vAlign w:val="center"/>
          </w:tcPr>
          <w:p>
            <w:pPr>
              <w:spacing w:after="30" w:before="30" w:line="230"/>
              <w:jc w:val="center"/>
            </w:pPr>
            <w:r>
              <w:rPr>
                <w:b/>
                <w:bCs/>
                <w:sz w:val="16"/>
                <w:szCs w:val="16"/>
              </w:rPr>
              <w:t xml:space="preserve">[13]</w:t>
            </w:r>
          </w:p>
        </w:tc>
        <w:tc>
          <w:tcPr>
            <w:tcW w:type="dxa" w:w="8838"/>
            <w:vAlign w:val="center"/>
          </w:tcPr>
          <w:p>
            <w:pPr>
              <w:spacing w:after="30" w:before="30" w:line="230"/>
              <w:jc w:val="left"/>
            </w:pPr>
            <w:r>
              <w:rPr>
                <w:sz w:val="16"/>
                <w:szCs w:val="16"/>
              </w:rPr>
              <w:t xml:space="preserve">BMWK, „Mieterstrom und gemeinschaftliche Gebäudeversorgung“, 47. Fachgespräch der Clearingstelle: https://www.clearingstelle-eeg-kwkg.de/sites/default/files/2024-06/BMWK_Mieterstrom-und-Gemeinschaftliche-Gebaeudeversorgung.pdf</w:t>
            </w:r>
          </w:p>
        </w:tc>
      </w:tr>
      <w:tr>
        <w:tc>
          <w:tcPr>
            <w:tcW w:type="dxa" w:w="800"/>
            <w:shd w:fill="F2F5FA" w:color="auto" w:val="clear"/>
            <w:vAlign w:val="center"/>
          </w:tcPr>
          <w:p>
            <w:pPr>
              <w:spacing w:after="30" w:before="30" w:line="230"/>
              <w:jc w:val="center"/>
            </w:pPr>
            <w:r>
              <w:rPr>
                <w:b/>
                <w:bCs/>
                <w:sz w:val="16"/>
                <w:szCs w:val="16"/>
              </w:rPr>
              <w:t xml:space="preserve">[14]</w:t>
            </w:r>
          </w:p>
        </w:tc>
        <w:tc>
          <w:tcPr>
            <w:tcW w:type="dxa" w:w="8838"/>
            <w:shd w:fill="F2F5FA" w:color="auto" w:val="clear"/>
            <w:vAlign w:val="center"/>
          </w:tcPr>
          <w:p>
            <w:pPr>
              <w:spacing w:after="30" w:before="30" w:line="230"/>
              <w:jc w:val="left"/>
            </w:pPr>
            <w:r>
              <w:rPr>
                <w:sz w:val="16"/>
                <w:szCs w:val="16"/>
              </w:rPr>
              <w:t xml:space="preserve">DGRV, Veröffentlichung vom 18.11.2025 zum ausstehenden Beihilfeverfahren Solarpaket I</w:t>
            </w:r>
          </w:p>
        </w:tc>
      </w:tr>
      <w:tr>
        <w:tc>
          <w:tcPr>
            <w:tcW w:type="dxa" w:w="800"/>
            <w:vAlign w:val="center"/>
          </w:tcPr>
          <w:p>
            <w:pPr>
              <w:spacing w:after="30" w:before="30" w:line="230"/>
              <w:jc w:val="center"/>
            </w:pPr>
            <w:r>
              <w:rPr>
                <w:b/>
                <w:bCs/>
                <w:sz w:val="16"/>
                <w:szCs w:val="16"/>
              </w:rPr>
              <w:t xml:space="preserve">[15]</w:t>
            </w:r>
          </w:p>
        </w:tc>
        <w:tc>
          <w:tcPr>
            <w:tcW w:type="dxa" w:w="8838"/>
            <w:vAlign w:val="center"/>
          </w:tcPr>
          <w:p>
            <w:pPr>
              <w:spacing w:after="30" w:before="30" w:line="230"/>
              <w:jc w:val="left"/>
            </w:pPr>
            <w:r>
              <w:rPr>
                <w:sz w:val="16"/>
                <w:szCs w:val="16"/>
              </w:rPr>
              <w:t xml:space="preserve">bundesregierung.de, Kabinettsbeschluss EEG-Novelle 2027 und Netzpaket vom 29.07.2026</w:t>
            </w:r>
          </w:p>
        </w:tc>
      </w:tr>
      <w:tr>
        <w:tc>
          <w:tcPr>
            <w:tcW w:type="dxa" w:w="800"/>
            <w:shd w:fill="F2F5FA" w:color="auto" w:val="clear"/>
            <w:vAlign w:val="center"/>
          </w:tcPr>
          <w:p>
            <w:pPr>
              <w:spacing w:after="30" w:before="30" w:line="230"/>
              <w:jc w:val="center"/>
            </w:pPr>
            <w:r>
              <w:rPr>
                <w:b/>
                <w:bCs/>
                <w:sz w:val="16"/>
                <w:szCs w:val="16"/>
              </w:rPr>
              <w:t xml:space="preserve">[16]</w:t>
            </w:r>
          </w:p>
        </w:tc>
        <w:tc>
          <w:tcPr>
            <w:tcW w:type="dxa" w:w="8838"/>
            <w:shd w:fill="F2F5FA" w:color="auto" w:val="clear"/>
            <w:vAlign w:val="center"/>
          </w:tcPr>
          <w:p>
            <w:pPr>
              <w:spacing w:after="30" w:before="30" w:line="230"/>
              <w:jc w:val="left"/>
            </w:pPr>
            <w:r>
              <w:rPr>
                <w:sz w:val="16"/>
                <w:szCs w:val="16"/>
              </w:rPr>
              <w:t xml:space="preserve">pv-magazine, Berichterstattung vom 29.07.2026 und 24.08.2026 zur EEG-Novelle 2027</w:t>
            </w:r>
          </w:p>
        </w:tc>
      </w:tr>
      <w:tr>
        <w:tc>
          <w:tcPr>
            <w:tcW w:type="dxa" w:w="800"/>
            <w:vAlign w:val="center"/>
          </w:tcPr>
          <w:p>
            <w:pPr>
              <w:spacing w:after="30" w:before="30" w:line="230"/>
              <w:jc w:val="center"/>
            </w:pPr>
            <w:r>
              <w:rPr>
                <w:b/>
                <w:bCs/>
                <w:sz w:val="16"/>
                <w:szCs w:val="16"/>
              </w:rPr>
              <w:t xml:space="preserve">[17]</w:t>
            </w:r>
          </w:p>
        </w:tc>
        <w:tc>
          <w:tcPr>
            <w:tcW w:type="dxa" w:w="8838"/>
            <w:vAlign w:val="center"/>
          </w:tcPr>
          <w:p>
            <w:pPr>
              <w:spacing w:after="30" w:before="30" w:line="230"/>
              <w:jc w:val="left"/>
            </w:pPr>
            <w:r>
              <w:rPr>
                <w:sz w:val="16"/>
                <w:szCs w:val="16"/>
              </w:rPr>
              <w:t xml:space="preserve">solaranlage-ratgeber, Übergangsregelungen der geplanten EEG-Novelle</w:t>
            </w:r>
          </w:p>
        </w:tc>
      </w:tr>
      <w:tr>
        <w:tc>
          <w:tcPr>
            <w:tcW w:type="dxa" w:w="800"/>
            <w:shd w:fill="F2F5FA" w:color="auto" w:val="clear"/>
            <w:vAlign w:val="center"/>
          </w:tcPr>
          <w:p>
            <w:pPr>
              <w:spacing w:after="30" w:before="30" w:line="230"/>
              <w:jc w:val="center"/>
            </w:pPr>
            <w:r>
              <w:rPr>
                <w:b/>
                <w:bCs/>
                <w:sz w:val="16"/>
                <w:szCs w:val="16"/>
              </w:rPr>
              <w:t xml:space="preserve">[18]</w:t>
            </w:r>
          </w:p>
        </w:tc>
        <w:tc>
          <w:tcPr>
            <w:tcW w:type="dxa" w:w="8838"/>
            <w:shd w:fill="F2F5FA" w:color="auto" w:val="clear"/>
            <w:vAlign w:val="center"/>
          </w:tcPr>
          <w:p>
            <w:pPr>
              <w:spacing w:after="30" w:before="30" w:line="230"/>
              <w:jc w:val="left"/>
            </w:pPr>
            <w:r>
              <w:rPr>
                <w:sz w:val="16"/>
                <w:szCs w:val="16"/>
              </w:rPr>
              <w:t xml:space="preserve">GÖRG, Erläuterung zu § 42c EnWG (Energy Sharing)</w:t>
            </w:r>
          </w:p>
        </w:tc>
      </w:tr>
      <w:tr>
        <w:tc>
          <w:tcPr>
            <w:tcW w:type="dxa" w:w="800"/>
            <w:vAlign w:val="center"/>
          </w:tcPr>
          <w:p>
            <w:pPr>
              <w:spacing w:after="30" w:before="30" w:line="230"/>
              <w:jc w:val="center"/>
            </w:pPr>
            <w:r>
              <w:rPr>
                <w:b/>
                <w:bCs/>
                <w:sz w:val="16"/>
                <w:szCs w:val="16"/>
              </w:rPr>
              <w:t xml:space="preserve">[19]</w:t>
            </w:r>
          </w:p>
        </w:tc>
        <w:tc>
          <w:tcPr>
            <w:tcW w:type="dxa" w:w="8838"/>
            <w:vAlign w:val="center"/>
          </w:tcPr>
          <w:p>
            <w:pPr>
              <w:spacing w:after="30" w:before="30" w:line="230"/>
              <w:jc w:val="left"/>
            </w:pPr>
            <w:r>
              <w:rPr>
                <w:sz w:val="16"/>
                <w:szCs w:val="16"/>
              </w:rPr>
              <w:t xml:space="preserve">pv-magazine, Berichterstattung zum Solarspitzengesetz</w:t>
            </w:r>
          </w:p>
        </w:tc>
      </w:tr>
      <w:tr>
        <w:tc>
          <w:tcPr>
            <w:tcW w:type="dxa" w:w="800"/>
            <w:shd w:fill="F2F5FA" w:color="auto" w:val="clear"/>
            <w:vAlign w:val="center"/>
          </w:tcPr>
          <w:p>
            <w:pPr>
              <w:spacing w:after="30" w:before="30" w:line="230"/>
              <w:jc w:val="center"/>
            </w:pPr>
            <w:r>
              <w:rPr>
                <w:b/>
                <w:bCs/>
                <w:sz w:val="16"/>
                <w:szCs w:val="16"/>
              </w:rPr>
              <w:t xml:space="preserve">[20]</w:t>
            </w:r>
          </w:p>
        </w:tc>
        <w:tc>
          <w:tcPr>
            <w:tcW w:type="dxa" w:w="8838"/>
            <w:shd w:fill="F2F5FA" w:color="auto" w:val="clear"/>
            <w:vAlign w:val="center"/>
          </w:tcPr>
          <w:p>
            <w:pPr>
              <w:spacing w:after="30" w:before="30" w:line="230"/>
              <w:jc w:val="left"/>
            </w:pPr>
            <w:r>
              <w:rPr>
                <w:sz w:val="16"/>
                <w:szCs w:val="16"/>
              </w:rPr>
              <w:t xml:space="preserve">zfk, Berichterstattung zum Agri-PV-Zuschlag (§ 48 Abs. 1b EEG, ausgesetzt)</w:t>
            </w:r>
          </w:p>
        </w:tc>
      </w:tr>
      <w:tr>
        <w:tc>
          <w:tcPr>
            <w:tcW w:type="dxa" w:w="800"/>
            <w:vAlign w:val="center"/>
          </w:tcPr>
          <w:p>
            <w:pPr>
              <w:spacing w:after="30" w:before="30" w:line="230"/>
              <w:jc w:val="center"/>
            </w:pPr>
            <w:r>
              <w:rPr>
                <w:b/>
                <w:bCs/>
                <w:sz w:val="16"/>
                <w:szCs w:val="16"/>
              </w:rPr>
              <w:t xml:space="preserve">[21]</w:t>
            </w:r>
          </w:p>
        </w:tc>
        <w:tc>
          <w:tcPr>
            <w:tcW w:type="dxa" w:w="8838"/>
            <w:vAlign w:val="center"/>
          </w:tcPr>
          <w:p>
            <w:pPr>
              <w:spacing w:after="30" w:before="30" w:line="230"/>
              <w:jc w:val="left"/>
            </w:pPr>
            <w:r>
              <w:rPr>
                <w:sz w:val="16"/>
                <w:szCs w:val="16"/>
              </w:rPr>
              <w:t xml:space="preserve">Bundesgerichtshof, Beschluss vom 13.05.2025, EnVR 83/20 (Kundenanlage), zitiert nach [26]</w:t>
            </w:r>
          </w:p>
        </w:tc>
      </w:tr>
      <w:tr>
        <w:tc>
          <w:tcPr>
            <w:tcW w:type="dxa" w:w="800"/>
            <w:shd w:fill="F2F5FA" w:color="auto" w:val="clear"/>
            <w:vAlign w:val="center"/>
          </w:tcPr>
          <w:p>
            <w:pPr>
              <w:spacing w:after="30" w:before="30" w:line="230"/>
              <w:jc w:val="center"/>
            </w:pPr>
            <w:r>
              <w:rPr>
                <w:b/>
                <w:bCs/>
                <w:sz w:val="16"/>
                <w:szCs w:val="16"/>
              </w:rPr>
              <w:t xml:space="preserve">[22]</w:t>
            </w:r>
          </w:p>
        </w:tc>
        <w:tc>
          <w:tcPr>
            <w:tcW w:type="dxa" w:w="8838"/>
            <w:shd w:fill="F2F5FA" w:color="auto" w:val="clear"/>
            <w:vAlign w:val="center"/>
          </w:tcPr>
          <w:p>
            <w:pPr>
              <w:spacing w:after="30" w:before="30" w:line="230"/>
              <w:jc w:val="left"/>
            </w:pPr>
            <w:r>
              <w:rPr>
                <w:sz w:val="16"/>
                <w:szCs w:val="16"/>
              </w:rPr>
              <w:t xml:space="preserve">pv-now.de, Registrierungs- und Produktinformationsseiten: produktinfo-pvnowmanager, produktinfo-pvnoweasy, produktentwicklung (Changelog), zahlungsmodi, schulungen, info-zum-zugang, einblicke, gastzugang</w:t>
            </w:r>
          </w:p>
        </w:tc>
      </w:tr>
      <w:tr>
        <w:tc>
          <w:tcPr>
            <w:tcW w:type="dxa" w:w="800"/>
            <w:vAlign w:val="center"/>
          </w:tcPr>
          <w:p>
            <w:pPr>
              <w:spacing w:after="30" w:before="30" w:line="230"/>
              <w:jc w:val="center"/>
            </w:pPr>
            <w:r>
              <w:rPr>
                <w:b/>
                <w:bCs/>
                <w:sz w:val="16"/>
                <w:szCs w:val="16"/>
              </w:rPr>
              <w:t xml:space="preserve">[23]</w:t>
            </w:r>
          </w:p>
        </w:tc>
        <w:tc>
          <w:tcPr>
            <w:tcW w:type="dxa" w:w="8838"/>
            <w:vAlign w:val="center"/>
          </w:tcPr>
          <w:p>
            <w:pPr>
              <w:spacing w:after="30" w:before="30" w:line="230"/>
              <w:jc w:val="left"/>
            </w:pPr>
            <w:r>
              <w:rPr>
                <w:sz w:val="16"/>
                <w:szCs w:val="16"/>
              </w:rPr>
              <w:t xml:space="preserve">pv-now.de/downloads/pvnow-vergleich.pdf (08/2025)</w:t>
            </w:r>
          </w:p>
        </w:tc>
      </w:tr>
      <w:tr>
        <w:tc>
          <w:tcPr>
            <w:tcW w:type="dxa" w:w="800"/>
            <w:shd w:fill="F2F5FA" w:color="auto" w:val="clear"/>
            <w:vAlign w:val="center"/>
          </w:tcPr>
          <w:p>
            <w:pPr>
              <w:spacing w:after="30" w:before="30" w:line="230"/>
              <w:jc w:val="center"/>
            </w:pPr>
            <w:r>
              <w:rPr>
                <w:b/>
                <w:bCs/>
                <w:sz w:val="16"/>
                <w:szCs w:val="16"/>
              </w:rPr>
              <w:t xml:space="preserve">[24]</w:t>
            </w:r>
          </w:p>
        </w:tc>
        <w:tc>
          <w:tcPr>
            <w:tcW w:type="dxa" w:w="8838"/>
            <w:shd w:fill="F2F5FA" w:color="auto" w:val="clear"/>
            <w:vAlign w:val="center"/>
          </w:tcPr>
          <w:p>
            <w:pPr>
              <w:spacing w:after="30" w:before="30" w:line="230"/>
              <w:jc w:val="left"/>
            </w:pPr>
            <w:r>
              <w:rPr>
                <w:sz w:val="16"/>
                <w:szCs w:val="16"/>
              </w:rPr>
              <w:t xml:space="preserve">pv-now-easy.de, Berechnungsgrundlagen pv@now easy (Stand 17.02.2026); pv-now-easy-ue20.de</w:t>
            </w:r>
          </w:p>
        </w:tc>
      </w:tr>
      <w:tr>
        <w:tc>
          <w:tcPr>
            <w:tcW w:type="dxa" w:w="800"/>
            <w:vAlign w:val="center"/>
          </w:tcPr>
          <w:p>
            <w:pPr>
              <w:spacing w:after="30" w:before="30" w:line="230"/>
              <w:jc w:val="center"/>
            </w:pPr>
            <w:r>
              <w:rPr>
                <w:b/>
                <w:bCs/>
                <w:sz w:val="16"/>
                <w:szCs w:val="16"/>
              </w:rPr>
              <w:t xml:space="preserve">[25]</w:t>
            </w:r>
          </w:p>
        </w:tc>
        <w:tc>
          <w:tcPr>
            <w:tcW w:type="dxa" w:w="8838"/>
            <w:vAlign w:val="center"/>
          </w:tcPr>
          <w:p>
            <w:pPr>
              <w:spacing w:after="30" w:before="30" w:line="230"/>
              <w:jc w:val="left"/>
            </w:pPr>
            <w:r>
              <w:rPr>
                <w:sz w:val="16"/>
                <w:szCs w:val="16"/>
              </w:rPr>
              <w:t xml:space="preserve">DGS Franken, dgs-franken.de/service/pvnow einschließlich Original-Screenshot „PV-Überschuss-Einspeisung 2“ (Uerberschusseinspeisung_2.jpg) und dgs-franken.de/sachverstand/pv-check</w:t>
            </w:r>
          </w:p>
        </w:tc>
      </w:tr>
      <w:tr>
        <w:tc>
          <w:tcPr>
            <w:tcW w:type="dxa" w:w="800"/>
            <w:shd w:fill="F2F5FA" w:color="auto" w:val="clear"/>
            <w:vAlign w:val="center"/>
          </w:tcPr>
          <w:p>
            <w:pPr>
              <w:spacing w:after="30" w:before="30" w:line="230"/>
              <w:jc w:val="center"/>
            </w:pPr>
            <w:r>
              <w:rPr>
                <w:b/>
                <w:bCs/>
                <w:sz w:val="16"/>
                <w:szCs w:val="16"/>
              </w:rPr>
              <w:t xml:space="preserve">[26]</w:t>
            </w:r>
          </w:p>
        </w:tc>
        <w:tc>
          <w:tcPr>
            <w:tcW w:type="dxa" w:w="8838"/>
            <w:shd w:fill="F2F5FA" w:color="auto" w:val="clear"/>
            <w:vAlign w:val="center"/>
          </w:tcPr>
          <w:p>
            <w:pPr>
              <w:spacing w:after="30" w:before="30" w:line="230"/>
              <w:jc w:val="left"/>
            </w:pPr>
            <w:r>
              <w:rPr>
                <w:sz w:val="16"/>
                <w:szCs w:val="16"/>
              </w:rPr>
              <w:t xml:space="preserve">mieterstrom-info.de: Broschüre „Neue Chancen für die Photovoltaik“ (11/2025, 28 S.), Betreiber- und Messkonzepte, Musterverträge</w:t>
            </w:r>
          </w:p>
        </w:tc>
      </w:tr>
      <w:tr>
        <w:tc>
          <w:tcPr>
            <w:tcW w:type="dxa" w:w="800"/>
            <w:vAlign w:val="center"/>
          </w:tcPr>
          <w:p>
            <w:pPr>
              <w:spacing w:after="30" w:before="30" w:line="230"/>
              <w:jc w:val="center"/>
            </w:pPr>
            <w:r>
              <w:rPr>
                <w:b/>
                <w:bCs/>
                <w:sz w:val="16"/>
                <w:szCs w:val="16"/>
              </w:rPr>
              <w:t xml:space="preserve">[27]</w:t>
            </w:r>
          </w:p>
        </w:tc>
        <w:tc>
          <w:tcPr>
            <w:tcW w:type="dxa" w:w="8838"/>
            <w:vAlign w:val="center"/>
          </w:tcPr>
          <w:p>
            <w:pPr>
              <w:spacing w:after="30" w:before="30" w:line="230"/>
              <w:jc w:val="left"/>
            </w:pPr>
            <w:r>
              <w:rPr>
                <w:sz w:val="16"/>
                <w:szCs w:val="16"/>
              </w:rPr>
              <w:t xml:space="preserve">solarakademie-franken.de, „pv@now Software-Schulung (Webinar)“, Kurs WP04-SODI</w:t>
            </w:r>
          </w:p>
        </w:tc>
      </w:tr>
      <w:tr>
        <w:tc>
          <w:tcPr>
            <w:tcW w:type="dxa" w:w="800"/>
            <w:shd w:fill="F2F5FA" w:color="auto" w:val="clear"/>
            <w:vAlign w:val="center"/>
          </w:tcPr>
          <w:p>
            <w:pPr>
              <w:spacing w:after="30" w:before="30" w:line="230"/>
              <w:jc w:val="center"/>
            </w:pPr>
            <w:r>
              <w:rPr>
                <w:b/>
                <w:bCs/>
                <w:sz w:val="16"/>
                <w:szCs w:val="16"/>
              </w:rPr>
              <w:t xml:space="preserve">[28]</w:t>
            </w:r>
          </w:p>
        </w:tc>
        <w:tc>
          <w:tcPr>
            <w:tcW w:type="dxa" w:w="8838"/>
            <w:shd w:fill="F2F5FA" w:color="auto" w:val="clear"/>
            <w:vAlign w:val="center"/>
          </w:tcPr>
          <w:p>
            <w:pPr>
              <w:spacing w:after="30" w:before="30" w:line="230"/>
              <w:jc w:val="left"/>
            </w:pPr>
            <w:r>
              <w:rPr>
                <w:sz w:val="16"/>
                <w:szCs w:val="16"/>
              </w:rPr>
              <w:t xml:space="preserve">pv-now.de, Impressum und Kontakt (Solare Dienstleistungen GbR, Nürnberg)</w:t>
            </w:r>
          </w:p>
        </w:tc>
      </w:tr>
      <w:tr>
        <w:tc>
          <w:tcPr>
            <w:tcW w:type="dxa" w:w="800"/>
            <w:vAlign w:val="center"/>
          </w:tcPr>
          <w:p>
            <w:pPr>
              <w:spacing w:after="30" w:before="30" w:line="230"/>
              <w:jc w:val="center"/>
            </w:pPr>
            <w:r>
              <w:rPr>
                <w:b/>
                <w:bCs/>
                <w:sz w:val="16"/>
                <w:szCs w:val="16"/>
              </w:rPr>
              <w:t xml:space="preserve">[29]</w:t>
            </w:r>
          </w:p>
        </w:tc>
        <w:tc>
          <w:tcPr>
            <w:tcW w:type="dxa" w:w="8838"/>
            <w:vAlign w:val="center"/>
          </w:tcPr>
          <w:p>
            <w:pPr>
              <w:spacing w:after="30" w:before="30" w:line="230"/>
              <w:jc w:val="left"/>
            </w:pPr>
            <w:r>
              <w:rPr>
                <w:b/>
                <w:bCs/>
                <w:sz w:val="16"/>
                <w:szCs w:val="16"/>
              </w:rPr>
              <w:t xml:space="preserve">pv@now manager, Projekt „INEKON Schulung 01“, ausgelesen 25.08.2026</w:t>
            </w:r>
            <w:r>
              <w:rPr>
                <w:sz w:val="16"/>
                <w:szCs w:val="16"/>
              </w:rPr>
              <w:t xml:space="preserve"> (App-Version 10.0.0; Pläne „Überschuss“ und „Volleinspeisung“, Erlösmodelle-Seite, EEG-Tabellen im Tool, Kennzahlen) – </w:t>
            </w:r>
            <w:r>
              <w:rPr>
                <w:b/>
                <w:bCs/>
                <w:sz w:val="16"/>
                <w:szCs w:val="16"/>
              </w:rPr>
              <w:t xml:space="preserve">einschließlich Modellkatalog, ausgelesen 25.08.2026</w:t>
            </w:r>
            <w:r>
              <w:rPr>
                <w:sz w:val="16"/>
                <w:szCs w:val="16"/>
              </w:rPr>
              <w:t xml:space="preserve">: alle 25 Betreibermodelle mit Rollenformel, Legende, Subtypen, Parteien-/Farbsystematik und wörtlichem Beschreibungstext sowie sechs Glossardefinitionen; Erfassung rein lesend über das Panel „Betreibermodell einfügen“ (Glossar-Ergänzungslauf siehe [32])</w:t>
            </w:r>
          </w:p>
        </w:tc>
      </w:tr>
      <w:tr>
        <w:tc>
          <w:tcPr>
            <w:tcW w:type="dxa" w:w="800"/>
            <w:shd w:fill="F2F5FA" w:color="auto" w:val="clear"/>
            <w:vAlign w:val="center"/>
          </w:tcPr>
          <w:p>
            <w:pPr>
              <w:spacing w:after="30" w:before="30" w:line="230"/>
              <w:jc w:val="center"/>
            </w:pPr>
            <w:r>
              <w:rPr>
                <w:b/>
                <w:bCs/>
                <w:sz w:val="16"/>
                <w:szCs w:val="16"/>
              </w:rPr>
              <w:t xml:space="preserve">[30]</w:t>
            </w:r>
          </w:p>
        </w:tc>
        <w:tc>
          <w:tcPr>
            <w:tcW w:type="dxa" w:w="8838"/>
            <w:shd w:fill="F2F5FA" w:color="auto" w:val="clear"/>
            <w:vAlign w:val="center"/>
          </w:tcPr>
          <w:p>
            <w:pPr>
              <w:spacing w:after="30" w:before="30" w:line="230"/>
              <w:jc w:val="left"/>
            </w:pPr>
            <w:r>
              <w:rPr>
                <w:sz w:val="16"/>
                <w:szCs w:val="16"/>
              </w:rPr>
              <w:t xml:space="preserve">Erfassungsprotokoll zum Modellkatalog und Glossar vom 25.08.2026 (Methodik der Auslesung; Abbruch des ersten Glossarlaufs nach sechs Begriffen wegen Ausfall der Browser-Verbindung; der Ergänzungslauf ist unter [32] nachgewiesen)</w:t>
            </w:r>
          </w:p>
        </w:tc>
      </w:tr>
      <w:tr>
        <w:tc>
          <w:tcPr>
            <w:tcW w:type="dxa" w:w="800"/>
            <w:vAlign w:val="center"/>
          </w:tcPr>
          <w:p>
            <w:pPr>
              <w:spacing w:after="30" w:before="30" w:line="230"/>
              <w:jc w:val="center"/>
            </w:pPr>
            <w:r>
              <w:rPr>
                <w:b/>
                <w:bCs/>
                <w:sz w:val="16"/>
                <w:szCs w:val="16"/>
              </w:rPr>
              <w:t xml:space="preserve">[31]</w:t>
            </w:r>
          </w:p>
        </w:tc>
        <w:tc>
          <w:tcPr>
            <w:tcW w:type="dxa" w:w="8838"/>
            <w:vAlign w:val="center"/>
          </w:tcPr>
          <w:p>
            <w:pPr>
              <w:spacing w:after="30" w:before="30" w:line="230"/>
              <w:jc w:val="left"/>
            </w:pPr>
            <w:r>
              <w:rPr>
                <w:sz w:val="16"/>
                <w:szCs w:val="16"/>
              </w:rPr>
              <w:t xml:space="preserve">ikhb.de/node/124724 sowie energiekonsens.de (externe Schulung WFB/energiekonsens Bremen, 19.06.2025)</w:t>
            </w:r>
          </w:p>
        </w:tc>
      </w:tr>
      <w:tr>
        <w:tc>
          <w:tcPr>
            <w:tcW w:type="dxa" w:w="800"/>
            <w:shd w:fill="F2F5FA" w:color="auto" w:val="clear"/>
            <w:vAlign w:val="center"/>
          </w:tcPr>
          <w:p>
            <w:pPr>
              <w:spacing w:after="30" w:before="30" w:line="230"/>
              <w:jc w:val="center"/>
            </w:pPr>
            <w:r>
              <w:rPr>
                <w:b/>
                <w:bCs/>
                <w:sz w:val="16"/>
                <w:szCs w:val="16"/>
              </w:rPr>
              <w:t xml:space="preserve">[32]</w:t>
            </w:r>
          </w:p>
        </w:tc>
        <w:tc>
          <w:tcPr>
            <w:tcW w:type="dxa" w:w="8838"/>
            <w:shd w:fill="F2F5FA" w:color="auto" w:val="clear"/>
            <w:vAlign w:val="center"/>
          </w:tcPr>
          <w:p>
            <w:pPr>
              <w:spacing w:after="30" w:before="30" w:line="230"/>
              <w:jc w:val="left"/>
            </w:pPr>
            <w:r>
              <w:rPr>
                <w:b/>
                <w:bCs/>
                <w:sz w:val="16"/>
                <w:szCs w:val="16"/>
              </w:rPr>
              <w:t xml:space="preserve">pv@now-Glossar, ausgelesen 25.08.2026</w:t>
            </w:r>
            <w:r>
              <w:rPr>
                <w:sz w:val="16"/>
                <w:szCs w:val="16"/>
              </w:rPr>
              <w:t xml:space="preserve"> (App-Version 10.0.0; Buchstabenindex A–Z, Lightbox-Texte; 21 Definitionen im Ergänzungslauf, Prüfung der vollständigen Begriffsliste je Buchstabe; Befund: der Listeneintrag „PV-Stromgestehungskosten“ unter P öffnet keine Lightbox)</w:t>
            </w:r>
          </w:p>
        </w:tc>
      </w:tr>
      <w:tr>
        <w:tc>
          <w:tcPr>
            <w:tcW w:type="dxa" w:w="800"/>
            <w:vAlign w:val="center"/>
          </w:tcPr>
          <w:p>
            <w:pPr>
              <w:spacing w:after="30" w:before="30" w:line="230"/>
              <w:jc w:val="center"/>
            </w:pPr>
            <w:r>
              <w:rPr>
                <w:b/>
                <w:bCs/>
                <w:sz w:val="16"/>
                <w:szCs w:val="16"/>
              </w:rPr>
              <w:t xml:space="preserve">[33]</w:t>
            </w:r>
          </w:p>
        </w:tc>
        <w:tc>
          <w:tcPr>
            <w:tcW w:type="dxa" w:w="8838"/>
            <w:vAlign w:val="center"/>
          </w:tcPr>
          <w:p>
            <w:pPr>
              <w:spacing w:after="30" w:before="30" w:line="230"/>
              <w:jc w:val="left"/>
            </w:pPr>
            <w:r>
              <w:rPr>
                <w:sz w:val="16"/>
                <w:szCs w:val="16"/>
              </w:rPr>
              <w:t xml:space="preserve">Bundesnetzagentur, Ausschreibungen Solaranlagen 2. Segment (Gebäude und Lärmschutzwände), Teilnahmevoraussetzungen: Gebote nur für Anlagen mit mindestens 1.001 kWp (abgerufen 25.08.2026): https://www.bundesnetzagentur.de/DE/Fachthemen/ElektrizitaetundGas/Ausschreibungen/Solaranlagen2/start.html</w:t>
            </w:r>
          </w:p>
        </w:tc>
      </w:tr>
      <w:tr>
        <w:tc>
          <w:tcPr>
            <w:tcW w:type="dxa" w:w="800"/>
            <w:shd w:fill="F2F5FA" w:color="auto" w:val="clear"/>
            <w:vAlign w:val="center"/>
          </w:tcPr>
          <w:p>
            <w:pPr>
              <w:spacing w:after="30" w:before="30" w:line="230"/>
              <w:jc w:val="center"/>
            </w:pPr>
            <w:r>
              <w:rPr>
                <w:b/>
                <w:bCs/>
                <w:sz w:val="16"/>
                <w:szCs w:val="16"/>
              </w:rPr>
              <w:t xml:space="preserve">[34]</w:t>
            </w:r>
          </w:p>
        </w:tc>
        <w:tc>
          <w:tcPr>
            <w:tcW w:type="dxa" w:w="8838"/>
            <w:shd w:fill="F2F5FA" w:color="auto" w:val="clear"/>
            <w:vAlign w:val="center"/>
          </w:tcPr>
          <w:p>
            <w:pPr>
              <w:spacing w:after="30" w:before="30" w:line="230"/>
              <w:jc w:val="left"/>
            </w:pPr>
            <w:r>
              <w:rPr>
                <w:sz w:val="16"/>
                <w:szCs w:val="16"/>
              </w:rPr>
              <w:t xml:space="preserve">Clearingstelle EEG | KWKG, Häufige Rechtsfrage 225 „Ist die EEG-Umlage abgeschafft worden?“ (abgerufen 25.08.2026): EEG-Umlage seit 01.07.2022 null (§ 60 Abs. 1a S. 1 EEG 2021), mit Inkrafttreten des EEG 2023 zum 01.01.2023 entfallen alle Eigenversorgungsregelungen zur EEG-Umlage (§§ 3 Nr. 19, 59 bis 69 EEG): https://www.clearingstelle-eeg-kwkg.de/haeufige-rechtsfrage/225</w:t>
            </w:r>
          </w:p>
        </w:tc>
      </w:tr>
      <w:tr>
        <w:tc>
          <w:tcPr>
            <w:tcW w:type="dxa" w:w="800"/>
            <w:vAlign w:val="center"/>
          </w:tcPr>
          <w:p>
            <w:pPr>
              <w:spacing w:after="30" w:before="30" w:line="230"/>
              <w:jc w:val="center"/>
            </w:pPr>
            <w:r>
              <w:rPr>
                <w:b/>
                <w:bCs/>
                <w:sz w:val="16"/>
                <w:szCs w:val="16"/>
              </w:rPr>
              <w:t xml:space="preserve">[35]</w:t>
            </w:r>
          </w:p>
        </w:tc>
        <w:tc>
          <w:tcPr>
            <w:tcW w:type="dxa" w:w="8838"/>
            <w:vAlign w:val="center"/>
          </w:tcPr>
          <w:p>
            <w:pPr>
              <w:spacing w:after="30" w:before="30" w:line="230"/>
              <w:jc w:val="left"/>
            </w:pPr>
            <w:r>
              <w:rPr>
                <w:sz w:val="16"/>
                <w:szCs w:val="16"/>
              </w:rPr>
              <w:t xml:space="preserve">gesetze-im-internet.de, EEG 2023 – Einzelnormen §§ 21, 22, 23b, 24, 25, 48a, 53 und 101, im Wortlaut abgerufen am 25.08.2026 (Primärquellenprüfung der Glossarbegriffe in D5): https://www.gesetze-im-internet.de/eeg_2014/</w:t>
            </w:r>
          </w:p>
        </w:tc>
      </w:tr>
      <w:tr>
        <w:tc>
          <w:tcPr>
            <w:tcW w:type="dxa" w:w="800"/>
            <w:shd w:fill="F2F5FA" w:color="auto" w:val="clear"/>
            <w:vAlign w:val="center"/>
          </w:tcPr>
          <w:p>
            <w:pPr>
              <w:spacing w:after="30" w:before="30" w:line="230"/>
              <w:jc w:val="center"/>
            </w:pPr>
            <w:r>
              <w:rPr>
                <w:b/>
                <w:bCs/>
                <w:sz w:val="16"/>
                <w:szCs w:val="16"/>
              </w:rPr>
              <w:t xml:space="preserve">[36]</w:t>
            </w:r>
          </w:p>
        </w:tc>
        <w:tc>
          <w:tcPr>
            <w:tcW w:type="dxa" w:w="8838"/>
            <w:shd w:fill="F2F5FA" w:color="auto" w:val="clear"/>
            <w:vAlign w:val="center"/>
          </w:tcPr>
          <w:p>
            <w:pPr>
              <w:spacing w:after="30" w:before="30" w:line="230"/>
              <w:jc w:val="left"/>
            </w:pPr>
            <w:r>
              <w:rPr>
                <w:b/>
                <w:bCs/>
                <w:sz w:val="16"/>
                <w:szCs w:val="16"/>
              </w:rPr>
              <w:t xml:space="preserve">Eigenes Nachrechenmodell zu Teil K</w:t>
            </w:r>
            <w:r>
              <w:rPr>
                <w:sz w:val="16"/>
                <w:szCs w:val="16"/>
              </w:rPr>
              <w:t xml:space="preserve">, </w:t>
            </w:r>
            <w:r>
              <w:rPr>
                <w:rFonts w:ascii="Consolas" w:cs="Consolas" w:eastAsia="Consolas" w:hAnsi="Consolas"/>
                <w:b/>
                <w:bCs/>
                <w:sz w:val="16"/>
                <w:szCs w:val="16"/>
              </w:rPr>
              <w:t xml:space="preserve">output/kennzahlen_modell.py</w:t>
            </w:r>
            <w:r>
              <w:rPr>
                <w:sz w:val="16"/>
                <w:szCs w:val="16"/>
              </w:rPr>
              <w:t xml:space="preserve"> (Python, monatsgenaue Zahlungsreihe beider Pläne über 250 Monate, Kennzahlen und Variantenscan der offenen Modellannahmen; Eingaben ausschließlich aus [29], Stand 25.08.2026). Ergebnis: mittlere Abweichung 0,20 % gegenüber den Tool-Kennzahlen, Amortisationsaussagen exakt</w:t>
            </w:r>
          </w:p>
        </w:tc>
      </w:tr>
    </w:tbl>
    <w:p>
      <w:pPr>
        <w:spacing w:after="100"/>
      </w:pPr>
      <w:r>
        <w:rPr>
          <w:sz w:val="8"/>
          <w:szCs w:val="8"/>
        </w:rPr>
        <w:t xml:space="preserve"/>
      </w:r>
    </w:p>
    <w:p>
      <w:pPr>
        <w:pStyle w:val="Heading2"/>
      </w:pPr>
      <w:bookmarkStart w:id="900050" w:name="_Toc90000050"/>
      <w:r>
        <w:t xml:space="preserve">Q2  Datenstand, Unsicherheiten und offene Punkte</w:t>
      </w:r>
      <w:bookmarkEnd w:id="900050"/>
    </w:p>
    <w:p>
      <w:r>
        <w:rPr>
          <w:b/>
          <w:bCs/>
        </w:rPr>
        <w:t xml:space="preserve">Datenstand aller Angaben: 25.08.2026.</w:t>
      </w:r>
      <w:r>
        <w:t xml:space="preserve"> Folgende Punkte sind zum Datenstand offen und vor einer Verwendung in Kundenunterlagen zu prüfen:</w:t>
      </w:r>
    </w:p>
    <w:p>
      <w:pPr>
        <w:pStyle w:val="ListParagraph"/>
        <w:numPr>
          <w:ilvl w:val="0"/>
          <w:numId w:val="3"/>
        </w:numPr>
        <w:spacing w:after="90" w:line="268"/>
      </w:pPr>
      <w:r>
        <w:rPr>
          <w:b/>
          <w:bCs/>
        </w:rPr>
        <w:t xml:space="preserve">Modellkatalog und Glossar: erledigt.</w:t>
      </w:r>
      <w:r>
        <w:t xml:space="preserve"> Alle 25 Betreibermodelle wurden am 25.08.2026 in der App verifiziert (Rollenformeln, Subtypen, Parteiensystematik, wörtliche Beschreibungen); die frühere Arbeitshypothese zur Nummernlogik ist damit gegenstandslos und wurde ersetzt [29][30]. Auch die Glossarerfassung ist abgeschlossen: 27 Einträge liegen vor und stehen geprüft in D5 [32]. Einziger technischer Befund: Der Listeneintrag „PV-Stromgestehungskosten“ unter P öffnet keine Lightbox und liefert keinen Text – der inhaltlich identische Eintrag steht unter S als „Stromgestehungskosten“ [32].</w:t>
      </w:r>
    </w:p>
    <w:p>
      <w:pPr>
        <w:pStyle w:val="ListParagraph"/>
        <w:numPr>
          <w:ilvl w:val="0"/>
          <w:numId w:val="3"/>
        </w:numPr>
        <w:spacing w:after="90" w:line="268"/>
      </w:pPr>
      <w:r>
        <w:rPr>
          <w:b/>
          <w:bCs/>
        </w:rPr>
        <w:t xml:space="preserve">Glossartexte gegenüber dem Rechtsstand: geprüft und korrigiert.</w:t>
      </w:r>
      <w:r>
        <w:t xml:space="preserve"> Die früher nur gemeldeten Widersprüche (Ausschreibungsschwelle 750 kWp, Monats- statt Jahresmarktwert) sind ebenso wie neun weitere Abweichungen begriffsweise in </w:t>
      </w:r>
      <w:r>
        <w:rPr>
          <w:b/>
          <w:bCs/>
        </w:rPr>
        <w:t xml:space="preserve">D5</w:t>
      </w:r>
      <w:r>
        <w:t xml:space="preserve"> richtiggestellt; die Tool-Texte selbst bleiben in der App unverändert und sind vor der Weitergabe an Kunden entsprechend zu relativieren [4][32][35]. </w:t>
      </w:r>
      <w:r>
        <w:rPr>
          <w:b/>
          <w:bCs/>
        </w:rPr>
        <w:t xml:space="preserve">Offen bleibt</w:t>
      </w:r>
      <w:r>
        <w:t xml:space="preserve"> ein Wortlautwiderspruch des Gesetzes: § 22 Abs. 3 S. 2 Nr. 1a EEG nennt für das 2. Segment weiterhin 750 kW, während die Bundesnetzagentur Gebote erst ab 1.001 kWp annimmt und für Gebäudeanlagen bis 1.000 kW anzulegende Werte veröffentlicht; § 22 Abs. 3 S. 2 steht zudem unter dem Beihilfevorbehalt des § 101 EEG. Für Gebäudeanlagen zwischen 750 und 1.000 kWp ist die Vergütungsform deshalb vorab mit Netzbetreiber und Bundesnetzagentur zu klären [4][33][35].</w:t>
      </w:r>
    </w:p>
    <w:p>
      <w:pPr>
        <w:pStyle w:val="ListParagraph"/>
        <w:numPr>
          <w:ilvl w:val="0"/>
          <w:numId w:val="3"/>
        </w:numPr>
        <w:spacing w:after="90" w:line="268"/>
      </w:pPr>
      <w:r>
        <w:rPr>
          <w:b/>
          <w:bCs/>
        </w:rPr>
        <w:t xml:space="preserve">Webinartermine:</w:t>
      </w:r>
      <w:r>
        <w:t xml:space="preserve"> Die Uhrzeiten der Schulungstermine sind extern nicht bestätigt und daher nicht ausgewiesen; maßgeblich ist die Buchungsseite solarakademie-franken.de [27].</w:t>
      </w:r>
    </w:p>
    <w:p>
      <w:pPr>
        <w:pStyle w:val="ListParagraph"/>
        <w:numPr>
          <w:ilvl w:val="0"/>
          <w:numId w:val="3"/>
        </w:numPr>
        <w:spacing w:after="90" w:line="268"/>
      </w:pPr>
      <w:r>
        <w:rPr>
          <w:b/>
          <w:bCs/>
        </w:rPr>
        <w:t xml:space="preserve">Mieterstromzuschlag im Projekt:</w:t>
      </w:r>
      <w:r>
        <w:t xml:space="preserve"> Der Wert 2,62 ct/kWh im Plan „Überschuss“ lässt sich aus den erfassten Ausgangswerten nicht herleiten (rechnerischer Mischwert wäre 2,54 ct/kWh) [29].</w:t>
      </w:r>
    </w:p>
    <w:p>
      <w:pPr>
        <w:pStyle w:val="ListParagraph"/>
        <w:numPr>
          <w:ilvl w:val="0"/>
          <w:numId w:val="3"/>
        </w:numPr>
        <w:spacing w:after="90" w:line="268"/>
      </w:pPr>
      <w:r>
        <w:rPr>
          <w:b/>
          <w:bCs/>
        </w:rPr>
        <w:t xml:space="preserve">Ausfallvergütung im Projekt:</w:t>
      </w:r>
      <w:r>
        <w:t xml:space="preserve"> wird für 30 kWp ausgewiesen, obwohl der Anspruch nach § 21 Abs. 1 S. 1 Nr. 3 EEG nur Anlagen über 100 kW zusteht [4][29].</w:t>
      </w:r>
    </w:p>
    <w:p>
      <w:pPr>
        <w:pStyle w:val="ListParagraph"/>
        <w:numPr>
          <w:ilvl w:val="0"/>
          <w:numId w:val="3"/>
        </w:numPr>
        <w:spacing w:after="90" w:line="268"/>
      </w:pPr>
      <w:r>
        <w:rPr>
          <w:b/>
          <w:bCs/>
        </w:rPr>
        <w:t xml:space="preserve">Solarspitzengesetz im Werkzeug:</w:t>
      </w:r>
      <w:r>
        <w:t xml:space="preserve"> kein namentlicher Changelog-Eintrag; Umsetzung beim Support zu erfragen [22].</w:t>
      </w:r>
    </w:p>
    <w:p>
      <w:pPr>
        <w:pStyle w:val="ListParagraph"/>
        <w:numPr>
          <w:ilvl w:val="0"/>
          <w:numId w:val="3"/>
        </w:numPr>
        <w:spacing w:after="90" w:line="268"/>
      </w:pPr>
      <w:r>
        <w:rPr>
          <w:b/>
          <w:bCs/>
        </w:rPr>
        <w:t xml:space="preserve">Modellzahl:</w:t>
      </w:r>
      <w:r>
        <w:t xml:space="preserve"> App-Auswahlliste 25 Modelle gegenüber „ca. 30“ bzw. „über 20“ in der öffentlichen Produktinformation; die Familie „PV-Mieterstrom“ der Produktinformation erscheint in der App nicht separat [22][29].</w:t>
      </w:r>
    </w:p>
    <w:p>
      <w:pPr>
        <w:pStyle w:val="ListParagraph"/>
        <w:numPr>
          <w:ilvl w:val="0"/>
          <w:numId w:val="3"/>
        </w:numPr>
        <w:spacing w:after="90" w:line="268"/>
      </w:pPr>
      <w:r>
        <w:rPr>
          <w:b/>
          <w:bCs/>
        </w:rPr>
        <w:t xml:space="preserve">BDEW-Wert Haushalte (37,0 ct/kWh):</w:t>
      </w:r>
      <w:r>
        <w:t xml:space="preserve"> in der Quellenauswertung ohne ausdrückliche Netto-/Brutto-Kennzeichnung; der Gewerbe-/Industriewert von 17,2 ct/kWh ist als Nettowert ausgewiesen [11].</w:t>
      </w:r>
    </w:p>
    <w:p>
      <w:pPr>
        <w:pStyle w:val="ListParagraph"/>
        <w:numPr>
          <w:ilvl w:val="0"/>
          <w:numId w:val="3"/>
        </w:numPr>
        <w:spacing w:after="90" w:line="268"/>
      </w:pPr>
      <w:r>
        <w:rPr>
          <w:b/>
          <w:bCs/>
        </w:rPr>
        <w:t xml:space="preserve">Feinabweichungen der Kennzahlen-Nachrechnung (K3.5):</w:t>
      </w:r>
      <w:r>
        <w:t xml:space="preserve"> Die eigene Nachrechnung reproduziert die zwanzig Tool-Kennzahlen beider Pläne mit einer mittleren Abweichung von 0,20 %; Vorzeichen, Größenordnung und alle Amortisationsaussagen stimmen exakt. Nicht exakt reproduzierbar sind zwei Verteilungsannahmen, die das Werkzeug nicht ausweist: die Aufteilung des Rumpfjahresertrags 3–12/2023 auf die zehn Monate und der Monatsverlauf der Eigenverbrauchsquote. Größte Einzelabweichung ist der interne Zinsfuß des Plans „Überschuss“ mit 16,15 % gegenüber 15,99 % (+ 0,16 %-Punkte) [29][36].</w:t>
      </w:r>
    </w:p>
    <w:p>
      <w:pPr>
        <w:pStyle w:val="ListParagraph"/>
        <w:numPr>
          <w:ilvl w:val="0"/>
          <w:numId w:val="3"/>
        </w:numPr>
        <w:spacing w:after="90" w:line="268"/>
      </w:pPr>
      <w:r>
        <w:rPr>
          <w:b/>
          <w:bCs/>
        </w:rPr>
        <w:t xml:space="preserve">Weitere offene Datenpunkte:</w:t>
      </w:r>
      <w:r>
        <w:t xml:space="preserve"> Vergütungsrunden Oktober und Dezember 2026 noch offen; Monatsmarktwert Solar August 2026 noch nicht veröffentlicht; PPA-Reihen für 2026 nicht belastbar; Festlegung der Bundesnetzagentur zu Speichern (§ 19 Abs. 3b/3c EEG) unklar; die maximale Gebotsgröße von 50 MW steht unter Beihilfevorbehalt; das Kabinettsdatum der EEG-Novelle 2027 wird in den Quellen mit 29. oder 30.07.2026 angegeben – hier durchgängig 29.07.2026.</w:t>
      </w:r>
    </w:p>
    <w:p>
      <w:pPr>
        <w:pStyle w:val="Heading2"/>
      </w:pPr>
      <w:bookmarkStart w:id="900051" w:name="_Toc90000051"/>
      <w:r>
        <w:t xml:space="preserve">Q3  Disclaimer</w:t>
      </w:r>
      <w:bookmarkEnd w:id="900051"/>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90"/>
          <w:left w:type="dxa" w:w="150"/>
          <w:bottom w:type="dxa" w:w="90"/>
          <w:right w:type="dxa" w:w="150"/>
        </w:tblCellMar>
      </w:tblPr>
      <w:tblGrid>
        <w:gridCol w:w="9638"/>
      </w:tblGrid>
      <w:tr>
        <w:trPr>
          <w:cantSplit/>
        </w:trPr>
        <w:tc>
          <w:tcPr>
            <w:tcW w:type="dxa" w:w="9638"/>
            <w:tcBorders>
              <w:top w:val="single" w:color="C00000" w:sz="2"/>
              <w:left w:val="single" w:color="C00000" w:sz="24"/>
              <w:bottom w:val="single" w:color="C00000" w:sz="2"/>
              <w:right w:val="single" w:color="C00000" w:sz="2"/>
            </w:tcBorders>
            <w:shd w:fill="FDEDEC" w:color="auto" w:val="clear"/>
          </w:tcPr>
          <w:p>
            <w:pPr>
              <w:spacing w:after="80" w:before="40"/>
            </w:pPr>
            <w:r>
              <w:rPr>
                <w:b/>
                <w:bCs/>
                <w:color w:val="C00000"/>
                <w:sz w:val="20"/>
                <w:szCs w:val="20"/>
              </w:rPr>
              <w:t xml:space="preserve">Disclaimer</w:t>
            </w:r>
          </w:p>
          <w:p>
            <w:pPr>
              <w:spacing w:after="60" w:before="40" w:line="250"/>
            </w:pPr>
            <w:r>
              <w:rPr>
                <w:b/>
                <w:bCs/>
                <w:sz w:val="19"/>
                <w:szCs w:val="19"/>
              </w:rPr>
              <w:t xml:space="preserve">Keine Steuer- oder Rechtsberatung.</w:t>
            </w:r>
            <w:r>
              <w:rPr>
                <w:sz w:val="19"/>
                <w:szCs w:val="19"/>
              </w:rPr>
              <w:t xml:space="preserve"> Diese Übersicht dient der fachlichen Orientierung in der Energieberatung und ersetzt weder eine steuerliche noch eine rechtliche Beratung im Einzelfall. Auch pv@now weist ausdrücklich darauf hin, dass die Berechnungen keine Steuerberatung darstellen [29].</w:t>
            </w:r>
          </w:p>
          <w:p>
            <w:pPr>
              <w:spacing w:after="60" w:before="40" w:line="250"/>
            </w:pPr>
            <w:r>
              <w:rPr>
                <w:b/>
                <w:bCs/>
                <w:sz w:val="19"/>
                <w:szCs w:val="19"/>
              </w:rPr>
              <w:t xml:space="preserve">Entwurfsstände sind gekennzeichnet.</w:t>
            </w:r>
            <w:r>
              <w:rPr>
                <w:sz w:val="19"/>
                <w:szCs w:val="19"/>
              </w:rPr>
              <w:t xml:space="preserve"> Sämtliche Aussagen zur EEG-Novelle 2027 beruhen auf dem Regierungsentwurf (Kabinett 29.07.2026) und sind kein geltendes Recht. Der +1,5-ct-Aufschlag des Solarpakets I ist gesetzlich vorgesehen, aber nach § 101 EEG mangels EU-Genehmigung nicht anwendbar (Stand 25.08.2026).</w:t>
            </w:r>
          </w:p>
          <w:p>
            <w:pPr>
              <w:spacing w:after="60" w:before="40" w:line="250"/>
            </w:pPr>
            <w:r>
              <w:rPr>
                <w:b/>
                <w:bCs/>
                <w:sz w:val="19"/>
                <w:szCs w:val="19"/>
              </w:rPr>
              <w:t xml:space="preserve">Projektwerte sind ein Schulungsbeispiel (Inbetriebnahme 3/2023)</w:t>
            </w:r>
            <w:r>
              <w:rPr>
                <w:sz w:val="19"/>
                <w:szCs w:val="19"/>
              </w:rPr>
              <w:t xml:space="preserve"> und keine Angebotskalkulation. Für aktuelle Angebote sind Inbetriebnahmedatum, Vergütungssätze, Investitionskosten und Verbrauchsdaten neu zu erfassen.</w:t>
            </w:r>
          </w:p>
          <w:p>
            <w:pPr>
              <w:spacing w:after="60" w:before="40" w:line="250"/>
            </w:pPr>
            <w:r>
              <w:rPr>
                <w:b/>
                <w:bCs/>
                <w:sz w:val="19"/>
                <w:szCs w:val="19"/>
              </w:rPr>
              <w:t xml:space="preserve">Datenstand: 25.08.2026.</w:t>
            </w:r>
          </w:p>
        </w:tc>
      </w:tr>
    </w:tbl>
    <w:sectPr>
      <w:footerReference w:type="default" r:id="rId10"/>
      <w:pgSz w:w="11906" w:h="16838" w:orient="portrait"/>
      <w:pgMar w:top="1418" w:right="1134" w:bottom="1276" w:left="1134" w:header="624" w:footer="62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4" w:space="6"/>
      </w:pBdr>
      <w:spacing w:before="60"/>
      <w:jc w:val="center"/>
    </w:pPr>
    <w:r>
      <w:rPr>
        <w:color w:val="44546A"/>
        <w:sz w:val="16"/>
        <w:szCs w:val="16"/>
      </w:rPr>
      <w:t xml:space="preserve">Betreibermodelle und Vergütungen Photovoltaik – Übersicht  ·  INEKON  ·  Stand: 25.08.2026  ·  Seite </w:t>
    </w:r>
    <w:r>
      <w:rPr>
        <w:b/>
        <w:bCs/>
        <w:color w:val="44546A"/>
        <w:sz w:val="16"/>
        <w:szCs w:val="16"/>
      </w:rPr>
      <w:fldChar w:fldCharType="begin"/>
      <w:instrText xml:space="preserve">PAGE</w:instrText>
      <w:fldChar w:fldCharType="separate"/>
      <w:fldChar w:fldCharType="end"/>
    </w:r>
    <w:r>
      <w:rPr>
        <w:color w:val="44546A"/>
        <w:sz w:val="16"/>
        <w:szCs w:val="16"/>
      </w:rPr>
      <w:t xml:space="preserve"> von </w:t>
    </w:r>
    <w:r>
      <w:rPr>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8"/>
        <w:szCs w:val="8"/>
      </w:rP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4" w:space="6"/>
      </w:pBdr>
      <w:spacing w:before="60"/>
      <w:jc w:val="center"/>
    </w:pPr>
    <w:r>
      <w:rPr>
        <w:color w:val="44546A"/>
        <w:sz w:val="16"/>
        <w:szCs w:val="16"/>
      </w:rPr>
      <w:t xml:space="preserve">Betreibermodelle und Vergütungen Photovoltaik – Übersicht  ·  INEKON  ·  Stand: 25.08.2026  ·  Seite </w:t>
    </w:r>
    <w:r>
      <w:rPr>
        <w:b/>
        <w:bCs/>
        <w:color w:val="44546A"/>
        <w:sz w:val="16"/>
        <w:szCs w:val="16"/>
      </w:rPr>
      <w:fldChar w:fldCharType="begin"/>
      <w:instrText xml:space="preserve">PAGE</w:instrText>
      <w:fldChar w:fldCharType="separate"/>
      <w:fldChar w:fldCharType="end"/>
    </w:r>
    <w:r>
      <w:rPr>
        <w:color w:val="44546A"/>
        <w:sz w:val="16"/>
        <w:szCs w:val="16"/>
      </w:rPr>
      <w:t xml:space="preserve"> von </w:t>
    </w:r>
    <w:r>
      <w:rPr>
        <w:color w:val="44546A"/>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4" w:space="6"/>
      </w:pBdr>
      <w:spacing w:before="60"/>
      <w:jc w:val="center"/>
    </w:pPr>
    <w:r>
      <w:rPr>
        <w:color w:val="44546A"/>
        <w:sz w:val="16"/>
        <w:szCs w:val="16"/>
      </w:rPr>
      <w:t xml:space="preserve">Betreibermodelle und Vergütungen Photovoltaik – Übersicht  ·  INEKON  ·  Stand: 25.08.2026  ·  Seite </w:t>
    </w:r>
    <w:r>
      <w:rPr>
        <w:b/>
        <w:bCs/>
        <w:color w:val="44546A"/>
        <w:sz w:val="16"/>
        <w:szCs w:val="16"/>
      </w:rPr>
      <w:fldChar w:fldCharType="begin"/>
      <w:instrText xml:space="preserve">PAGE</w:instrText>
      <w:fldChar w:fldCharType="separate"/>
      <w:fldChar w:fldCharType="end"/>
    </w:r>
    <w:r>
      <w:rPr>
        <w:color w:val="44546A"/>
        <w:sz w:val="16"/>
        <w:szCs w:val="16"/>
      </w:rPr>
      <w:t xml:space="preserve"> von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40" w:line="27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ageBreakBefore/>
      <w:pBdr>
        <w:bottom w:val="single" w:color="1F3864" w:sz="10" w:space="6"/>
      </w:pBdr>
      <w:spacing w:after="260" w:before="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40" w:before="320"/>
      <w:outlineLvl w:val="1"/>
    </w:pPr>
    <w:rPr>
      <w:rFonts w:ascii="Calibri" w:cs="Calibri" w:eastAsia="Calibri" w:hAnsi="Calibri"/>
      <w:b/>
      <w:bCs/>
      <w:color w:val="2E5395"/>
      <w:sz w:val="26"/>
      <w:szCs w:val="26"/>
    </w:rPr>
  </w:style>
  <w:style w:type="paragraph" w:styleId="Heading3">
    <w:name w:val="Heading 3"/>
    <w:basedOn w:val="Normal"/>
    <w:next w:val="Normal"/>
    <w:qFormat/>
    <w:pPr>
      <w:keepNext/>
      <w:spacing w:after="110" w:before="240"/>
      <w:outlineLvl w:val="2"/>
    </w:pPr>
    <w:rPr>
      <w:rFonts w:ascii="Calibri" w:cs="Calibri" w:eastAsia="Calibri" w:hAnsi="Calibri"/>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uiPriority w:val="39"/>
    <w:qFormat/>
    <w:pPr>
      <w:tabs>
        <w:tab w:val="right" w:leader="dot" w:pos="9638"/>
      </w:tabs>
      <w:spacing w:after="0" w:before="160" w:line="252"/>
    </w:pPr>
    <w:rPr>
      <w:b/>
      <w:bCs/>
      <w:color w:val="1F3864"/>
      <w:sz w:val="22"/>
      <w:szCs w:val="22"/>
    </w:rPr>
  </w:style>
  <w:style w:type="paragraph" w:styleId="TOC2">
    <w:name w:val="toc 2"/>
    <w:basedOn w:val="Normal"/>
    <w:next w:val="Normal"/>
    <w:uiPriority w:val="39"/>
    <w:qFormat/>
    <w:pPr>
      <w:tabs>
        <w:tab w:val="right" w:leader="dot" w:pos="9638"/>
      </w:tabs>
      <w:spacing w:after="0" w:before="40" w:line="252"/>
      <w:ind w:left="284"/>
    </w:pPr>
    <w:rPr>
      <w:color w:val="2E5395"/>
      <w:sz w:val="21"/>
      <w:szCs w:val="21"/>
    </w:rPr>
  </w:style>
  <w:style w:type="paragraph" w:styleId="TOC3">
    <w:name w:val="toc 3"/>
    <w:basedOn w:val="Normal"/>
    <w:next w:val="Normal"/>
    <w:uiPriority w:val="39"/>
    <w:qFormat/>
    <w:pPr>
      <w:tabs>
        <w:tab w:val="right" w:leader="dot" w:pos="9638"/>
      </w:tabs>
      <w:spacing w:after="0" w:before="20" w:line="252"/>
      <w:ind w:left="624"/>
    </w:pPr>
    <w:rPr>
      <w:color w:val="44546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Betreibermodelle und Vergütungen Photovoltaik – Übersicht</dc:title>
  <dc:creator>Claude für Philipp Engelmann / INEKON</dc:creator>
  <dc:description>Analyse auf Basis pv@now manager · INEKON · Stand 25.08.2026</dc:description>
  <cp:lastModifiedBy>Un-named</cp:lastModifiedBy>
  <cp:revision>1</cp:revision>
  <dcterms:created xsi:type="dcterms:W3CDTF">2026-08-25T15:12:48.829Z</dcterms:created>
  <dcterms:modified xsi:type="dcterms:W3CDTF">2026-08-25T15:12:48.829Z</dcterms:modified>
</cp:coreProperties>
</file>

<file path=docProps/custom.xml><?xml version="1.0" encoding="utf-8"?>
<Properties xmlns="http://schemas.openxmlformats.org/officeDocument/2006/custom-properties" xmlns:vt="http://schemas.openxmlformats.org/officeDocument/2006/docPropsVTypes"/>
</file>