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Buildings</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Buildings per project</w:t>
      </w:r>
    </w:p>
    <w:p>
      <w:pPr>
        <w:pStyle w:val="Hinweis"/>
      </w:pPr>
      <w:r>
        <w:t xml:space="preserve">The building table with ventilation and preheat values per project; the key figure group “Buildings” shows the deviation from the base.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21</vt:i4>
  </op:property>
  <op:property fmtid="{D5CDD505-2E9C-101B-9397-08002B2CF9AE}" pid="3" name="EPOS.Vorlage">
    <vt:lpwstr>ausfuehrlich</vt:lpwstr>
  </op:property>
  <op:property fmtid="{D5CDD505-2E9C-101B-9397-08002B2CF9AE}" pid="4" name="EPOS.Sprache">
    <vt:lpwstr>en</vt:lpwstr>
  </op:property>
</op:Properties>
</file>