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2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Руководство по стилю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Все экранные формы пользовательского интерфейса должны иметь заголовок.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главной форме должен быть установлен логотип компании, представленный в ресурсах. Логотип не искажать: не менять изображение, пропорции изображения и цвет.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приложения должна быть установлена иконка, если это реализуемо в рамках выбранной платформы.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Использовать шрифт Segoe UI.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качестве основного фона использовать белый цвет.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качестве дополнительного фона использовать цвет #D9E8F5.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акцентирования внимания пользователя на целевом действии интерфейса использовать цвет #2E5E82.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Кнопки действий, элементы авторизации и активные управляющие элементы должны быть визуально отличимы от информационных блоков.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Карточки материалов на главной форме должны содержать тип материала, наименование, минимальное количество, количество на складе, единицу измерения, стоимость минимально необходимой партии и, при наличии, краткую информацию об основном поставщике.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Элементы интерфейса, недоступные по роли пользователя, должны быть скрыты или заблокированы без нарушения общей компоновки формы.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Основной фон      Дополнительный фон      Акцентирование внимания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#FFFFFF           #D9E8F5                 #2E5E82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