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仿宋_GB2312" w:hAnsi="仿宋_GB2312" w:eastAsia="仿宋_GB2312" w:cs="仿宋_GB2312"/>
          <w:b/>
          <w:bCs/>
          <w:sz w:val="36"/>
          <w:szCs w:val="36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36"/>
          <w:highlight w:val="none"/>
        </w:rPr>
        <w:t>关于</w:t>
      </w:r>
      <w:r>
        <w:rPr>
          <w:rFonts w:hint="eastAsia" w:ascii="仿宋_GB2312" w:hAnsi="仿宋_GB2312" w:eastAsia="仿宋_GB2312" w:cs="仿宋_GB2312"/>
          <w:b/>
          <w:bCs/>
          <w:sz w:val="36"/>
          <w:szCs w:val="36"/>
          <w:highlight w:val="none"/>
          <w:lang w:val="en-US" w:eastAsia="zh-CN"/>
        </w:rPr>
        <w:t>加强政企线应收账款管控</w:t>
      </w:r>
    </w:p>
    <w:p>
      <w:pPr>
        <w:jc w:val="center"/>
        <w:rPr>
          <w:rFonts w:hint="eastAsia" w:ascii="仿宋_GB2312" w:hAnsi="仿宋_GB2312" w:eastAsia="仿宋_GB2312" w:cs="仿宋_GB2312"/>
          <w:b/>
          <w:bCs/>
          <w:sz w:val="36"/>
          <w:szCs w:val="36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36"/>
          <w:highlight w:val="none"/>
          <w:lang w:val="en-US" w:eastAsia="zh-CN"/>
        </w:rPr>
        <w:t>明确催缴动作要求</w:t>
      </w:r>
      <w:r>
        <w:rPr>
          <w:rFonts w:hint="eastAsia" w:ascii="仿宋_GB2312" w:hAnsi="仿宋_GB2312" w:eastAsia="仿宋_GB2312" w:cs="仿宋_GB2312"/>
          <w:b/>
          <w:bCs/>
          <w:sz w:val="36"/>
          <w:szCs w:val="36"/>
          <w:highlight w:val="none"/>
        </w:rPr>
        <w:t>的</w:t>
      </w:r>
      <w:r>
        <w:rPr>
          <w:rFonts w:hint="eastAsia" w:ascii="仿宋_GB2312" w:hAnsi="仿宋_GB2312" w:eastAsia="仿宋_GB2312" w:cs="仿宋_GB2312"/>
          <w:b/>
          <w:bCs/>
          <w:sz w:val="36"/>
          <w:szCs w:val="36"/>
          <w:highlight w:val="none"/>
          <w:lang w:val="en-US" w:eastAsia="zh-CN"/>
        </w:rPr>
        <w:t>通知</w:t>
      </w:r>
    </w:p>
    <w:p>
      <w:pPr>
        <w:jc w:val="lef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党委办公室（办公室、安全监管部）／工会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财务部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政企业务群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企业行业（虚拟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）、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政府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行业（虚拟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、政企业务群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商教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、产业互联网公司嘉兴办事处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主体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、嘉兴市分公司各县市分公司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为了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提高企业资金的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运转效率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深化推进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逾期欠费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回收工作。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遵循“欠费回收就是增收”的理念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避免出现欠费催缴落实不到位的情况。现明确催缴动作要求及问责机制如下：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严格按照欠费账龄执行对应催缴动作要求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务必</w:t>
      </w:r>
      <w:r>
        <w:rPr>
          <w:rFonts w:hint="eastAsia" w:ascii="仿宋_GB2312" w:hAnsi="仿宋_GB2312" w:eastAsia="仿宋_GB2312" w:cs="仿宋_GB2312"/>
          <w:sz w:val="32"/>
          <w:szCs w:val="32"/>
        </w:rPr>
        <w:t>分场景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执行好</w:t>
      </w:r>
      <w:r>
        <w:rPr>
          <w:rFonts w:hint="eastAsia" w:ascii="仿宋_GB2312" w:hAnsi="仿宋_GB2312" w:eastAsia="仿宋_GB2312" w:cs="仿宋_GB2312"/>
          <w:sz w:val="32"/>
          <w:szCs w:val="32"/>
        </w:rPr>
        <w:t>催缴标准措施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包括电话催缴、邮件提醒、上门催缴、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风险评估会、</w:t>
      </w:r>
      <w:r>
        <w:rPr>
          <w:rFonts w:hint="eastAsia" w:ascii="仿宋_GB2312" w:hAnsi="仿宋_GB2312" w:eastAsia="仿宋_GB2312" w:cs="仿宋_GB2312"/>
          <w:sz w:val="32"/>
          <w:szCs w:val="32"/>
        </w:rPr>
        <w:t>公司催款函、律师函、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司法诉讼</w:t>
      </w:r>
      <w:r>
        <w:rPr>
          <w:rFonts w:hint="eastAsia" w:ascii="仿宋_GB2312" w:hAnsi="仿宋_GB2312" w:eastAsia="仿宋_GB2312" w:cs="仿宋_GB2312"/>
          <w:sz w:val="32"/>
          <w:szCs w:val="32"/>
        </w:rPr>
        <w:t>等。各县市分公司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本级行业部须严格按照以下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催缴动作要求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执行，如有特殊情况，需一事一议的，短期欠费或十万元以下长期欠费，应以联系单形式报送政企业务群审批备案，十万元以上长期欠费，应以签报形式报送公司领导审批备案。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各县市分公司、本级行业部</w:t>
      </w:r>
      <w:r>
        <w:rPr>
          <w:rFonts w:hint="eastAsia" w:ascii="仿宋_GB2312" w:hAnsi="仿宋_GB2312" w:eastAsia="仿宋_GB2312" w:cs="仿宋_GB2312"/>
          <w:sz w:val="32"/>
          <w:szCs w:val="32"/>
        </w:rPr>
        <w:t>所有催缴记录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和免催缴备案指定专人负责</w:t>
      </w:r>
      <w:r>
        <w:rPr>
          <w:rFonts w:hint="eastAsia" w:ascii="仿宋_GB2312" w:hAnsi="仿宋_GB2312" w:eastAsia="仿宋_GB2312" w:cs="仿宋_GB2312"/>
          <w:sz w:val="32"/>
          <w:szCs w:val="32"/>
        </w:rPr>
        <w:t>保管，并做好台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账</w:t>
      </w:r>
      <w:r>
        <w:rPr>
          <w:rFonts w:hint="eastAsia" w:ascii="仿宋_GB2312" w:hAnsi="仿宋_GB2312" w:eastAsia="仿宋_GB2312" w:cs="仿宋_GB2312"/>
          <w:sz w:val="32"/>
          <w:szCs w:val="32"/>
        </w:rPr>
        <w:t>登记。</w:t>
      </w:r>
      <w:r>
        <w:rPr>
          <w:rFonts w:hint="eastAsia" w:ascii="仿宋_GB2312" w:hAnsi="仿宋_GB2312" w:cs="仿宋_GB2312"/>
          <w:sz w:val="32"/>
          <w:szCs w:val="32"/>
          <w:lang w:val="en-US" w:eastAsia="zh-CN"/>
        </w:rPr>
        <w:t>所有</w:t>
      </w:r>
      <w:r>
        <w:rPr>
          <w:rFonts w:hint="eastAsia" w:ascii="仿宋_GB2312" w:hAnsi="仿宋_GB2312" w:eastAsia="仿宋_GB2312" w:cs="仿宋_GB2312"/>
          <w:sz w:val="32"/>
          <w:szCs w:val="32"/>
        </w:rPr>
        <w:t>工作记录需留存电子或纸质资料，后期将进行抽查，书面催收应注意资料存档，为进一步采取法律措施提供证据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具体催缴措施及工作流程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如下：</w:t>
      </w:r>
    </w:p>
    <w:tbl>
      <w:tblPr>
        <w:tblStyle w:val="2"/>
        <w:tblW w:w="894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9"/>
        <w:gridCol w:w="1560"/>
        <w:gridCol w:w="4394"/>
        <w:gridCol w:w="184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欠费账龄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催缴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  <w:t>动作要求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具体工作流程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工作记录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  <w:t>要求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出帐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  <w:t>当月及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次月（逾期1个月）</w:t>
            </w:r>
          </w:p>
          <w:p>
            <w:pPr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 xml:space="preserve">电话提醒 </w:t>
            </w:r>
          </w:p>
          <w:p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邮件提醒</w:t>
            </w:r>
          </w:p>
          <w:p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  <w:t>线上消息提醒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 xml:space="preserve"> </w:t>
            </w:r>
          </w:p>
          <w:p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上门提醒</w:t>
            </w:r>
          </w:p>
          <w:p>
            <w:pPr>
              <w:spacing w:line="360" w:lineRule="auto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"/>
              <w:numPr>
                <w:ilvl w:val="0"/>
                <w:numId w:val="2"/>
              </w:numPr>
              <w:spacing w:line="360" w:lineRule="auto"/>
              <w:ind w:firstLineChars="0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客户当期欠费指出帐的次月，即缴费期内的欠费。客户经理启动提醒还款流程，可通过电话、邮件或上门拜访方式进行。</w:t>
            </w:r>
          </w:p>
          <w:p>
            <w:pPr>
              <w:pStyle w:val="5"/>
              <w:numPr>
                <w:ilvl w:val="0"/>
                <w:numId w:val="2"/>
              </w:numPr>
              <w:spacing w:line="360" w:lineRule="auto"/>
              <w:ind w:firstLineChars="0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客户产生逾期欠费之日起1个月内（逾期欠费自“自定义缴费期”期满后起算，下同），客户经理启动提醒还款流程，可通过电话、邮件或上门拜访方式进行。</w:t>
            </w:r>
          </w:p>
          <w:p>
            <w:pPr>
              <w:pStyle w:val="5"/>
              <w:widowControl/>
              <w:numPr>
                <w:ilvl w:val="0"/>
                <w:numId w:val="2"/>
              </w:numPr>
              <w:spacing w:line="360" w:lineRule="auto"/>
              <w:ind w:firstLineChars="0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市公司政企业务群下发欠费清单至各营销单元，要求各县市分公司及本级行业部落实责任人进行欠费催缴。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电话录音；</w:t>
            </w:r>
          </w:p>
          <w:p>
            <w:pPr>
              <w:spacing w:line="360" w:lineRule="auto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邮件截图；</w:t>
            </w:r>
          </w:p>
          <w:p>
            <w:pPr>
              <w:spacing w:line="360" w:lineRule="auto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上门催缴照片；</w:t>
            </w:r>
          </w:p>
          <w:p>
            <w:pPr>
              <w:spacing w:line="360" w:lineRule="auto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客户经理上门拜访记录；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"/>
              <w:spacing w:line="360" w:lineRule="auto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短期欠费</w:t>
            </w:r>
          </w:p>
          <w:p>
            <w:pPr>
              <w:pStyle w:val="5"/>
              <w:spacing w:line="360" w:lineRule="auto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（逾期2－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  <w:t>6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个月）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"/>
              <w:spacing w:line="360" w:lineRule="auto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发函提醒</w:t>
            </w:r>
          </w:p>
          <w:p>
            <w:pPr>
              <w:pStyle w:val="5"/>
              <w:spacing w:line="360" w:lineRule="auto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  <w:t>分管副总或总经理上门催缴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客户产生逾期欠费之日起2个月内，经客户经理确认，由客户经理以上门或EMS、挂号信方式寄送公司催款函。</w:t>
            </w:r>
          </w:p>
          <w:p>
            <w:pPr>
              <w:pStyle w:val="5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客户经理填写《用印审批单》，经审批后，至综合部加盖公司章，并由所属经营单元向客户寄送。</w:t>
            </w:r>
          </w:p>
          <w:p>
            <w:pPr>
              <w:pStyle w:val="5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月底前未缴清欠费的客户，由各经营单元发起联系单，报政企业务群审核后，统一执行报停处理。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第一次催款函客户盖章签字的回执联；</w:t>
            </w:r>
          </w:p>
          <w:p>
            <w:pPr>
              <w:spacing w:line="360" w:lineRule="auto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  <w:t>分管副总或总经理上门催缴记录；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"/>
              <w:spacing w:line="360" w:lineRule="auto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长期欠费（逾期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-12个月）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"/>
              <w:spacing w:line="360" w:lineRule="auto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  <w:t>二次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发函提醒</w:t>
            </w:r>
          </w:p>
          <w:p>
            <w:pPr>
              <w:pStyle w:val="5"/>
              <w:spacing w:line="360" w:lineRule="auto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发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  <w:t>送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律师函</w:t>
            </w:r>
          </w:p>
          <w:p>
            <w:pPr>
              <w:pStyle w:val="5"/>
              <w:spacing w:line="360" w:lineRule="auto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诉讼或仲裁</w:t>
            </w:r>
          </w:p>
          <w:p>
            <w:pPr>
              <w:pStyle w:val="5"/>
              <w:spacing w:line="360" w:lineRule="auto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  <w:t>经营单元内部会议评估记录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逾期账期超过6个月的欠费，客户仍无还款意向的，应及时召开会议进行评估，以工作联系单形式上报公司各管理部门，并发送律师函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eastAsia="zh-CN"/>
              </w:rPr>
              <w:t>。</w:t>
            </w:r>
          </w:p>
          <w:p>
            <w:pPr>
              <w:pStyle w:val="5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原则上针对逾期欠费金额达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  <w:t>5000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元及以上的，要求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  <w:t>通过联系单形式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发起发送律师函申请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  <w:t>政企/产互、综合部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eastAsia="zh-CN"/>
              </w:rPr>
              <w:t>）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，经审核同意后，市公司综合部根据业务部门需求，联系律师发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  <w:t>送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律师函。</w:t>
            </w:r>
          </w:p>
          <w:p>
            <w:pPr>
              <w:pStyle w:val="5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对于ICT欠费，因ICT的业务特性，应根据项目的合同约定和项目实际进度确定寄送律师函的时间。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  <w:t>第二次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催款函及挂号信送达单据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  <w:t>含还款计划或解决方案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eastAsia="zh-CN"/>
              </w:rPr>
              <w:t>）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；</w:t>
            </w:r>
          </w:p>
          <w:p>
            <w:pPr>
              <w:spacing w:line="360" w:lineRule="auto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客户合同、欠费依据、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  <w:t>发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票、验收单、业务部门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  <w:t>发送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律师函申请；</w:t>
            </w:r>
          </w:p>
          <w:p>
            <w:pPr>
              <w:spacing w:line="360" w:lineRule="auto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律师函及其快递送达单据等记录和文档；</w:t>
            </w:r>
          </w:p>
          <w:p>
            <w:pPr>
              <w:spacing w:line="360" w:lineRule="auto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  <w:t>业务部门</w:t>
            </w:r>
            <w:r>
              <w:rPr>
                <w:rFonts w:hint="eastAsia" w:ascii="仿宋_GB2312" w:hAnsi="仿宋_GB2312" w:eastAsia="仿宋_GB2312" w:cs="仿宋_GB2312"/>
                <w:sz w:val="22"/>
                <w:highlight w:val="none"/>
              </w:rPr>
              <w:t>诉讼申请；</w:t>
            </w:r>
          </w:p>
          <w:p>
            <w:pPr>
              <w:spacing w:line="360" w:lineRule="auto"/>
              <w:jc w:val="left"/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highlight w:val="none"/>
                <w:lang w:val="en-US" w:eastAsia="zh-CN"/>
              </w:rPr>
              <w:t>经营单元内部会议评估记录；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left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重点欠费升级管理方案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（一）催缴措施规范性检查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将大额长账龄欠费纳入风险管控，市公司将根据催缴措施及工作流程要求，每年针对逾期6个月以上欠费金额大于1万的客户进行不少于两次的检查，要求各县市分公司、本级行业部反馈涉及客户的欠费催缴记录及免催缴备案材料。对存在催缴工作记录不符合要求的经营单元进行全市通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（二）大额欠费问责制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针对高风险、重要客户欠费及通服大额欠费，经营单元应结合日常维系、要客拜访，监控逾期欠费成因，掌握客户经营情况，对经营异常情况应及时预警并上报上级主管部门。如因工作失责、管理缺位、失职渎职等行为引发欠费，依据公司欠款管理规定及履职问责制度启动追责程序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附件：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firstLine="420" w:firstLineChars="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1.欠费追缴律师函 (参考格式)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firstLine="420" w:firstLineChars="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2.欠费催款通知书 (参考格式)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firstLine="420" w:firstLineChars="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3.《关于加强大额欠费问责管理的通知》(浙江联通〔2020〕94号)。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政企业务群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right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2025年7月18日</w:t>
      </w:r>
    </w:p>
    <w:p>
      <w:pPr>
        <w:ind w:firstLine="420" w:firstLineChars="200"/>
        <w:rPr>
          <w:rFonts w:hint="eastAsia" w:ascii="仿宋_GB2312"/>
          <w:szCs w:val="32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2C9F20"/>
    <w:multiLevelType w:val="singleLevel"/>
    <w:tmpl w:val="982C9F2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78D5DED"/>
    <w:multiLevelType w:val="multilevel"/>
    <w:tmpl w:val="078D5DED"/>
    <w:lvl w:ilvl="0" w:tentative="0">
      <w:start w:val="1"/>
      <w:numFmt w:val="bullet"/>
      <w:lvlText w:val="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0E1C01AF"/>
    <w:multiLevelType w:val="multilevel"/>
    <w:tmpl w:val="0E1C01AF"/>
    <w:lvl w:ilvl="0" w:tentative="0">
      <w:start w:val="1"/>
      <w:numFmt w:val="bullet"/>
      <w:lvlText w:val="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0EDD5CE3"/>
    <w:multiLevelType w:val="multilevel"/>
    <w:tmpl w:val="0EDD5CE3"/>
    <w:lvl w:ilvl="0" w:tentative="0">
      <w:start w:val="1"/>
      <w:numFmt w:val="bullet"/>
      <w:lvlText w:val="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23B4A"/>
    <w:rsid w:val="011D4D6C"/>
    <w:rsid w:val="035A365F"/>
    <w:rsid w:val="03637E7A"/>
    <w:rsid w:val="03D4180E"/>
    <w:rsid w:val="049B4880"/>
    <w:rsid w:val="07580619"/>
    <w:rsid w:val="078901E4"/>
    <w:rsid w:val="07C77985"/>
    <w:rsid w:val="08016CEF"/>
    <w:rsid w:val="08A258CD"/>
    <w:rsid w:val="09937F44"/>
    <w:rsid w:val="0AAD0D6E"/>
    <w:rsid w:val="0C7D0D36"/>
    <w:rsid w:val="0CD33899"/>
    <w:rsid w:val="0E9F3E09"/>
    <w:rsid w:val="10A6110B"/>
    <w:rsid w:val="10DE5311"/>
    <w:rsid w:val="11E9006E"/>
    <w:rsid w:val="127F50EB"/>
    <w:rsid w:val="17A41B43"/>
    <w:rsid w:val="17BE644C"/>
    <w:rsid w:val="184F7570"/>
    <w:rsid w:val="18BC6002"/>
    <w:rsid w:val="1DD71DDC"/>
    <w:rsid w:val="1DE42852"/>
    <w:rsid w:val="1F302000"/>
    <w:rsid w:val="210C4EC0"/>
    <w:rsid w:val="21BD21D0"/>
    <w:rsid w:val="227F0AA8"/>
    <w:rsid w:val="23633B3D"/>
    <w:rsid w:val="24EE4798"/>
    <w:rsid w:val="256D1184"/>
    <w:rsid w:val="26653BD8"/>
    <w:rsid w:val="27B33DD8"/>
    <w:rsid w:val="2A4468AA"/>
    <w:rsid w:val="2A462267"/>
    <w:rsid w:val="2A5C220C"/>
    <w:rsid w:val="2AC01F31"/>
    <w:rsid w:val="2B981C30"/>
    <w:rsid w:val="2E8070CA"/>
    <w:rsid w:val="2EE6487F"/>
    <w:rsid w:val="316F0A25"/>
    <w:rsid w:val="33784147"/>
    <w:rsid w:val="36342DAE"/>
    <w:rsid w:val="36CE62AC"/>
    <w:rsid w:val="36EF0C5C"/>
    <w:rsid w:val="3751008B"/>
    <w:rsid w:val="382D08FB"/>
    <w:rsid w:val="38EE068A"/>
    <w:rsid w:val="39E06D72"/>
    <w:rsid w:val="3A392795"/>
    <w:rsid w:val="3BF11F6F"/>
    <w:rsid w:val="3CC265C7"/>
    <w:rsid w:val="3E6218BE"/>
    <w:rsid w:val="3FFC1AF4"/>
    <w:rsid w:val="40035048"/>
    <w:rsid w:val="44B02E39"/>
    <w:rsid w:val="463D0E61"/>
    <w:rsid w:val="48B25DDC"/>
    <w:rsid w:val="48BD6996"/>
    <w:rsid w:val="4AE01A9F"/>
    <w:rsid w:val="509A5718"/>
    <w:rsid w:val="537E210B"/>
    <w:rsid w:val="5556068C"/>
    <w:rsid w:val="56022F19"/>
    <w:rsid w:val="59D4327F"/>
    <w:rsid w:val="5AAC27D3"/>
    <w:rsid w:val="5BB125C3"/>
    <w:rsid w:val="5C5D3B65"/>
    <w:rsid w:val="5C9D2E9A"/>
    <w:rsid w:val="5CC10AD7"/>
    <w:rsid w:val="5DDB328C"/>
    <w:rsid w:val="5F0565CC"/>
    <w:rsid w:val="6094614B"/>
    <w:rsid w:val="62492B67"/>
    <w:rsid w:val="62587EE5"/>
    <w:rsid w:val="62F21691"/>
    <w:rsid w:val="63DB3F47"/>
    <w:rsid w:val="64E167FA"/>
    <w:rsid w:val="65235ED9"/>
    <w:rsid w:val="66C7577B"/>
    <w:rsid w:val="66E575E7"/>
    <w:rsid w:val="67C138A4"/>
    <w:rsid w:val="696126B2"/>
    <w:rsid w:val="6ACC2E43"/>
    <w:rsid w:val="6C4C54AA"/>
    <w:rsid w:val="6E5356C1"/>
    <w:rsid w:val="738A0A11"/>
    <w:rsid w:val="770A5A60"/>
    <w:rsid w:val="79CC46E0"/>
    <w:rsid w:val="7A9E5C4B"/>
    <w:rsid w:val="7C40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styleId="5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2023-05-04T06:07:00Z</dcterms:created>
  <dc:creator>Administrator</dc:creator>
  <cp:lastModifiedBy>周源淇</cp:lastModifiedBy>
  <dcterms:modified xsi:type="dcterms:W3CDTF">2025-07-18T10:35:22Z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2A2D6049D13A46A4896436EEB323460B</vt:lpwstr>
  </property>
</Properties>
</file>