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64653"/>
          <w:sz w:val="44"/>
        </w:rPr>
        <w:t>Feuille de route — fin de la phase 1 des tests</w:t>
      </w:r>
    </w:p>
    <w:p>
      <w:pPr>
        <w:spacing w:after="240"/>
        <w:pBdr>
          <w:bottom w:val="single" w:sz="8" w:space="6" w:color="264653"/>
        </w:pBdr>
      </w:pPr>
      <w:r>
        <w:rPr>
          <w:b w:val="0"/>
          <w:i w:val="0"/>
          <w:color w:val="6B6B6B"/>
          <w:sz w:val="22"/>
        </w:rPr>
        <w:t>muReport · Inès Benziane  —  du 23 au 30 octobre 2026</w:t>
      </w:r>
    </w:p>
    <w:p>
      <w:pPr>
        <w:spacing w:after="280"/>
      </w:pPr>
      <w:r>
        <w:rPr>
          <w:b w:val="0"/>
          <w:i/>
          <w:color w:val="6B6B6B"/>
        </w:rPr>
        <w:t>Objectif : terminer les tests de phase 1 du plan de tests (MuReport-plan-de-tests.xlsx) pour le 30 octobre, afin que les techniciens puissent utiliser muReport en usage pilote.</w:t>
      </w:r>
    </w:p>
    <w:p>
      <w:pPr>
        <w:pStyle w:val="Heading1"/>
      </w:pPr>
      <w:r>
        <w:t>1. Où on en est (22 octobre au soir)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22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14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État</w:t>
            </w:r>
          </w:p>
        </w:tc>
        <w:tc>
          <w:tcPr>
            <w:tcW w:type="dxa" w:w="56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Commentaire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color w:val="264653"/>
                <w:sz w:val="20"/>
              </w:rPr>
              <w:t>AUTO-001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Fait, conforme</w:t>
            </w:r>
          </w:p>
        </w:tc>
        <w:tc>
          <w:tcPr>
            <w:tcW w:type="dxa" w:w="5600"/>
          </w:tcPr>
          <w:p>
            <w:r>
              <w:rPr>
                <w:sz w:val="20"/>
              </w:rPr>
              <w:t>231 cas sur les 3 briques, 225 réussis, 6 échecs attendus ; rapport et preuves dans doc/MuReport et resultats_tests/.</w:t>
            </w:r>
          </w:p>
        </w:tc>
      </w:tr>
      <w:tr>
        <w:tc>
          <w:tcPr>
            <w:tcW w:type="dxa" w:w="22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FONC-002, FONC-003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Partiel</w:t>
            </w:r>
          </w:p>
        </w:tc>
        <w:tc>
          <w:tcPr>
            <w:tcW w:type="dxa" w:w="5600"/>
            <w:shd w:val="clear" w:color="auto" w:fill="E8EEF0"/>
          </w:tcPr>
          <w:p>
            <w:r>
              <w:rPr>
                <w:sz w:val="20"/>
              </w:rPr>
              <w:t>Comportement du code vérifié automatiquement ; reste l'essai sur un vrai examen corrompu et un vrai examen incomplet.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color w:val="264653"/>
                <w:sz w:val="20"/>
              </w:rPr>
              <w:t>RES-004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Partiel</w:t>
            </w:r>
          </w:p>
        </w:tc>
        <w:tc>
          <w:tcPr>
            <w:tcW w:type="dxa" w:w="5600"/>
          </w:tcPr>
          <w:p>
            <w:r>
              <w:rPr>
                <w:sz w:val="20"/>
              </w:rPr>
              <w:t>Valeurs du rapport = valeurs du calcul, vérifié automatiquement ; reste la vérification sur le lot de 16 examens.</w:t>
            </w:r>
          </w:p>
        </w:tc>
      </w:tr>
      <w:tr>
        <w:tc>
          <w:tcPr>
            <w:tcW w:type="dxa" w:w="22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FONC-005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Bloqué</w:t>
            </w:r>
          </w:p>
        </w:tc>
        <w:tc>
          <w:tcPr>
            <w:tcW w:type="dxa" w:w="5600"/>
            <w:shd w:val="clear" w:color="auto" w:fill="E8EEF0"/>
          </w:tcPr>
          <w:p>
            <w:r>
              <w:rPr>
                <w:sz w:val="20"/>
              </w:rPr>
              <w:t>La ré-identification n'existe pas encore : seule la date d'examen est vérifiable.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color w:val="264653"/>
                <w:sz w:val="20"/>
              </w:rPr>
              <w:t>RES-001, RES-002, RES-003, RES-005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À faire</w:t>
            </w:r>
          </w:p>
        </w:tc>
        <w:tc>
          <w:tcPr>
            <w:tcW w:type="dxa" w:w="5600"/>
          </w:tcPr>
          <w:p>
            <w:r>
              <w:rPr>
                <w:sz w:val="20"/>
              </w:rPr>
              <w:t>Nécessitent le lot de référence et les résultats Matlab.</w:t>
            </w:r>
          </w:p>
        </w:tc>
      </w:tr>
      <w:tr>
        <w:tc>
          <w:tcPr>
            <w:tcW w:type="dxa" w:w="22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VAL-001, VAL-002b, VAL-004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À faire</w:t>
            </w:r>
          </w:p>
        </w:tc>
        <w:tc>
          <w:tcPr>
            <w:tcW w:type="dxa" w:w="5600"/>
            <w:shd w:val="clear" w:color="auto" w:fill="E8EEF0"/>
          </w:tcPr>
          <w:p>
            <w:r>
              <w:rPr>
                <w:sz w:val="20"/>
              </w:rPr>
              <w:t>Nécessitent les techniciens et le médecin.</w:t>
            </w:r>
          </w:p>
        </w:tc>
      </w:tr>
    </w:tbl>
    <w:p>
      <w:pPr>
        <w:spacing w:after="40"/>
      </w:pPr>
    </w:p>
    <w:p>
      <w:pPr>
        <w:pStyle w:val="Heading1"/>
      </w:pPr>
      <w:r>
        <w:t>2. Aujourd'hui (vendredi 23, télétravail)</w:t>
      </w:r>
    </w:p>
    <w:p>
      <w:r>
        <w:rPr>
          <w:b w:val="0"/>
          <w:i w:val="0"/>
        </w:rPr>
        <w:t>Sans les DICOM du lot, tout se prépare sur l'examen CL2LD260112 : ses DICOM sont dans golden_tests/, ses ROI et tableaux Matlab sur N:.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60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18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Qui</w:t>
            </w:r>
          </w:p>
        </w:tc>
        <w:tc>
          <w:tcPr>
            <w:tcW w:type="dxa" w:w="14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Pour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Chantier 1 : permettre à muReport d'accepter une segmentation extérieure (ROI Matlab) à la place de MuSeg-AI.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IB, relu par Claude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RES-001, RES-002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Chantier 2 : écrire le script de comparaison muReport / Matlab (tableau des écarts).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IB, relu par Claude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RES-001, RES-002, NR-001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Envoyer à l'administrateur PACS la demande d'un AE pour la station Prométhée (IP 192.168.4.81, port à convenir).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Récupération du lot à distance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Si le temps le permet : vérifier les pathologies du lot dans les CR (#4_CR_2026).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Représentativité du lot</w:t>
            </w:r>
          </w:p>
        </w:tc>
      </w:tr>
    </w:tbl>
    <w:p>
      <w:pPr>
        <w:spacing w:after="40"/>
      </w:pPr>
    </w:p>
    <w:p>
      <w:pPr>
        <w:pStyle w:val="Heading1"/>
      </w:pPr>
      <w:r>
        <w:t>3. Ensuite (d'ici au 30 octobre)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60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Tâche</w:t>
            </w:r>
          </w:p>
        </w:tc>
        <w:tc>
          <w:tcPr>
            <w:tcW w:type="dxa" w:w="18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Qui</w:t>
            </w:r>
          </w:p>
        </w:tc>
        <w:tc>
          <w:tcPr>
            <w:tcW w:type="dxa" w:w="14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Pour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Réserver les 3 techniciens (mercredi ou jeudi).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VAL-001, VAL-002b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Avec le responsable : fixer les tolérances FF et T2, reformuler FONC-005, décider de la date de VAL-004.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 + resp.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RES-001, RES-002, FONC-005, VAL-004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Récupérer les DICOM du lot avec run_process (au bureau, ou depuis la station une fois l'AE créé) ; ranger mappings.csv hors du dossier du lot.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RES-001 à 005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Passage 1 : muReport sur le lot avec MuSeg-AI, mêmes séries que Matlab, QC global ; corriger les inversions (global-swap) et les compter.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RES-003, RES-004, FONC-005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Passage 2 : muReport sur le lot avec la ROI Matlab (entrées identiques).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RES-001, RES-002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Comparer, fixer la tolérance à partir des cas extrêmes, consigner Pass / Fail par examen.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 + resp.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RES-001, RES-002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Vérifications visuelles : orientation, valeurs du PDF, ITK-SNAP sur 4 examens ; 2 runs du même examen.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RES-003, RES-004, RES-005, DET-001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Sauvegarder les résultats validés comme référence de non-régression.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NR-001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Trouver le cas « séquence absente », fabriquer le cas « corrompu », essais réels consignés.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FONC-002, FONC-003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Message clair quand une série est mal saisie ou qu'un dossier n'existe pas.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IB, relu par Claude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VAL-002b, VAL-002c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Sessions avec les techniciens.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 + techs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VAL-001, VAL-002b</w:t>
            </w:r>
          </w:p>
        </w:tc>
      </w:tr>
      <w:tr>
        <w:tc>
          <w:tcPr>
            <w:tcW w:type="dxa" w:w="60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Reprise du rapport (palette de couleurs, mise en page, ajout de AB et BF_SH aux tableaux).</w:t>
            </w:r>
          </w:p>
        </w:tc>
        <w:tc>
          <w:tcPr>
            <w:tcW w:type="dxa" w:w="1800"/>
            <w:shd w:val="clear" w:color="auto" w:fill="E8EEF0"/>
          </w:tcPr>
          <w:p>
            <w:r>
              <w:rPr>
                <w:sz w:val="20"/>
              </w:rPr>
              <w:t>IB</w:t>
            </w:r>
          </w:p>
        </w:tc>
        <w:tc>
          <w:tcPr>
            <w:tcW w:type="dxa" w:w="1400"/>
            <w:shd w:val="clear" w:color="auto" w:fill="E8EEF0"/>
          </w:tcPr>
          <w:p>
            <w:r>
              <w:rPr>
                <w:sz w:val="20"/>
              </w:rPr>
              <w:t>Avant VAL-004</w:t>
            </w:r>
          </w:p>
        </w:tc>
      </w:tr>
      <w:tr>
        <w:tc>
          <w:tcPr>
            <w:tcW w:type="dxa" w:w="6000"/>
          </w:tcPr>
          <w:p>
            <w:r>
              <w:rPr>
                <w:b/>
                <w:color w:val="264653"/>
                <w:sz w:val="20"/>
              </w:rPr>
              <w:t>Session avec le médecin, avec MuReport-regles-cliniques.docx.</w:t>
            </w:r>
          </w:p>
        </w:tc>
        <w:tc>
          <w:tcPr>
            <w:tcW w:type="dxa" w:w="1800"/>
          </w:tcPr>
          <w:p>
            <w:r>
              <w:rPr>
                <w:sz w:val="20"/>
              </w:rPr>
              <w:t>IB + médecin</w:t>
            </w:r>
          </w:p>
        </w:tc>
        <w:tc>
          <w:tcPr>
            <w:tcW w:type="dxa" w:w="1400"/>
          </w:tcPr>
          <w:p>
            <w:r>
              <w:rPr>
                <w:sz w:val="20"/>
              </w:rPr>
              <w:t>VAL-004</w:t>
            </w:r>
          </w:p>
        </w:tc>
      </w:tr>
    </w:tbl>
    <w:p>
      <w:pPr>
        <w:spacing w:after="40"/>
      </w:pPr>
    </w:p>
    <w:p>
      <w:pPr>
        <w:pStyle w:val="Heading1"/>
      </w:pPr>
      <w:r>
        <w:t>4. Décisions à prendre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28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Décision</w:t>
            </w:r>
          </w:p>
        </w:tc>
        <w:tc>
          <w:tcPr>
            <w:tcW w:type="dxa" w:w="48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Pourquoi</w:t>
            </w:r>
          </w:p>
        </w:tc>
        <w:tc>
          <w:tcPr>
            <w:tcW w:type="dxa" w:w="1600"/>
            <w:shd w:val="clear" w:color="auto" w:fill="264653"/>
          </w:tcPr>
          <w:p>
            <w:r>
              <w:rPr>
                <w:b/>
                <w:color w:val="FFFFFF"/>
                <w:sz w:val="20"/>
              </w:rPr>
              <w:t>Avec qui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color w:val="264653"/>
                <w:sz w:val="20"/>
              </w:rPr>
              <w:t>Tolérances FF et T2 (le « X » de RES-001 et RES-002)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Sans elles, la comparaison avec Matlab n'a pas de verdict.</w:t>
            </w:r>
          </w:p>
        </w:tc>
        <w:tc>
          <w:tcPr>
            <w:tcW w:type="dxa" w:w="1600"/>
          </w:tcPr>
          <w:p>
            <w:r>
              <w:rPr>
                <w:sz w:val="20"/>
              </w:rPr>
              <w:t>Responsable</w:t>
            </w:r>
          </w:p>
        </w:tc>
      </w:tr>
      <w:tr>
        <w:tc>
          <w:tcPr>
            <w:tcW w:type="dxa" w:w="28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Segmentation de référence</w:t>
            </w:r>
          </w:p>
        </w:tc>
        <w:tc>
          <w:tcPr>
            <w:tcW w:type="dxa" w:w="4800"/>
            <w:shd w:val="clear" w:color="auto" w:fill="E8EEF0"/>
          </w:tcPr>
          <w:p>
            <w:r>
              <w:rPr>
                <w:sz w:val="20"/>
              </w:rPr>
              <w:t>Décidé : muReport acceptera la segmentation Matlab (comparaison à entrées identiques, voir section 4).</w:t>
            </w:r>
          </w:p>
        </w:tc>
        <w:tc>
          <w:tcPr>
            <w:tcW w:type="dxa" w:w="1600"/>
            <w:shd w:val="clear" w:color="auto" w:fill="E8EEF0"/>
          </w:tcPr>
          <w:p>
            <w:r>
              <w:rPr>
                <w:sz w:val="20"/>
              </w:rPr>
              <w:t>Fait (IB)</w:t>
            </w:r>
          </w:p>
        </w:tc>
      </w:tr>
      <w:tr>
        <w:tc>
          <w:tcPr>
            <w:tcW w:type="dxa" w:w="2800"/>
          </w:tcPr>
          <w:p>
            <w:r>
              <w:rPr>
                <w:b/>
                <w:color w:val="264653"/>
                <w:sz w:val="20"/>
              </w:rPr>
              <w:t>Reformulation de FONC-005</w:t>
            </w:r>
          </w:p>
        </w:tc>
        <w:tc>
          <w:tcPr>
            <w:tcW w:type="dxa" w:w="4800"/>
          </w:tcPr>
          <w:p>
            <w:r>
              <w:rPr>
                <w:sz w:val="20"/>
              </w:rPr>
              <w:t>L'identité du patient ne peut pas apparaître tant que la ré-identification n'existe pas : limiter le test à la date d'examen, ou le reporter.</w:t>
            </w:r>
          </w:p>
        </w:tc>
        <w:tc>
          <w:tcPr>
            <w:tcW w:type="dxa" w:w="1600"/>
          </w:tcPr>
          <w:p>
            <w:r>
              <w:rPr>
                <w:sz w:val="20"/>
              </w:rPr>
              <w:t>Responsable</w:t>
            </w:r>
          </w:p>
        </w:tc>
      </w:tr>
      <w:tr>
        <w:tc>
          <w:tcPr>
            <w:tcW w:type="dxa" w:w="2800"/>
            <w:shd w:val="clear" w:color="auto" w:fill="E8EEF0"/>
          </w:tcPr>
          <w:p>
            <w:r>
              <w:rPr>
                <w:b/>
                <w:color w:val="264653"/>
                <w:sz w:val="20"/>
              </w:rPr>
              <w:t>Date de VAL-004</w:t>
            </w:r>
          </w:p>
        </w:tc>
        <w:tc>
          <w:tcPr>
            <w:tcW w:type="dxa" w:w="4800"/>
            <w:shd w:val="clear" w:color="auto" w:fill="E8EEF0"/>
          </w:tcPr>
          <w:p>
            <w:r>
              <w:rPr>
                <w:sz w:val="20"/>
              </w:rPr>
              <w:t>Le plan la fixe au 27/10. Si le rapport est repris après, le médecin aura validé une version périmée : déplacer VAL-004 après la reprise, ou ne faire valider maintenant que le contenu (valeurs, phrases, règles).</w:t>
            </w:r>
          </w:p>
        </w:tc>
        <w:tc>
          <w:tcPr>
            <w:tcW w:type="dxa" w:w="1600"/>
            <w:shd w:val="clear" w:color="auto" w:fill="E8EEF0"/>
          </w:tcPr>
          <w:p>
            <w:r>
              <w:rPr>
                <w:sz w:val="20"/>
              </w:rPr>
              <w:t>Responsable, médecin</w:t>
            </w:r>
          </w:p>
        </w:tc>
      </w:tr>
    </w:tbl>
    <w:p>
      <w:pPr>
        <w:spacing w:after="40"/>
      </w:pPr>
    </w:p>
    <w:p>
      <w:pPr>
        <w:pStyle w:val="Heading1"/>
      </w:pPr>
      <w:r>
        <w:t>5. Comparaison avec Matlab : ce qu'il faut savoir</w:t>
      </w:r>
    </w:p>
    <w:p>
      <w:r>
        <w:rPr>
          <w:b w:val="0"/>
          <w:i w:val="0"/>
        </w:rPr>
        <w:t>Pour séparer les sources d'écart, comparer en deux temps :</w:t>
      </w:r>
    </w:p>
    <w:p>
      <w:pPr>
        <w:pStyle w:val="ListBullet"/>
      </w:pPr>
      <w:r>
        <w:t>Même ROI des deux côtés (celle de Matlab) : l'écart mesure uniquement la reconstruction (mutools contre Matlab). C'est la condition posée par le plan pour RES-001 et RES-002.</w:t>
      </w:r>
    </w:p>
    <w:p>
      <w:pPr>
        <w:pStyle w:val="ListBullet"/>
      </w:pPr>
      <w:r>
        <w:t>ROI de muReport (MuSeg-AI) : l'écart mesure le pipeline complet, segmentation comprise.</w:t>
      </w:r>
    </w:p>
    <w:p>
      <w:r>
        <w:rPr>
          <w:b w:val="0"/>
          <w:i w:val="0"/>
        </w:rPr>
        <w:t>Ce que contient chaque examen Matlab (vu sur N:) :</w:t>
      </w:r>
    </w:p>
    <w:p>
      <w:pPr>
        <w:pStyle w:val="ListBullet"/>
      </w:pPr>
      <w:r>
        <w:t>deux segmentations par segment : ROI_DIXON_* (grille Dixon) et ROI_T2_* (grille T2), au format Analyze (roi.img / roi.hdr), avec labels au format ITK-SNAP et géométrie dans vol.mhd ;</w:t>
      </w:r>
    </w:p>
    <w:p>
      <w:pPr>
        <w:pStyle w:val="ListBullet"/>
      </w:pPr>
      <w:r>
        <w:t>FF Dixon (mean_roi_fat_ratio.txt) : par groupes seulement (jambes EXT, FIB, TRIC ; cuisses QUAD, HSTR) ;</w:t>
      </w:r>
    </w:p>
    <w:p>
      <w:pPr>
        <w:pStyle w:val="ListBullet"/>
      </w:pPr>
      <w:r>
        <w:t>FF recalée sur la grille T2 et T2 (mean_roi_fat_ratio_reg_t2_map.txt, estimated_T2.txt) : par muscle ;</w:t>
      </w:r>
    </w:p>
    <w:p>
      <w:pPr>
        <w:pStyle w:val="ListBullet"/>
      </w:pPr>
      <w:r>
        <w:t>valeurs par coupe : moyenne à pondérer par le nombre de pixels ; T2 avec et sans correction B1 (comparer « sans B1 ») ;</w:t>
      </w:r>
    </w:p>
    <w:p>
      <w:pPr>
        <w:pStyle w:val="ListBullet"/>
      </w:pPr>
      <w:r>
        <w:t>résultats Matlab = résultats après correction des inversions eau/graisse par les techniciens.</w:t>
      </w:r>
    </w:p>
    <w:p>
      <w:r>
        <w:rPr>
          <w:b w:val="0"/>
          <w:i w:val="0"/>
        </w:rPr>
        <w:t>Correspondance des muscles :</w:t>
      </w:r>
    </w:p>
    <w:p>
      <w:pPr>
        <w:pStyle w:val="ListBullet"/>
      </w:pPr>
      <w:r>
        <w:t>avec la ROI Matlab dans muReport (passage 2), les noms sont ceux de Matlab : comparaison muscle à muscle directe ;</w:t>
      </w:r>
    </w:p>
    <w:p>
      <w:pPr>
        <w:pStyle w:val="ListBullet"/>
      </w:pPr>
      <w:r>
        <w:t>avec MuSeg-AI (passage 1) : jambes, DLPC (un bloc) correspond à TP + FLEX_HL + FLEX_DI côté Matlab ; POP absent de la ROI T2 Matlab ; cuisses, AB et BF_SH absents de la ROI T2 Matlab. On compare les muscles communs, et la FF Dixon par groupes.</w:t>
      </w:r>
    </w:p>
    <w:p>
      <w:pPr>
        <w:pStyle w:val="Heading1"/>
      </w:pPr>
      <w:r>
        <w:t>6. Répartition du travail</w:t>
      </w:r>
    </w:p>
    <w:p>
      <w:pPr>
        <w:pStyle w:val="ListBullet"/>
      </w:pPr>
      <w:r>
        <w:t>Inès : décisions, données (lot, Matlab), essais réels, sessions techniciens et médecin, et le code formateur : script de comparaison, segmentation externe, messages d'erreur clairs.</w:t>
      </w:r>
    </w:p>
    <w:p>
      <w:pPr>
        <w:pStyle w:val="ListBullet"/>
      </w:pPr>
      <w:r>
        <w:t>Claude : relecture du code, travail mécanique (tests automatisés, mise à jour du plan, du journal et des documents), aide à l'interprétation des écarts.</w:t>
      </w:r>
    </w:p>
    <w:p>
      <w:pPr>
        <w:pStyle w:val="Heading1"/>
      </w:pPr>
      <w:r>
        <w:t>7. Après le 30 octobre (phase 2)</w:t>
      </w:r>
    </w:p>
    <w:p>
      <w:pPr>
        <w:pStyle w:val="ListBullet"/>
      </w:pPr>
      <w:r>
        <w:t>dicom : corriger l'option --anonymize (incident de gravité élevée) et tester les transferts avec un faux PACS.</w:t>
      </w:r>
    </w:p>
    <w:p>
      <w:pPr>
        <w:pStyle w:val="ListBullet"/>
      </w:pPr>
      <w:r>
        <w:t>dicom : rendre configurable la liste des séquences de run_process (BIOMARKERS écrite en dur aujourd'hui).</w:t>
      </w:r>
    </w:p>
    <w:p>
      <w:pPr>
        <w:pStyle w:val="ListBullet"/>
      </w:pPr>
      <w:r>
        <w:t>Cycle QC réel (pause, reprise, résultat) et refonte du QC (FONC-004).</w:t>
      </w:r>
    </w:p>
    <w:p>
      <w:pPr>
        <w:pStyle w:val="ListBullet"/>
      </w:pPr>
      <w:r>
        <w:t>Équivalence T2 / mutools, dès qu'une référence existe.</w:t>
      </w:r>
    </w:p>
    <w:p>
      <w:pPr>
        <w:pStyle w:val="ListBullet"/>
      </w:pPr>
      <w:r>
        <w:t>Ré-identification, puis FONC-005 complet.</w:t>
      </w:r>
    </w:p>
    <w:p>
      <w:pPr>
        <w:pStyle w:val="ListBullet"/>
      </w:pPr>
      <w:r>
        <w:t>Questions au médecin : phrase T2 « normale limite », AB et BF_SH, borne de 70 ms.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646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646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color w:val="22222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