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64653"/>
          <w:sz w:val="44"/>
        </w:rPr>
        <w:t>Rapport de tests automatisés — AUTO-001</w:t>
      </w:r>
    </w:p>
    <w:p>
      <w:pPr>
        <w:spacing w:after="240"/>
        <w:pBdr>
          <w:bottom w:val="single" w:sz="8" w:space="6" w:color="264653"/>
        </w:pBdr>
      </w:pPr>
      <w:r>
        <w:rPr>
          <w:b w:val="0"/>
          <w:i w:val="0"/>
          <w:color w:val="6B6B6B"/>
          <w:sz w:val="22"/>
        </w:rPr>
        <w:t>muReport · Inès Benziane  —  22 octobre 2026  —  version du code 6e33e57</w:t>
      </w:r>
    </w:p>
    <w:p>
      <w:pPr>
        <w:spacing w:after="280"/>
      </w:pPr>
      <w:r>
        <w:rPr>
          <w:b w:val="0"/>
          <w:i/>
          <w:color w:val="6B6B6B"/>
        </w:rPr>
        <w:t>Ce document décrit ce qui a été testé automatiquement, comment, et avec quel résultat. Il accompagne MuReport-plan-de-tests.xlsx (ligne AUTO-001, onglets Journal et Rapports d'incidents) et applique la stratégie de MuReport-politique-tests.docx.</w:t>
      </w:r>
    </w:p>
    <w:p>
      <w:pPr>
        <w:pStyle w:val="Heading1"/>
      </w:pPr>
      <w:r>
        <w:t>1. Synthèse</w:t>
      </w:r>
    </w:p>
    <w:tbl>
      <w:tblPr>
        <w:tblW w:type="auto" w:w="0"/>
        <w:jc w:val="center"/>
        <w:tblLook w:firstColumn="1" w:firstRow="1" w:lastColumn="0" w:lastRow="0" w:noHBand="0" w:noVBand="1" w:val="04A0"/>
      </w:tblPr>
      <w:tblGrid>
        <w:gridCol w:w="9680"/>
      </w:tblGrid>
      <w:tr>
        <w:tc>
          <w:tcPr>
            <w:tcW w:type="dxa" w:w="9680"/>
            <w:shd w:val="clear" w:color="auto" w:fill="F3EDE2"/>
          </w:tcPr>
          <w:p>
            <w:pPr>
              <w:spacing w:before="60" w:after="60"/>
            </w:pPr>
            <w:r>
              <w:rPr>
                <w:b/>
                <w:color w:val="264653"/>
                <w:sz w:val="21"/>
              </w:rPr>
              <w:t xml:space="preserve">Verdict : conforme. </w:t>
            </w:r>
            <w:r>
              <w:rPr>
                <w:sz w:val="21"/>
              </w:rPr>
              <w:t>231 cas de test sur les 3 briques livrées (muReport, medical_report, dicom), dont des tests de bout en bout jusqu'au rapport : 225 réussis, 6 échecs attendus (anomalies connues, voir section 6). Exécution du 22/10/2026 sur la station Prométhée, commit 6e33e57.</w:t>
            </w:r>
          </w:p>
        </w:tc>
      </w:tr>
    </w:tbl>
    <w:p>
      <w:pPr>
        <w:spacing w:after="40"/>
      </w:pPr>
    </w:p>
    <w:tbl>
      <w:tblPr>
        <w:tblStyle w:val="TableGrid"/>
        <w:tblW w:type="auto" w:w="0"/>
        <w:jc w:val="center"/>
        <w:tblLook w:firstColumn="1" w:firstRow="1" w:lastColumn="0" w:lastRow="0" w:noHBand="0" w:noVBand="1" w:val="04A0"/>
      </w:tblPr>
      <w:tblGrid>
        <w:gridCol w:w="4840"/>
        <w:gridCol w:w="4840"/>
      </w:tblGrid>
      <w:tr>
        <w:tc>
          <w:tcPr>
            <w:tcW w:type="dxa" w:w="2600"/>
            <w:shd w:val="clear" w:color="auto" w:fill="264653"/>
          </w:tcPr>
          <w:p>
            <w:r>
              <w:rPr>
                <w:b/>
                <w:color w:val="FFFFFF"/>
                <w:sz w:val="20"/>
              </w:rPr>
              <w:t>Élément</w:t>
            </w:r>
          </w:p>
        </w:tc>
        <w:tc>
          <w:tcPr>
            <w:tcW w:type="dxa" w:w="6600"/>
            <w:shd w:val="clear" w:color="auto" w:fill="264653"/>
          </w:tcPr>
          <w:p>
            <w:r>
              <w:rPr>
                <w:b/>
                <w:color w:val="FFFFFF"/>
                <w:sz w:val="20"/>
              </w:rPr>
              <w:t>Valeur</w:t>
            </w:r>
          </w:p>
        </w:tc>
      </w:tr>
      <w:tr>
        <w:tc>
          <w:tcPr>
            <w:tcW w:type="dxa" w:w="2600"/>
          </w:tcPr>
          <w:p>
            <w:r>
              <w:rPr>
                <w:b/>
                <w:color w:val="264653"/>
                <w:sz w:val="20"/>
              </w:rPr>
              <w:t>Identifiant</w:t>
            </w:r>
          </w:p>
        </w:tc>
        <w:tc>
          <w:tcPr>
            <w:tcW w:type="dxa" w:w="6600"/>
          </w:tcPr>
          <w:p>
            <w:r>
              <w:rPr>
                <w:sz w:val="20"/>
              </w:rPr>
              <w:t>AUTO-001 (plan de tests, phase 1)</w:t>
            </w:r>
          </w:p>
        </w:tc>
      </w:tr>
      <w:tr>
        <w:tc>
          <w:tcPr>
            <w:tcW w:type="dxa" w:w="2600"/>
            <w:shd w:val="clear" w:color="auto" w:fill="E8EEF0"/>
          </w:tcPr>
          <w:p>
            <w:r>
              <w:rPr>
                <w:b/>
                <w:color w:val="264653"/>
                <w:sz w:val="20"/>
              </w:rPr>
              <w:t>Niveau</w:t>
            </w:r>
          </w:p>
        </w:tc>
        <w:tc>
          <w:tcPr>
            <w:tcW w:type="dxa" w:w="6600"/>
            <w:shd w:val="clear" w:color="auto" w:fill="E8EEF0"/>
          </w:tcPr>
          <w:p>
            <w:r>
              <w:rPr>
                <w:sz w:val="20"/>
              </w:rPr>
              <w:t>Tests unitaires et tests d'intégration</w:t>
            </w:r>
          </w:p>
        </w:tc>
      </w:tr>
      <w:tr>
        <w:tc>
          <w:tcPr>
            <w:tcW w:type="dxa" w:w="2600"/>
          </w:tcPr>
          <w:p>
            <w:r>
              <w:rPr>
                <w:b/>
                <w:color w:val="264653"/>
                <w:sz w:val="20"/>
              </w:rPr>
              <w:t>Outil</w:t>
            </w:r>
          </w:p>
        </w:tc>
        <w:tc>
          <w:tcPr>
            <w:tcW w:type="dxa" w:w="6600"/>
          </w:tcPr>
          <w:p>
            <w:r>
              <w:rPr>
                <w:sz w:val="20"/>
              </w:rPr>
              <w:t>pytest 9.1.1, Python 3.12.13</w:t>
            </w:r>
          </w:p>
        </w:tc>
      </w:tr>
      <w:tr>
        <w:tc>
          <w:tcPr>
            <w:tcW w:type="dxa" w:w="2600"/>
            <w:shd w:val="clear" w:color="auto" w:fill="E8EEF0"/>
          </w:tcPr>
          <w:p>
            <w:r>
              <w:rPr>
                <w:b/>
                <w:color w:val="264653"/>
                <w:sz w:val="20"/>
              </w:rPr>
              <w:t>Environnement</w:t>
            </w:r>
          </w:p>
        </w:tc>
        <w:tc>
          <w:tcPr>
            <w:tcW w:type="dxa" w:w="6600"/>
            <w:shd w:val="clear" w:color="auto" w:fill="E8EEF0"/>
          </w:tcPr>
          <w:p>
            <w:r>
              <w:rPr>
                <w:sz w:val="20"/>
              </w:rPr>
              <w:t>Station Prométhée (Linux), environnement conda « pipeline », Docker (segmentation MuSeg-AI)</w:t>
            </w:r>
          </w:p>
        </w:tc>
      </w:tr>
      <w:tr>
        <w:tc>
          <w:tcPr>
            <w:tcW w:type="dxa" w:w="2600"/>
          </w:tcPr>
          <w:p>
            <w:r>
              <w:rPr>
                <w:b/>
                <w:color w:val="264653"/>
                <w:sz w:val="20"/>
              </w:rPr>
              <w:t>Version du code</w:t>
            </w:r>
          </w:p>
        </w:tc>
        <w:tc>
          <w:tcPr>
            <w:tcW w:type="dxa" w:w="6600"/>
          </w:tcPr>
          <w:p>
            <w:r>
              <w:rPr>
                <w:sz w:val="20"/>
              </w:rPr>
              <w:t>6e33e57 (dépôt github.com/ines-benziane/pipeline), avec medical_report 1725584 et dicom 0e43e4f</w:t>
            </w:r>
          </w:p>
        </w:tc>
      </w:tr>
      <w:tr>
        <w:tc>
          <w:tcPr>
            <w:tcW w:type="dxa" w:w="2600"/>
            <w:shd w:val="clear" w:color="auto" w:fill="E8EEF0"/>
          </w:tcPr>
          <w:p>
            <w:r>
              <w:rPr>
                <w:b/>
                <w:color w:val="264653"/>
                <w:sz w:val="20"/>
              </w:rPr>
              <w:t>Durée</w:t>
            </w:r>
          </w:p>
        </w:tc>
        <w:tc>
          <w:tcPr>
            <w:tcW w:type="dxa" w:w="6600"/>
            <w:shd w:val="clear" w:color="auto" w:fill="E8EEF0"/>
          </w:tcPr>
          <w:p>
            <w:r>
              <w:rPr>
                <w:sz w:val="20"/>
              </w:rPr>
              <w:t>4 min 12 s</w:t>
            </w:r>
          </w:p>
        </w:tc>
      </w:tr>
      <w:tr>
        <w:tc>
          <w:tcPr>
            <w:tcW w:type="dxa" w:w="2600"/>
          </w:tcPr>
          <w:p>
            <w:r>
              <w:rPr>
                <w:b/>
                <w:color w:val="264653"/>
                <w:sz w:val="20"/>
              </w:rPr>
              <w:t>Preuve d'exécution</w:t>
            </w:r>
          </w:p>
        </w:tc>
        <w:tc>
          <w:tcPr>
            <w:tcW w:type="dxa" w:w="6600"/>
          </w:tcPr>
          <w:p>
            <w:r>
              <w:rPr>
                <w:sz w:val="20"/>
              </w:rPr>
              <w:t>resultats_tests/AUTO-001_20261022_6e33e57.txt (+ .xml), voir section 8</w:t>
            </w:r>
          </w:p>
        </w:tc>
      </w:tr>
    </w:tbl>
    <w:p>
      <w:pPr>
        <w:spacing w:after="40"/>
      </w:pPr>
    </w:p>
    <w:p>
      <w:pPr>
        <w:pStyle w:val="Heading1"/>
      </w:pPr>
      <w:r>
        <w:t>2. Périmètre</w:t>
      </w:r>
    </w:p>
    <w:p>
      <w:r>
        <w:rPr>
          <w:b w:val="0"/>
          <w:i w:val="0"/>
        </w:rPr>
        <w:t>Inclus : les trois briques livrées, des DICOM jusqu'au rapport, hors calcul.</w:t>
      </w:r>
    </w:p>
    <w:p>
      <w:pPr>
        <w:pStyle w:val="ListBullet"/>
      </w:pPr>
      <w:r>
        <w:t>saisies utilisateur (numéros de séries, acquisition, méthode) ;</w:t>
      </w:r>
    </w:p>
    <w:p>
      <w:pPr>
        <w:pStyle w:val="ListBullet"/>
      </w:pPr>
      <w:r>
        <w:t>orchestration : création, exécution, pause pour contrôle qualité (QC), reprise et sauvegarde des jobs ;</w:t>
      </w:r>
    </w:p>
    <w:p>
      <w:pPr>
        <w:pStyle w:val="ListBullet"/>
      </w:pPr>
      <w:r>
        <w:t>méthodes dixon3pt et t2map_3exp : appel par le moteur et contrôles d'entrée ;</w:t>
      </w:r>
    </w:p>
    <w:p>
      <w:pPr>
        <w:pStyle w:val="ListBullet"/>
      </w:pPr>
      <w:r>
        <w:t>chaîne complète, des DICOM aux valeurs par muscle, pour la méthode Dixon ;</w:t>
      </w:r>
    </w:p>
    <w:p>
      <w:pPr>
        <w:pStyle w:val="ListBullet"/>
      </w:pPr>
      <w:r>
        <w:t>écriture des résultats (tableau mutools vers JSON) et génération du rapport ;</w:t>
      </w:r>
    </w:p>
    <w:p>
      <w:pPr>
        <w:pStyle w:val="ListBullet"/>
      </w:pPr>
      <w:r>
        <w:t>ligne de commande, images de contrôle qualité, extraction des valeurs par muscle ;</w:t>
      </w:r>
    </w:p>
    <w:p>
      <w:pPr>
        <w:pStyle w:val="ListBullet"/>
      </w:pPr>
      <w:r>
        <w:t>medical_report : lecture des résultats, choix des versions et des examens antérieurs, commentaire T2, synthèse d'évolution ;</w:t>
      </w:r>
    </w:p>
    <w:p>
      <w:pPr>
        <w:pStyle w:val="ListBullet"/>
      </w:pPr>
      <w:r>
        <w:t>dicom : anonymisation et pseudonymisation, requête au PACS, sélection des séries, tri des fichiers reçus, liste de patients.</w:t>
      </w:r>
    </w:p>
    <w:p>
      <w:r>
        <w:rPr>
          <w:b w:val="0"/>
          <w:i w:val="0"/>
        </w:rPr>
        <w:t>Exclus, et pourquoi :</w:t>
      </w:r>
    </w:p>
    <w:p>
      <w:pPr>
        <w:pStyle w:val="ListBullet"/>
      </w:pPr>
      <w:r>
        <w:t>le calcul lui-même (mutools) : logique de recherche publiée, non modifiable par muReport. Sa justesse est vérifiée contre Matlab par les tests RES-001 et RES-002 ;</w:t>
      </w:r>
    </w:p>
    <w:p>
      <w:pPr>
        <w:pStyle w:val="ListBullet"/>
      </w:pPr>
      <w:r>
        <w:t>les échanges réels avec le PACS Telemis (C-FIND, C-MOVE) : non automatisables sans serveur, vérifiés lors des transferts réels ; la requête envoyée et le traitement des fichiers reçus sont testés ;</w:t>
      </w:r>
    </w:p>
    <w:p>
      <w:pPr>
        <w:pStyle w:val="ListBullet"/>
      </w:pPr>
      <w:r>
        <w:t>l'interface graphique : couverte par les tests FONC-001 et VAL (utilisation réelle par les techniciens).</w:t>
      </w:r>
    </w:p>
    <w:p>
      <w:pPr>
        <w:pStyle w:val="Heading1"/>
      </w:pPr>
      <w:r>
        <w:t>3. Méthode</w:t>
      </w:r>
    </w:p>
    <w:p>
      <w:pPr>
        <w:pStyle w:val="ListBullet"/>
      </w:pPr>
      <w:r>
        <w:t>Tests unitaires : chaque fonction est vérifiée isolément. Les méthodes de calcul sont remplacées par des méthodes factices, sans image ni calcul : les tests sont rapides et donnent toujours le même résultat.</w:t>
      </w:r>
    </w:p>
    <w:p>
      <w:pPr>
        <w:pStyle w:val="ListBullet"/>
      </w:pPr>
      <w:r>
        <w:t>Tests d'intégration : plusieurs modules enchaînés. Pipeline complet avec une méthode factice, et méthode Dixon réelle sur un examen réel.</w:t>
      </w:r>
    </w:p>
    <w:p>
      <w:pPr>
        <w:pStyle w:val="ListBullet"/>
      </w:pPr>
      <w:r>
        <w:t>Test d'équivalence avec mutools : un examen de référence (CL2LD260112, jambes, séries 17 et 18) est traité par muReport, et les valeurs de chacun des 16 muscles (nombre de pixels NPIX, fraction de graisse FF) sont comparées à celles obtenues avec mutools utilisé seul. Ce test prouve que muReport ne déforme pas les résultats de mutools (bonnes séries lues, bonne orientation, bonne ROI, bonnes valeurs associées à chaque muscle). Il ne prouve pas la justesse clinique, objet de RES-001 : l'examen de référence présente d'ailleurs une inversion eau/graisse connue sur la jambe droite, reproduite à l'identique.</w:t>
      </w:r>
    </w:p>
    <w:p>
      <w:pPr>
        <w:pStyle w:val="ListBullet"/>
      </w:pPr>
      <w:r>
        <w:t>Test de bout en bout : les fichiers de résultats d'un vrai examen (anonymisé) sont transformés en rapport avec la configuration construite par l'interface graphique ; chaque valeur affichée est comparée à celle du fichier, pour le bon muscle et le bon côté. Le contrôle porte sur le HTML converti en PDF.</w:t>
      </w:r>
    </w:p>
    <w:p>
      <w:pPr>
        <w:pStyle w:val="ListBullet"/>
      </w:pPr>
      <w:r>
        <w:t>Isolation : les tests écrivent uniquement dans des dossiers temporaires, jamais dans les données réelles.</w:t>
      </w:r>
    </w:p>
    <w:p>
      <w:pPr>
        <w:pStyle w:val="Heading2"/>
      </w:pPr>
      <w:r>
        <w:t>Tolérances</w:t>
      </w:r>
    </w:p>
    <w:tbl>
      <w:tblPr>
        <w:tblStyle w:val="TableGrid"/>
        <w:tblW w:type="auto" w:w="0"/>
        <w:jc w:val="center"/>
        <w:tblLook w:firstColumn="1" w:firstRow="1" w:lastColumn="0" w:lastRow="0" w:noHBand="0" w:noVBand="1" w:val="04A0"/>
      </w:tblPr>
      <w:tblGrid>
        <w:gridCol w:w="3227"/>
        <w:gridCol w:w="3227"/>
        <w:gridCol w:w="3227"/>
      </w:tblGrid>
      <w:tr>
        <w:tc>
          <w:tcPr>
            <w:tcW w:type="dxa" w:w="1800"/>
            <w:shd w:val="clear" w:color="auto" w:fill="264653"/>
          </w:tcPr>
          <w:p>
            <w:r>
              <w:rPr>
                <w:b/>
                <w:color w:val="FFFFFF"/>
                <w:sz w:val="20"/>
              </w:rPr>
              <w:t>Grandeur</w:t>
            </w:r>
          </w:p>
        </w:tc>
        <w:tc>
          <w:tcPr>
            <w:tcW w:type="dxa" w:w="2400"/>
            <w:shd w:val="clear" w:color="auto" w:fill="264653"/>
          </w:tcPr>
          <w:p>
            <w:r>
              <w:rPr>
                <w:b/>
                <w:color w:val="FFFFFF"/>
                <w:sz w:val="20"/>
              </w:rPr>
              <w:t>Tolérance</w:t>
            </w:r>
          </w:p>
        </w:tc>
        <w:tc>
          <w:tcPr>
            <w:tcW w:type="dxa" w:w="5000"/>
            <w:shd w:val="clear" w:color="auto" w:fill="264653"/>
          </w:tcPr>
          <w:p>
            <w:r>
              <w:rPr>
                <w:b/>
                <w:color w:val="FFFFFF"/>
                <w:sz w:val="20"/>
              </w:rPr>
              <w:t>Justification</w:t>
            </w:r>
          </w:p>
        </w:tc>
      </w:tr>
      <w:tr>
        <w:tc>
          <w:tcPr>
            <w:tcW w:type="dxa" w:w="1800"/>
          </w:tcPr>
          <w:p>
            <w:r>
              <w:rPr>
                <w:b/>
                <w:color w:val="264653"/>
                <w:sz w:val="20"/>
              </w:rPr>
              <w:t>FF par muscle</w:t>
            </w:r>
          </w:p>
        </w:tc>
        <w:tc>
          <w:tcPr>
            <w:tcW w:type="dxa" w:w="2400"/>
          </w:tcPr>
          <w:p>
            <w:r>
              <w:rPr>
                <w:sz w:val="20"/>
              </w:rPr>
              <w:t>± 0,1 %</w:t>
            </w:r>
          </w:p>
        </w:tc>
        <w:tc>
          <w:tcPr>
            <w:tcW w:type="dxa" w:w="5000"/>
          </w:tcPr>
          <w:p>
            <w:r>
              <w:rPr>
                <w:sz w:val="20"/>
              </w:rPr>
              <w:t>Biomarqueur clinique. Écart maximal observé : 0,016 %.</w:t>
            </w:r>
          </w:p>
        </w:tc>
      </w:tr>
      <w:tr>
        <w:tc>
          <w:tcPr>
            <w:tcW w:type="dxa" w:w="1800"/>
            <w:shd w:val="clear" w:color="auto" w:fill="E8EEF0"/>
          </w:tcPr>
          <w:p>
            <w:r>
              <w:rPr>
                <w:b/>
                <w:color w:val="264653"/>
                <w:sz w:val="20"/>
              </w:rPr>
              <w:t>NPIX par muscle</w:t>
            </w:r>
          </w:p>
        </w:tc>
        <w:tc>
          <w:tcPr>
            <w:tcW w:type="dxa" w:w="2400"/>
            <w:shd w:val="clear" w:color="auto" w:fill="E8EEF0"/>
          </w:tcPr>
          <w:p>
            <w:r>
              <w:rPr>
                <w:sz w:val="20"/>
              </w:rPr>
              <w:t>± 0,1 % ou ± 10 pixels (le plus large)</w:t>
            </w:r>
          </w:p>
        </w:tc>
        <w:tc>
          <w:tcPr>
            <w:tcW w:type="dxa" w:w="5000"/>
            <w:shd w:val="clear" w:color="auto" w:fill="E8EEF0"/>
          </w:tcPr>
          <w:p>
            <w:r>
              <w:rPr>
                <w:sz w:val="20"/>
              </w:rPr>
              <w:t>La segmentation MuSeg-AI n'est pas reproductible au pixel près : la bordure des muscles varie de 1 à 5 pixels d'une exécution à l'autre (3 exécutions, maximum 0,056 %). Un vrai défaut (image retournée, ROI décalée) modifie des milliers de pixels.</w:t>
            </w:r>
          </w:p>
        </w:tc>
      </w:tr>
      <w:tr>
        <w:tc>
          <w:tcPr>
            <w:tcW w:type="dxa" w:w="1800"/>
          </w:tcPr>
          <w:p>
            <w:r>
              <w:rPr>
                <w:b/>
                <w:color w:val="264653"/>
                <w:sz w:val="20"/>
              </w:rPr>
              <w:t>Autres tests</w:t>
            </w:r>
          </w:p>
        </w:tc>
        <w:tc>
          <w:tcPr>
            <w:tcW w:type="dxa" w:w="2400"/>
          </w:tcPr>
          <w:p>
            <w:r>
              <w:rPr>
                <w:sz w:val="20"/>
              </w:rPr>
              <w:t>Aucune</w:t>
            </w:r>
          </w:p>
        </w:tc>
        <w:tc>
          <w:tcPr>
            <w:tcW w:type="dxa" w:w="5000"/>
          </w:tcPr>
          <w:p>
            <w:r>
              <w:rPr>
                <w:sz w:val="20"/>
              </w:rPr>
              <w:t>Résultat exact attendu.</w:t>
            </w:r>
          </w:p>
        </w:tc>
      </w:tr>
    </w:tbl>
    <w:p>
      <w:pPr>
        <w:spacing w:after="40"/>
      </w:pPr>
    </w:p>
    <w:p>
      <w:pPr>
        <w:pStyle w:val="Heading1"/>
      </w:pPr>
      <w:r>
        <w:t>4. Détail des tests</w:t>
      </w:r>
    </w:p>
    <w:tbl>
      <w:tblPr>
        <w:tblStyle w:val="TableGrid"/>
        <w:tblW w:type="auto" w:w="0"/>
        <w:jc w:val="center"/>
        <w:tblLook w:firstColumn="1" w:firstRow="1" w:lastColumn="0" w:lastRow="0" w:noHBand="0" w:noVBand="1" w:val="04A0"/>
      </w:tblPr>
      <w:tblGrid>
        <w:gridCol w:w="2420"/>
        <w:gridCol w:w="2420"/>
        <w:gridCol w:w="2420"/>
        <w:gridCol w:w="2420"/>
      </w:tblGrid>
      <w:tr>
        <w:tc>
          <w:tcPr>
            <w:tcW w:type="dxa" w:w="2100"/>
            <w:shd w:val="clear" w:color="auto" w:fill="264653"/>
          </w:tcPr>
          <w:p>
            <w:r>
              <w:rPr>
                <w:b/>
                <w:color w:val="FFFFFF"/>
                <w:sz w:val="20"/>
              </w:rPr>
              <w:t>Domaine</w:t>
            </w:r>
          </w:p>
        </w:tc>
        <w:tc>
          <w:tcPr>
            <w:tcW w:type="dxa" w:w="5100"/>
            <w:shd w:val="clear" w:color="auto" w:fill="264653"/>
          </w:tcPr>
          <w:p>
            <w:r>
              <w:rPr>
                <w:b/>
                <w:color w:val="FFFFFF"/>
                <w:sz w:val="20"/>
              </w:rPr>
              <w:t>Ce qui est vérifié</w:t>
            </w:r>
          </w:p>
        </w:tc>
        <w:tc>
          <w:tcPr>
            <w:tcW w:type="dxa" w:w="700"/>
            <w:shd w:val="clear" w:color="auto" w:fill="264653"/>
          </w:tcPr>
          <w:p>
            <w:r>
              <w:rPr>
                <w:b/>
                <w:color w:val="FFFFFF"/>
                <w:sz w:val="20"/>
              </w:rPr>
              <w:t>Cas</w:t>
            </w:r>
          </w:p>
        </w:tc>
        <w:tc>
          <w:tcPr>
            <w:tcW w:type="dxa" w:w="1400"/>
            <w:shd w:val="clear" w:color="auto" w:fill="264653"/>
          </w:tcPr>
          <w:p>
            <w:r>
              <w:rPr>
                <w:b/>
                <w:color w:val="FFFFFF"/>
                <w:sz w:val="20"/>
              </w:rPr>
              <w:t>Résultat</w:t>
            </w:r>
          </w:p>
        </w:tc>
      </w:tr>
      <w:tr>
        <w:tc>
          <w:tcPr>
            <w:tcW w:type="dxa" w:w="2100"/>
          </w:tcPr>
          <w:p>
            <w:r>
              <w:rPr>
                <w:b/>
                <w:color w:val="264653"/>
                <w:sz w:val="20"/>
              </w:rPr>
              <w:t>Saisies utilisateur</w:t>
            </w:r>
          </w:p>
        </w:tc>
        <w:tc>
          <w:tcPr>
            <w:tcW w:type="dxa" w:w="5100"/>
          </w:tcPr>
          <w:p>
            <w:r>
              <w:rPr>
                <w:sz w:val="20"/>
              </w:rPr>
              <w:t>Formats valides correctement convertis ; formats invalides (« 17,,18 », « abc », acquisition à plus de 3 parties, paramètre sans valeur) rejetés avec une erreur, jamais devinés.</w:t>
            </w:r>
          </w:p>
        </w:tc>
        <w:tc>
          <w:tcPr>
            <w:tcW w:type="dxa" w:w="700"/>
          </w:tcPr>
          <w:p>
            <w:r>
              <w:rPr>
                <w:sz w:val="20"/>
              </w:rPr>
              <w:t>18</w:t>
            </w:r>
          </w:p>
        </w:tc>
        <w:tc>
          <w:tcPr>
            <w:tcW w:type="dxa" w:w="1400"/>
          </w:tcPr>
          <w:p>
            <w:r>
              <w:rPr>
                <w:sz w:val="20"/>
              </w:rPr>
              <w:t>18/18</w:t>
            </w:r>
          </w:p>
        </w:tc>
      </w:tr>
      <w:tr>
        <w:tc>
          <w:tcPr>
            <w:tcW w:type="dxa" w:w="2100"/>
            <w:shd w:val="clear" w:color="auto" w:fill="E8EEF0"/>
          </w:tcPr>
          <w:p>
            <w:r>
              <w:rPr>
                <w:b/>
                <w:color w:val="264653"/>
                <w:sz w:val="20"/>
              </w:rPr>
              <w:t>Job et sauvegarde</w:t>
            </w:r>
          </w:p>
        </w:tc>
        <w:tc>
          <w:tcPr>
            <w:tcW w:type="dxa" w:w="5100"/>
            <w:shd w:val="clear" w:color="auto" w:fill="E8EEF0"/>
          </w:tcPr>
          <w:p>
            <w:r>
              <w:rPr>
                <w:sz w:val="20"/>
              </w:rPr>
              <w:t>Identifiant unique, mode QC valide, état initial ; un job sauvegardé puis rechargé est identique (condition de la reprise après QC ou après crash).</w:t>
            </w:r>
          </w:p>
        </w:tc>
        <w:tc>
          <w:tcPr>
            <w:tcW w:type="dxa" w:w="700"/>
            <w:shd w:val="clear" w:color="auto" w:fill="E8EEF0"/>
          </w:tcPr>
          <w:p>
            <w:r>
              <w:rPr>
                <w:sz w:val="20"/>
              </w:rPr>
              <w:t>10</w:t>
            </w:r>
          </w:p>
        </w:tc>
        <w:tc>
          <w:tcPr>
            <w:tcW w:type="dxa" w:w="1400"/>
            <w:shd w:val="clear" w:color="auto" w:fill="E8EEF0"/>
          </w:tcPr>
          <w:p>
            <w:r>
              <w:rPr>
                <w:sz w:val="20"/>
              </w:rPr>
              <w:t>10/10</w:t>
            </w:r>
          </w:p>
        </w:tc>
      </w:tr>
      <w:tr>
        <w:tc>
          <w:tcPr>
            <w:tcW w:type="dxa" w:w="2100"/>
          </w:tcPr>
          <w:p>
            <w:r>
              <w:rPr>
                <w:b/>
                <w:color w:val="264653"/>
                <w:sz w:val="20"/>
              </w:rPr>
              <w:t>Exécution d'un job</w:t>
            </w:r>
          </w:p>
        </w:tc>
        <w:tc>
          <w:tcPr>
            <w:tcW w:type="dxa" w:w="5100"/>
          </w:tcPr>
          <w:p>
            <w:r>
              <w:rPr>
                <w:sz w:val="20"/>
              </w:rPr>
              <w:t>Succès → résultat publié ; pause QC → job suspendu, étape enregistrée ; échec → job en échec, aucun résultat publié ; reprise depuis l'étape enregistrée ; dossier QC ; journal du run.</w:t>
            </w:r>
          </w:p>
        </w:tc>
        <w:tc>
          <w:tcPr>
            <w:tcW w:type="dxa" w:w="700"/>
          </w:tcPr>
          <w:p>
            <w:r>
              <w:rPr>
                <w:sz w:val="20"/>
              </w:rPr>
              <w:t>12</w:t>
            </w:r>
          </w:p>
        </w:tc>
        <w:tc>
          <w:tcPr>
            <w:tcW w:type="dxa" w:w="1400"/>
          </w:tcPr>
          <w:p>
            <w:r>
              <w:rPr>
                <w:sz w:val="20"/>
              </w:rPr>
              <w:t>12/12</w:t>
            </w:r>
          </w:p>
        </w:tc>
      </w:tr>
      <w:tr>
        <w:tc>
          <w:tcPr>
            <w:tcW w:type="dxa" w:w="2100"/>
            <w:shd w:val="clear" w:color="auto" w:fill="E8EEF0"/>
          </w:tcPr>
          <w:p>
            <w:r>
              <w:rPr>
                <w:b/>
                <w:color w:val="264653"/>
                <w:sz w:val="20"/>
              </w:rPr>
              <w:t>Reprise après QC</w:t>
            </w:r>
          </w:p>
        </w:tc>
        <w:tc>
          <w:tcPr>
            <w:tcW w:type="dxa" w:w="5100"/>
            <w:shd w:val="clear" w:color="auto" w:fill="E8EEF0"/>
          </w:tcPr>
          <w:p>
            <w:r>
              <w:rPr>
                <w:sz w:val="20"/>
              </w:rPr>
              <w:t>Reprise à l'étape enregistrée, même job, décision de l'utilisateur transmise, dossier QC conservé, relance complète si une correction est demandée, job inconnu rejeté. QC refusé → aucun résultat.</w:t>
            </w:r>
          </w:p>
        </w:tc>
        <w:tc>
          <w:tcPr>
            <w:tcW w:type="dxa" w:w="700"/>
            <w:shd w:val="clear" w:color="auto" w:fill="E8EEF0"/>
          </w:tcPr>
          <w:p>
            <w:r>
              <w:rPr>
                <w:sz w:val="20"/>
              </w:rPr>
              <w:t>9</w:t>
            </w:r>
          </w:p>
        </w:tc>
        <w:tc>
          <w:tcPr>
            <w:tcW w:type="dxa" w:w="1400"/>
            <w:shd w:val="clear" w:color="auto" w:fill="E8EEF0"/>
          </w:tcPr>
          <w:p>
            <w:r>
              <w:rPr>
                <w:sz w:val="20"/>
              </w:rPr>
              <w:t>8/8 + 1 échec attendu</w:t>
            </w:r>
          </w:p>
        </w:tc>
      </w:tr>
      <w:tr>
        <w:tc>
          <w:tcPr>
            <w:tcW w:type="dxa" w:w="2100"/>
          </w:tcPr>
          <w:p>
            <w:r>
              <w:rPr>
                <w:b/>
                <w:color w:val="264653"/>
                <w:sz w:val="20"/>
              </w:rPr>
              <w:t>Méthodes dixon3pt et t2map_3exp</w:t>
            </w:r>
          </w:p>
        </w:tc>
        <w:tc>
          <w:tcPr>
            <w:tcW w:type="dxa" w:w="5100"/>
          </w:tcPr>
          <w:p>
            <w:r>
              <w:rPr>
                <w:sz w:val="20"/>
              </w:rPr>
              <w:t>Acceptent les appels du moteur ; action inconnue, séries absentes du dossier, étape inconnue, segment inconnu → erreurs explicites.</w:t>
            </w:r>
          </w:p>
        </w:tc>
        <w:tc>
          <w:tcPr>
            <w:tcW w:type="dxa" w:w="700"/>
          </w:tcPr>
          <w:p>
            <w:r>
              <w:rPr>
                <w:sz w:val="20"/>
              </w:rPr>
              <w:t>11</w:t>
            </w:r>
          </w:p>
        </w:tc>
        <w:tc>
          <w:tcPr>
            <w:tcW w:type="dxa" w:w="1400"/>
          </w:tcPr>
          <w:p>
            <w:r>
              <w:rPr>
                <w:sz w:val="20"/>
              </w:rPr>
              <w:t>11/11</w:t>
            </w:r>
          </w:p>
        </w:tc>
      </w:tr>
      <w:tr>
        <w:tc>
          <w:tcPr>
            <w:tcW w:type="dxa" w:w="2100"/>
            <w:shd w:val="clear" w:color="auto" w:fill="E8EEF0"/>
          </w:tcPr>
          <w:p>
            <w:r>
              <w:rPr>
                <w:b/>
                <w:color w:val="264653"/>
                <w:sz w:val="20"/>
              </w:rPr>
              <w:t>Registre et classe de base</w:t>
            </w:r>
          </w:p>
        </w:tc>
        <w:tc>
          <w:tcPr>
            <w:tcW w:type="dxa" w:w="5100"/>
            <w:shd w:val="clear" w:color="auto" w:fill="E8EEF0"/>
          </w:tcPr>
          <w:p>
            <w:r>
              <w:rPr>
                <w:sz w:val="20"/>
              </w:rPr>
              <w:t>Méthode inconnue rejetée, méthode incomplète refusée, contrôle des étapes et des actions autorisées.</w:t>
            </w:r>
          </w:p>
        </w:tc>
        <w:tc>
          <w:tcPr>
            <w:tcW w:type="dxa" w:w="700"/>
            <w:shd w:val="clear" w:color="auto" w:fill="E8EEF0"/>
          </w:tcPr>
          <w:p>
            <w:r>
              <w:rPr>
                <w:sz w:val="20"/>
              </w:rPr>
              <w:t>11</w:t>
            </w:r>
          </w:p>
        </w:tc>
        <w:tc>
          <w:tcPr>
            <w:tcW w:type="dxa" w:w="1400"/>
            <w:shd w:val="clear" w:color="auto" w:fill="E8EEF0"/>
          </w:tcPr>
          <w:p>
            <w:r>
              <w:rPr>
                <w:sz w:val="20"/>
              </w:rPr>
              <w:t>11/11</w:t>
            </w:r>
          </w:p>
        </w:tc>
      </w:tr>
      <w:tr>
        <w:tc>
          <w:tcPr>
            <w:tcW w:type="dxa" w:w="2100"/>
          </w:tcPr>
          <w:p>
            <w:r>
              <w:rPr>
                <w:b/>
                <w:color w:val="264653"/>
                <w:sz w:val="20"/>
              </w:rPr>
              <w:t>Pipeline complet (intégration)</w:t>
            </w:r>
          </w:p>
        </w:tc>
        <w:tc>
          <w:tcPr>
            <w:tcW w:type="dxa" w:w="5100"/>
          </w:tcPr>
          <w:p>
            <w:r>
              <w:rPr>
                <w:sz w:val="20"/>
              </w:rPr>
              <w:t>Résolution de l'examen (aucun, un seul, plusieurs candidats), transmission des paramètres, traçabilité des séries choisies, pause QC, échec sans résultat.</w:t>
            </w:r>
          </w:p>
        </w:tc>
        <w:tc>
          <w:tcPr>
            <w:tcW w:type="dxa" w:w="700"/>
          </w:tcPr>
          <w:p>
            <w:r>
              <w:rPr>
                <w:sz w:val="20"/>
              </w:rPr>
              <w:t>10</w:t>
            </w:r>
          </w:p>
        </w:tc>
        <w:tc>
          <w:tcPr>
            <w:tcW w:type="dxa" w:w="1400"/>
          </w:tcPr>
          <w:p>
            <w:r>
              <w:rPr>
                <w:sz w:val="20"/>
              </w:rPr>
              <w:t>10/10</w:t>
            </w:r>
          </w:p>
        </w:tc>
      </w:tr>
      <w:tr>
        <w:tc>
          <w:tcPr>
            <w:tcW w:type="dxa" w:w="2100"/>
            <w:shd w:val="clear" w:color="auto" w:fill="E8EEF0"/>
          </w:tcPr>
          <w:p>
            <w:r>
              <w:rPr>
                <w:b/>
                <w:color w:val="264653"/>
                <w:sz w:val="20"/>
              </w:rPr>
              <w:t>Catalogue d'examens</w:t>
            </w:r>
          </w:p>
        </w:tc>
        <w:tc>
          <w:tcPr>
            <w:tcW w:type="dxa" w:w="5100"/>
            <w:shd w:val="clear" w:color="auto" w:fill="E8EEF0"/>
          </w:tcPr>
          <w:p>
            <w:r>
              <w:rPr>
                <w:sz w:val="20"/>
              </w:rPr>
              <w:t>Recherche d'examens, examens liés, liste des séries.</w:t>
            </w:r>
          </w:p>
        </w:tc>
        <w:tc>
          <w:tcPr>
            <w:tcW w:type="dxa" w:w="700"/>
            <w:shd w:val="clear" w:color="auto" w:fill="E8EEF0"/>
          </w:tcPr>
          <w:p>
            <w:r>
              <w:rPr>
                <w:sz w:val="20"/>
              </w:rPr>
              <w:t>3</w:t>
            </w:r>
          </w:p>
        </w:tc>
        <w:tc>
          <w:tcPr>
            <w:tcW w:type="dxa" w:w="1400"/>
            <w:shd w:val="clear" w:color="auto" w:fill="E8EEF0"/>
          </w:tcPr>
          <w:p>
            <w:r>
              <w:rPr>
                <w:sz w:val="20"/>
              </w:rPr>
              <w:t>3/3</w:t>
            </w:r>
          </w:p>
        </w:tc>
      </w:tr>
      <w:tr>
        <w:tc>
          <w:tcPr>
            <w:tcW w:type="dxa" w:w="2100"/>
          </w:tcPr>
          <w:p>
            <w:r>
              <w:rPr>
                <w:b/>
                <w:color w:val="264653"/>
                <w:sz w:val="20"/>
              </w:rPr>
              <w:t>Équivalence Dixon / mutools (intégration, données réelles)</w:t>
            </w:r>
          </w:p>
        </w:tc>
        <w:tc>
          <w:tcPr>
            <w:tcW w:type="dxa" w:w="5100"/>
          </w:tcPr>
          <w:p>
            <w:r>
              <w:rPr>
                <w:sz w:val="20"/>
              </w:rPr>
              <w:t>16 muscles : NPIX et FF conformes à la référence mutools dans les tolérances.</w:t>
            </w:r>
          </w:p>
        </w:tc>
        <w:tc>
          <w:tcPr>
            <w:tcW w:type="dxa" w:w="700"/>
          </w:tcPr>
          <w:p>
            <w:r>
              <w:rPr>
                <w:sz w:val="20"/>
              </w:rPr>
              <w:t>1</w:t>
            </w:r>
          </w:p>
        </w:tc>
        <w:tc>
          <w:tcPr>
            <w:tcW w:type="dxa" w:w="1400"/>
          </w:tcPr>
          <w:p>
            <w:r>
              <w:rPr>
                <w:sz w:val="20"/>
              </w:rPr>
              <w:t>1/1</w:t>
            </w:r>
          </w:p>
        </w:tc>
      </w:tr>
      <w:tr>
        <w:tc>
          <w:tcPr>
            <w:tcW w:type="dxa" w:w="2100"/>
            <w:shd w:val="clear" w:color="auto" w:fill="E8EEF0"/>
          </w:tcPr>
          <w:p>
            <w:r>
              <w:rPr>
                <w:b/>
                <w:color w:val="264653"/>
                <w:sz w:val="20"/>
              </w:rPr>
              <w:t>Écriture des résultats (muReport)</w:t>
            </w:r>
          </w:p>
        </w:tc>
        <w:tc>
          <w:tcPr>
            <w:tcW w:type="dxa" w:w="5100"/>
            <w:shd w:val="clear" w:color="auto" w:fill="E8EEF0"/>
          </w:tcPr>
          <w:p>
            <w:r>
              <w:rPr>
                <w:sz w:val="20"/>
              </w:rPr>
              <w:t>Tableau mutools vers JSON : un muscle par nom et côté, valeurs inchangées, coupes triées, métadonnées et décision QC transmises, nom du fichier.</w:t>
            </w:r>
          </w:p>
        </w:tc>
        <w:tc>
          <w:tcPr>
            <w:tcW w:type="dxa" w:w="700"/>
            <w:shd w:val="clear" w:color="auto" w:fill="E8EEF0"/>
          </w:tcPr>
          <w:p>
            <w:r>
              <w:rPr>
                <w:sz w:val="20"/>
              </w:rPr>
              <w:t>14</w:t>
            </w:r>
          </w:p>
        </w:tc>
        <w:tc>
          <w:tcPr>
            <w:tcW w:type="dxa" w:w="1400"/>
            <w:shd w:val="clear" w:color="auto" w:fill="E8EEF0"/>
          </w:tcPr>
          <w:p>
            <w:r>
              <w:rPr>
                <w:sz w:val="20"/>
              </w:rPr>
              <w:t>14/14</w:t>
            </w:r>
          </w:p>
        </w:tc>
      </w:tr>
      <w:tr>
        <w:tc>
          <w:tcPr>
            <w:tcW w:type="dxa" w:w="2100"/>
          </w:tcPr>
          <w:p>
            <w:r>
              <w:rPr>
                <w:b/>
                <w:color w:val="264653"/>
                <w:sz w:val="20"/>
              </w:rPr>
              <w:t>Génération du rapport (muReport)</w:t>
            </w:r>
          </w:p>
        </w:tc>
        <w:tc>
          <w:tcPr>
            <w:tcW w:type="dxa" w:w="5100"/>
          </w:tcPr>
          <w:p>
            <w:r>
              <w:rPr>
                <w:sz w:val="20"/>
              </w:rPr>
              <w:t>Erreur explicite si aucun PDF n'est produit ; jamais d'ancien PDF renvoyé.</w:t>
            </w:r>
          </w:p>
        </w:tc>
        <w:tc>
          <w:tcPr>
            <w:tcW w:type="dxa" w:w="700"/>
          </w:tcPr>
          <w:p>
            <w:r>
              <w:rPr>
                <w:sz w:val="20"/>
              </w:rPr>
              <w:t>2</w:t>
            </w:r>
          </w:p>
        </w:tc>
        <w:tc>
          <w:tcPr>
            <w:tcW w:type="dxa" w:w="1400"/>
          </w:tcPr>
          <w:p>
            <w:r>
              <w:rPr>
                <w:sz w:val="20"/>
              </w:rPr>
              <w:t>2/2</w:t>
            </w:r>
          </w:p>
        </w:tc>
      </w:tr>
      <w:tr>
        <w:tc>
          <w:tcPr>
            <w:tcW w:type="dxa" w:w="2100"/>
            <w:shd w:val="clear" w:color="auto" w:fill="E8EEF0"/>
          </w:tcPr>
          <w:p>
            <w:r>
              <w:rPr>
                <w:b/>
                <w:color w:val="264653"/>
                <w:sz w:val="20"/>
              </w:rPr>
              <w:t>Lecture des résultats (medical_report)</w:t>
            </w:r>
          </w:p>
        </w:tc>
        <w:tc>
          <w:tcPr>
            <w:tcW w:type="dxa" w:w="5100"/>
            <w:shd w:val="clear" w:color="auto" w:fill="E8EEF0"/>
          </w:tcPr>
          <w:p>
            <w:r>
              <w:rPr>
                <w:sz w:val="20"/>
              </w:rPr>
              <w:t>Examen le plus récent ou à la date demandée ; valeurs et identité lues sans modification ; jamais un autre patient, segment ou version ; fichier corrompu ignoré.</w:t>
            </w:r>
          </w:p>
        </w:tc>
        <w:tc>
          <w:tcPr>
            <w:tcW w:type="dxa" w:w="700"/>
            <w:shd w:val="clear" w:color="auto" w:fill="E8EEF0"/>
          </w:tcPr>
          <w:p>
            <w:r>
              <w:rPr>
                <w:sz w:val="20"/>
              </w:rPr>
              <w:t>8</w:t>
            </w:r>
          </w:p>
        </w:tc>
        <w:tc>
          <w:tcPr>
            <w:tcW w:type="dxa" w:w="1400"/>
            <w:shd w:val="clear" w:color="auto" w:fill="E8EEF0"/>
          </w:tcPr>
          <w:p>
            <w:r>
              <w:rPr>
                <w:sz w:val="20"/>
              </w:rPr>
              <w:t>8/8</w:t>
            </w:r>
          </w:p>
        </w:tc>
      </w:tr>
      <w:tr>
        <w:tc>
          <w:tcPr>
            <w:tcW w:type="dxa" w:w="2100"/>
          </w:tcPr>
          <w:p>
            <w:r>
              <w:rPr>
                <w:b/>
                <w:color w:val="264653"/>
                <w:sz w:val="20"/>
              </w:rPr>
              <w:t>Versions et antécédents (medical_report)</w:t>
            </w:r>
          </w:p>
        </w:tc>
        <w:tc>
          <w:tcPr>
            <w:tcW w:type="dxa" w:w="5100"/>
          </w:tcPr>
          <w:p>
            <w:r>
              <w:rPr>
                <w:sz w:val="20"/>
              </w:rPr>
              <w:t>Règles de version (≥, ≤, exacte), méthode dont le nom contient « _ », version la plus récente (1.10 &gt; 1.9) ; antécédents antérieurs, du même patient, du plus ancien au plus récent.</w:t>
            </w:r>
          </w:p>
        </w:tc>
        <w:tc>
          <w:tcPr>
            <w:tcW w:type="dxa" w:w="700"/>
          </w:tcPr>
          <w:p>
            <w:r>
              <w:rPr>
                <w:sz w:val="20"/>
              </w:rPr>
              <w:t>12</w:t>
            </w:r>
          </w:p>
        </w:tc>
        <w:tc>
          <w:tcPr>
            <w:tcW w:type="dxa" w:w="1400"/>
          </w:tcPr>
          <w:p>
            <w:r>
              <w:rPr>
                <w:sz w:val="20"/>
              </w:rPr>
              <w:t>12/12</w:t>
            </w:r>
          </w:p>
        </w:tc>
      </w:tr>
      <w:tr>
        <w:tc>
          <w:tcPr>
            <w:tcW w:type="dxa" w:w="2100"/>
            <w:shd w:val="clear" w:color="auto" w:fill="E8EEF0"/>
          </w:tcPr>
          <w:p>
            <w:r>
              <w:rPr>
                <w:b/>
                <w:color w:val="264653"/>
                <w:sz w:val="20"/>
              </w:rPr>
              <w:t>Commentaire T2 (medical_report)</w:t>
            </w:r>
          </w:p>
        </w:tc>
        <w:tc>
          <w:tcPr>
            <w:tcW w:type="dxa" w:w="5100"/>
            <w:shd w:val="clear" w:color="auto" w:fill="E8EEF0"/>
          </w:tcPr>
          <w:p>
            <w:r>
              <w:rPr>
                <w:sz w:val="20"/>
              </w:rPr>
              <w:t>Phrase choisie selon le nombre de muscles ≥ 39 ms, seuil inclusif, muscle nommé, français et anglais, même seuil partout. Phrase « normale limite » jamais affichée.</w:t>
            </w:r>
          </w:p>
        </w:tc>
        <w:tc>
          <w:tcPr>
            <w:tcW w:type="dxa" w:w="700"/>
            <w:shd w:val="clear" w:color="auto" w:fill="E8EEF0"/>
          </w:tcPr>
          <w:p>
            <w:r>
              <w:rPr>
                <w:sz w:val="20"/>
              </w:rPr>
              <w:t>12</w:t>
            </w:r>
          </w:p>
        </w:tc>
        <w:tc>
          <w:tcPr>
            <w:tcW w:type="dxa" w:w="1400"/>
            <w:shd w:val="clear" w:color="auto" w:fill="E8EEF0"/>
          </w:tcPr>
          <w:p>
            <w:r>
              <w:rPr>
                <w:sz w:val="20"/>
              </w:rPr>
              <w:t>11/11 + 1 échec attendu</w:t>
            </w:r>
          </w:p>
        </w:tc>
      </w:tr>
      <w:tr>
        <w:tc>
          <w:tcPr>
            <w:tcW w:type="dxa" w:w="2100"/>
          </w:tcPr>
          <w:p>
            <w:r>
              <w:rPr>
                <w:b/>
                <w:color w:val="264653"/>
                <w:sz w:val="20"/>
              </w:rPr>
              <w:t>Synthèse d'évolution (medical_report)</w:t>
            </w:r>
          </w:p>
        </w:tc>
        <w:tc>
          <w:tcPr>
            <w:tcW w:type="dxa" w:w="5100"/>
          </w:tcPr>
          <w:p>
            <w:r>
              <w:rPr>
                <w:sz w:val="20"/>
              </w:rPr>
              <w:t>Évolution T2 (ms) et FF (points), arrondi et seuils, valeur manquante, appariement des muscles, franchissement du seuil T2, classement des muscles.</w:t>
            </w:r>
          </w:p>
        </w:tc>
        <w:tc>
          <w:tcPr>
            <w:tcW w:type="dxa" w:w="700"/>
          </w:tcPr>
          <w:p>
            <w:r>
              <w:rPr>
                <w:sz w:val="20"/>
              </w:rPr>
              <w:t>20</w:t>
            </w:r>
          </w:p>
        </w:tc>
        <w:tc>
          <w:tcPr>
            <w:tcW w:type="dxa" w:w="1400"/>
          </w:tcPr>
          <w:p>
            <w:r>
              <w:rPr>
                <w:sz w:val="20"/>
              </w:rPr>
              <w:t>20/20</w:t>
            </w:r>
          </w:p>
        </w:tc>
      </w:tr>
      <w:tr>
        <w:tc>
          <w:tcPr>
            <w:tcW w:type="dxa" w:w="2100"/>
            <w:shd w:val="clear" w:color="auto" w:fill="E8EEF0"/>
          </w:tcPr>
          <w:p>
            <w:r>
              <w:rPr>
                <w:b/>
                <w:color w:val="264653"/>
                <w:sz w:val="20"/>
              </w:rPr>
              <w:t>Anonymisation et pseudonymisation (dicom)</w:t>
            </w:r>
          </w:p>
        </w:tc>
        <w:tc>
          <w:tcPr>
            <w:tcW w:type="dxa" w:w="5100"/>
            <w:shd w:val="clear" w:color="auto" w:fill="E8EEF0"/>
          </w:tcPr>
          <w:p>
            <w:r>
              <w:rPr>
                <w:sz w:val="20"/>
              </w:rPr>
              <w:t>Données démographiques supprimées ; nom remplacé par un pseudonyme stable d'un run à l'autre ; date de naissance et sexe vidés ; table de correspondance sans le nom.</w:t>
            </w:r>
          </w:p>
        </w:tc>
        <w:tc>
          <w:tcPr>
            <w:tcW w:type="dxa" w:w="700"/>
            <w:shd w:val="clear" w:color="auto" w:fill="E8EEF0"/>
          </w:tcPr>
          <w:p>
            <w:r>
              <w:rPr>
                <w:sz w:val="20"/>
              </w:rPr>
              <w:t>11</w:t>
            </w:r>
          </w:p>
        </w:tc>
        <w:tc>
          <w:tcPr>
            <w:tcW w:type="dxa" w:w="1400"/>
            <w:shd w:val="clear" w:color="auto" w:fill="E8EEF0"/>
          </w:tcPr>
          <w:p>
            <w:r>
              <w:rPr>
                <w:sz w:val="20"/>
              </w:rPr>
              <w:t>11/11</w:t>
            </w:r>
          </w:p>
        </w:tc>
      </w:tr>
      <w:tr>
        <w:tc>
          <w:tcPr>
            <w:tcW w:type="dxa" w:w="2100"/>
          </w:tcPr>
          <w:p>
            <w:r>
              <w:rPr>
                <w:b/>
                <w:color w:val="264653"/>
                <w:sz w:val="20"/>
              </w:rPr>
              <w:t>Requête et sélection des séries (dicom)</w:t>
            </w:r>
          </w:p>
        </w:tc>
        <w:tc>
          <w:tcPr>
            <w:tcW w:type="dxa" w:w="5100"/>
          </w:tcPr>
          <w:p>
            <w:r>
              <w:rPr>
                <w:sz w:val="20"/>
              </w:rPr>
              <w:t>Critères transmis au PACS, informations demandées en retour ; 2 séries les plus anciennes, la plus récente, séries sans date écartées.</w:t>
            </w:r>
          </w:p>
        </w:tc>
        <w:tc>
          <w:tcPr>
            <w:tcW w:type="dxa" w:w="700"/>
          </w:tcPr>
          <w:p>
            <w:r>
              <w:rPr>
                <w:sz w:val="20"/>
              </w:rPr>
              <w:t>11</w:t>
            </w:r>
          </w:p>
        </w:tc>
        <w:tc>
          <w:tcPr>
            <w:tcW w:type="dxa" w:w="1400"/>
          </w:tcPr>
          <w:p>
            <w:r>
              <w:rPr>
                <w:sz w:val="20"/>
              </w:rPr>
              <w:t>11/11</w:t>
            </w:r>
          </w:p>
        </w:tc>
      </w:tr>
      <w:tr>
        <w:tc>
          <w:tcPr>
            <w:tcW w:type="dxa" w:w="2100"/>
            <w:shd w:val="clear" w:color="auto" w:fill="E8EEF0"/>
          </w:tcPr>
          <w:p>
            <w:r>
              <w:rPr>
                <w:b/>
                <w:color w:val="264653"/>
                <w:sz w:val="20"/>
              </w:rPr>
              <w:t>Réception (dicom)</w:t>
            </w:r>
          </w:p>
        </w:tc>
        <w:tc>
          <w:tcPr>
            <w:tcW w:type="dxa" w:w="5100"/>
            <w:shd w:val="clear" w:color="auto" w:fill="E8EEF0"/>
          </w:tcPr>
          <w:p>
            <w:r>
              <w:rPr>
                <w:sz w:val="20"/>
              </w:rPr>
              <w:t>Noms de dossiers valides, tri par patient puis par série, dossier de transit vidé, series_metadata.json, lecture de la liste de patients (Excel, CSV).</w:t>
            </w:r>
          </w:p>
        </w:tc>
        <w:tc>
          <w:tcPr>
            <w:tcW w:type="dxa" w:w="700"/>
            <w:shd w:val="clear" w:color="auto" w:fill="E8EEF0"/>
          </w:tcPr>
          <w:p>
            <w:r>
              <w:rPr>
                <w:sz w:val="20"/>
              </w:rPr>
              <w:t>10</w:t>
            </w:r>
          </w:p>
        </w:tc>
        <w:tc>
          <w:tcPr>
            <w:tcW w:type="dxa" w:w="1400"/>
            <w:shd w:val="clear" w:color="auto" w:fill="E8EEF0"/>
          </w:tcPr>
          <w:p>
            <w:r>
              <w:rPr>
                <w:sz w:val="20"/>
              </w:rPr>
              <w:t>10/10</w:t>
            </w:r>
          </w:p>
        </w:tc>
      </w:tr>
      <w:tr>
        <w:tc>
          <w:tcPr>
            <w:tcW w:type="dxa" w:w="2100"/>
          </w:tcPr>
          <w:p>
            <w:r>
              <w:rPr>
                <w:b/>
                <w:color w:val="264653"/>
                <w:sz w:val="20"/>
              </w:rPr>
              <w:t>Rapport de bout en bout (intégration)</w:t>
            </w:r>
          </w:p>
        </w:tc>
        <w:tc>
          <w:tcPr>
            <w:tcW w:type="dxa" w:w="5100"/>
          </w:tcPr>
          <w:p>
            <w:r>
              <w:rPr>
                <w:sz w:val="20"/>
              </w:rPr>
              <w:t>PDF produit ; date d'examen ; chaque valeur FF et T2 des tableaux sur le bon muscle et le bon côté (jambes, cuisses) ; commentaire T2 ; évolution par rapport à l'examen antérieur. Identité du patient et muscles AB, BF_SH : non affichés.</w:t>
            </w:r>
          </w:p>
        </w:tc>
        <w:tc>
          <w:tcPr>
            <w:tcW w:type="dxa" w:w="700"/>
          </w:tcPr>
          <w:p>
            <w:r>
              <w:rPr>
                <w:sz w:val="20"/>
              </w:rPr>
              <w:t>14</w:t>
            </w:r>
          </w:p>
        </w:tc>
        <w:tc>
          <w:tcPr>
            <w:tcW w:type="dxa" w:w="1400"/>
          </w:tcPr>
          <w:p>
            <w:r>
              <w:rPr>
                <w:sz w:val="20"/>
              </w:rPr>
              <w:t>12/12 + 2 échecs attendus</w:t>
            </w:r>
          </w:p>
        </w:tc>
      </w:tr>
      <w:tr>
        <w:tc>
          <w:tcPr>
            <w:tcW w:type="dxa" w:w="2100"/>
            <w:shd w:val="clear" w:color="auto" w:fill="E8EEF0"/>
          </w:tcPr>
          <w:p>
            <w:r>
              <w:rPr>
                <w:b/>
                <w:color w:val="264653"/>
                <w:sz w:val="20"/>
              </w:rPr>
              <w:t>Ligne de commande</w:t>
            </w:r>
          </w:p>
        </w:tc>
        <w:tc>
          <w:tcPr>
            <w:tcW w:type="dxa" w:w="5100"/>
            <w:shd w:val="clear" w:color="auto" w:fill="E8EEF0"/>
          </w:tcPr>
          <w:p>
            <w:r>
              <w:rPr>
                <w:sz w:val="20"/>
              </w:rPr>
              <w:t>Chaque option transmise au pipeline, valeurs par défaut, option obligatoire manquante refusée et nommée, messages de fin, erreurs propres ; process et report de bout en bout. Saisie mal formée et dossier inexistant : message non explicite.</w:t>
            </w:r>
          </w:p>
        </w:tc>
        <w:tc>
          <w:tcPr>
            <w:tcW w:type="dxa" w:w="700"/>
            <w:shd w:val="clear" w:color="auto" w:fill="E8EEF0"/>
          </w:tcPr>
          <w:p>
            <w:r>
              <w:rPr>
                <w:sz w:val="20"/>
              </w:rPr>
              <w:t>17</w:t>
            </w:r>
          </w:p>
        </w:tc>
        <w:tc>
          <w:tcPr>
            <w:tcW w:type="dxa" w:w="1400"/>
            <w:shd w:val="clear" w:color="auto" w:fill="E8EEF0"/>
          </w:tcPr>
          <w:p>
            <w:r>
              <w:rPr>
                <w:sz w:val="20"/>
              </w:rPr>
              <w:t>15/15 + 2 échecs attendus</w:t>
            </w:r>
          </w:p>
        </w:tc>
      </w:tr>
      <w:tr>
        <w:tc>
          <w:tcPr>
            <w:tcW w:type="dxa" w:w="2100"/>
          </w:tcPr>
          <w:p>
            <w:r>
              <w:rPr>
                <w:b/>
                <w:color w:val="264653"/>
                <w:sz w:val="20"/>
              </w:rPr>
              <w:t>Images QC et extraction par muscle</w:t>
            </w:r>
          </w:p>
        </w:tc>
        <w:tc>
          <w:tcPr>
            <w:tcW w:type="dxa" w:w="5100"/>
          </w:tcPr>
          <w:p>
            <w:r>
              <w:rPr>
                <w:sz w:val="20"/>
              </w:rPr>
              <w:t>Image de contrôle indépendante de l'orientation stockée, une image GIF par coupe, ROI dessinée ; FF et T2 moyens par muscle, érosion des bords, voxels hors limites exclus (FF hors [0, 1], T2 hors 15-70 ms).</w:t>
            </w:r>
          </w:p>
        </w:tc>
        <w:tc>
          <w:tcPr>
            <w:tcW w:type="dxa" w:w="700"/>
          </w:tcPr>
          <w:p>
            <w:r>
              <w:rPr>
                <w:sz w:val="20"/>
              </w:rPr>
              <w:t>15</w:t>
            </w:r>
          </w:p>
        </w:tc>
        <w:tc>
          <w:tcPr>
            <w:tcW w:type="dxa" w:w="1400"/>
          </w:tcPr>
          <w:p>
            <w:r>
              <w:rPr>
                <w:sz w:val="20"/>
              </w:rPr>
              <w:t>15/15</w:t>
            </w:r>
          </w:p>
        </w:tc>
      </w:tr>
      <w:tr>
        <w:tc>
          <w:tcPr>
            <w:tcW w:type="dxa" w:w="2100"/>
            <w:shd w:val="clear" w:color="auto" w:fill="E8EEF0"/>
          </w:tcPr>
          <w:p>
            <w:r>
              <w:rPr>
                <w:b/>
                <w:color w:val="264653"/>
                <w:sz w:val="20"/>
              </w:rPr>
              <w:t>Total</w:t>
            </w:r>
          </w:p>
        </w:tc>
        <w:tc>
          <w:tcPr>
            <w:tcW w:type="dxa" w:w="5100"/>
            <w:shd w:val="clear" w:color="auto" w:fill="E8EEF0"/>
          </w:tcPr>
          <w:p>
            <w:r>
              <w:rPr>
                <w:sz w:val="20"/>
              </w:rPr>
            </w:r>
          </w:p>
        </w:tc>
        <w:tc>
          <w:tcPr>
            <w:tcW w:type="dxa" w:w="700"/>
            <w:shd w:val="clear" w:color="auto" w:fill="E8EEF0"/>
          </w:tcPr>
          <w:p>
            <w:r>
              <w:rPr>
                <w:sz w:val="20"/>
              </w:rPr>
              <w:t>231</w:t>
            </w:r>
          </w:p>
        </w:tc>
        <w:tc>
          <w:tcPr>
            <w:tcW w:type="dxa" w:w="1400"/>
            <w:shd w:val="clear" w:color="auto" w:fill="E8EEF0"/>
          </w:tcPr>
          <w:p>
            <w:r>
              <w:rPr>
                <w:sz w:val="20"/>
              </w:rPr>
              <w:t>225 réussis, 6 échecs attendus</w:t>
            </w:r>
          </w:p>
        </w:tc>
      </w:tr>
    </w:tbl>
    <w:p>
      <w:pPr>
        <w:spacing w:after="40"/>
      </w:pPr>
    </w:p>
    <w:p>
      <w:pPr>
        <w:pStyle w:val="Heading1"/>
      </w:pPr>
      <w:r>
        <w:t>5. Historique des exécutions</w:t>
      </w:r>
    </w:p>
    <w:tbl>
      <w:tblPr>
        <w:tblStyle w:val="TableGrid"/>
        <w:tblW w:type="auto" w:w="0"/>
        <w:jc w:val="center"/>
        <w:tblLook w:firstColumn="1" w:firstRow="1" w:lastColumn="0" w:lastRow="0" w:noHBand="0" w:noVBand="1" w:val="04A0"/>
      </w:tblPr>
      <w:tblGrid>
        <w:gridCol w:w="1936"/>
        <w:gridCol w:w="1936"/>
        <w:gridCol w:w="1936"/>
        <w:gridCol w:w="1936"/>
        <w:gridCol w:w="1936"/>
      </w:tblGrid>
      <w:tr>
        <w:tc>
          <w:tcPr>
            <w:tcW w:type="dxa" w:w="1200"/>
            <w:shd w:val="clear" w:color="auto" w:fill="264653"/>
          </w:tcPr>
          <w:p>
            <w:r>
              <w:rPr>
                <w:b/>
                <w:color w:val="FFFFFF"/>
                <w:sz w:val="20"/>
              </w:rPr>
              <w:t>Date</w:t>
            </w:r>
          </w:p>
        </w:tc>
        <w:tc>
          <w:tcPr>
            <w:tcW w:type="dxa" w:w="1400"/>
            <w:shd w:val="clear" w:color="auto" w:fill="264653"/>
          </w:tcPr>
          <w:p>
            <w:r>
              <w:rPr>
                <w:b/>
                <w:color w:val="FFFFFF"/>
                <w:sz w:val="20"/>
              </w:rPr>
              <w:t>Lieu</w:t>
            </w:r>
          </w:p>
        </w:tc>
        <w:tc>
          <w:tcPr>
            <w:tcW w:type="dxa" w:w="4600"/>
            <w:shd w:val="clear" w:color="auto" w:fill="264653"/>
          </w:tcPr>
          <w:p>
            <w:r>
              <w:rPr>
                <w:b/>
                <w:color w:val="FFFFFF"/>
                <w:sz w:val="20"/>
              </w:rPr>
              <w:t>Résultat</w:t>
            </w:r>
          </w:p>
        </w:tc>
        <w:tc>
          <w:tcPr>
            <w:tcW w:type="dxa" w:w="800"/>
            <w:shd w:val="clear" w:color="auto" w:fill="264653"/>
          </w:tcPr>
          <w:p>
            <w:r>
              <w:rPr>
                <w:b/>
                <w:color w:val="FFFFFF"/>
                <w:sz w:val="20"/>
              </w:rPr>
              <w:t>Verdict</w:t>
            </w:r>
          </w:p>
        </w:tc>
        <w:tc>
          <w:tcPr>
            <w:tcW w:type="dxa" w:w="1100"/>
            <w:shd w:val="clear" w:color="auto" w:fill="264653"/>
          </w:tcPr>
          <w:p>
            <w:r>
              <w:rPr>
                <w:b/>
                <w:color w:val="FFFFFF"/>
                <w:sz w:val="20"/>
              </w:rPr>
              <w:t>Commit</w:t>
            </w:r>
          </w:p>
        </w:tc>
      </w:tr>
      <w:tr>
        <w:tc>
          <w:tcPr>
            <w:tcW w:type="dxa" w:w="1200"/>
          </w:tcPr>
          <w:p>
            <w:r>
              <w:rPr>
                <w:b/>
                <w:color w:val="264653"/>
                <w:sz w:val="20"/>
              </w:rPr>
              <w:t>22/10/2026</w:t>
            </w:r>
          </w:p>
        </w:tc>
        <w:tc>
          <w:tcPr>
            <w:tcW w:type="dxa" w:w="1400"/>
          </w:tcPr>
          <w:p>
            <w:r>
              <w:rPr>
                <w:sz w:val="20"/>
              </w:rPr>
              <w:t>PC (sans Docker)</w:t>
            </w:r>
          </w:p>
        </w:tc>
        <w:tc>
          <w:tcPr>
            <w:tcW w:type="dxa" w:w="4600"/>
          </w:tcPr>
          <w:p>
            <w:r>
              <w:rPr>
                <w:sz w:val="20"/>
              </w:rPr>
              <w:t>83 réussis, 1 échec attendu, 1 non exécuté (équivalence Dixon)</w:t>
            </w:r>
          </w:p>
        </w:tc>
        <w:tc>
          <w:tcPr>
            <w:tcW w:type="dxa" w:w="800"/>
          </w:tcPr>
          <w:p>
            <w:r>
              <w:rPr>
                <w:sz w:val="20"/>
              </w:rPr>
              <w:t>Pass</w:t>
            </w:r>
          </w:p>
        </w:tc>
        <w:tc>
          <w:tcPr>
            <w:tcW w:type="dxa" w:w="1100"/>
          </w:tcPr>
          <w:p>
            <w:r>
              <w:rPr>
                <w:sz w:val="20"/>
              </w:rPr>
              <w:t>7969096</w:t>
            </w:r>
          </w:p>
        </w:tc>
      </w:tr>
      <w:tr>
        <w:tc>
          <w:tcPr>
            <w:tcW w:type="dxa" w:w="1200"/>
            <w:shd w:val="clear" w:color="auto" w:fill="E8EEF0"/>
          </w:tcPr>
          <w:p>
            <w:r>
              <w:rPr>
                <w:b/>
                <w:color w:val="264653"/>
                <w:sz w:val="20"/>
              </w:rPr>
              <w:t>22/10/2026</w:t>
            </w:r>
          </w:p>
        </w:tc>
        <w:tc>
          <w:tcPr>
            <w:tcW w:type="dxa" w:w="1400"/>
            <w:shd w:val="clear" w:color="auto" w:fill="E8EEF0"/>
          </w:tcPr>
          <w:p>
            <w:r>
              <w:rPr>
                <w:sz w:val="20"/>
              </w:rPr>
              <w:t>Prométhée</w:t>
            </w:r>
          </w:p>
        </w:tc>
        <w:tc>
          <w:tcPr>
            <w:tcW w:type="dxa" w:w="4600"/>
            <w:shd w:val="clear" w:color="auto" w:fill="E8EEF0"/>
          </w:tcPr>
          <w:p>
            <w:r>
              <w:rPr>
                <w:sz w:val="20"/>
              </w:rPr>
              <w:t>Équivalence Dixon : écart NPIX de 1 à 5 px sur 10 muscles, FF conforme → incident</w:t>
            </w:r>
          </w:p>
        </w:tc>
        <w:tc>
          <w:tcPr>
            <w:tcW w:type="dxa" w:w="800"/>
            <w:shd w:val="clear" w:color="auto" w:fill="E8EEF0"/>
          </w:tcPr>
          <w:p>
            <w:r>
              <w:rPr>
                <w:sz w:val="20"/>
              </w:rPr>
              <w:t>Fail</w:t>
            </w:r>
          </w:p>
        </w:tc>
        <w:tc>
          <w:tcPr>
            <w:tcW w:type="dxa" w:w="1100"/>
            <w:shd w:val="clear" w:color="auto" w:fill="E8EEF0"/>
          </w:tcPr>
          <w:p>
            <w:r>
              <w:rPr>
                <w:sz w:val="20"/>
              </w:rPr>
              <w:t>7969096</w:t>
            </w:r>
          </w:p>
        </w:tc>
      </w:tr>
      <w:tr>
        <w:tc>
          <w:tcPr>
            <w:tcW w:type="dxa" w:w="1200"/>
          </w:tcPr>
          <w:p>
            <w:r>
              <w:rPr>
                <w:b/>
                <w:color w:val="264653"/>
                <w:sz w:val="20"/>
              </w:rPr>
              <w:t>22/10/2026</w:t>
            </w:r>
          </w:p>
        </w:tc>
        <w:tc>
          <w:tcPr>
            <w:tcW w:type="dxa" w:w="1400"/>
          </w:tcPr>
          <w:p>
            <w:r>
              <w:rPr>
                <w:sz w:val="20"/>
              </w:rPr>
              <w:t>Prométhée</w:t>
            </w:r>
          </w:p>
        </w:tc>
        <w:tc>
          <w:tcPr>
            <w:tcW w:type="dxa" w:w="4600"/>
          </w:tcPr>
          <w:p>
            <w:r>
              <w:rPr>
                <w:sz w:val="20"/>
              </w:rPr>
              <w:t>Après fixation de la tolérance NPIX : 84 réussis, 1 échec attendu</w:t>
            </w:r>
          </w:p>
        </w:tc>
        <w:tc>
          <w:tcPr>
            <w:tcW w:type="dxa" w:w="800"/>
          </w:tcPr>
          <w:p>
            <w:r>
              <w:rPr>
                <w:sz w:val="20"/>
              </w:rPr>
              <w:t>Pass</w:t>
            </w:r>
          </w:p>
        </w:tc>
        <w:tc>
          <w:tcPr>
            <w:tcW w:type="dxa" w:w="1100"/>
          </w:tcPr>
          <w:p>
            <w:r>
              <w:rPr>
                <w:sz w:val="20"/>
              </w:rPr>
              <w:t>37c3b0b</w:t>
            </w:r>
          </w:p>
        </w:tc>
      </w:tr>
      <w:tr>
        <w:tc>
          <w:tcPr>
            <w:tcW w:type="dxa" w:w="1200"/>
            <w:shd w:val="clear" w:color="auto" w:fill="E8EEF0"/>
          </w:tcPr>
          <w:p>
            <w:r>
              <w:rPr>
                <w:b/>
                <w:color w:val="264653"/>
                <w:sz w:val="20"/>
              </w:rPr>
              <w:t>22/10/2026</w:t>
            </w:r>
          </w:p>
        </w:tc>
        <w:tc>
          <w:tcPr>
            <w:tcW w:type="dxa" w:w="1400"/>
            <w:shd w:val="clear" w:color="auto" w:fill="E8EEF0"/>
          </w:tcPr>
          <w:p>
            <w:r>
              <w:rPr>
                <w:sz w:val="20"/>
              </w:rPr>
              <w:t>Prométhée</w:t>
            </w:r>
          </w:p>
        </w:tc>
        <w:tc>
          <w:tcPr>
            <w:tcW w:type="dxa" w:w="4600"/>
            <w:shd w:val="clear" w:color="auto" w:fill="E8EEF0"/>
          </w:tcPr>
          <w:p>
            <w:r>
              <w:rPr>
                <w:sz w:val="20"/>
              </w:rPr>
              <w:t>Périmètre étendu aux 3 briques : non exécuté, paquet dicom non installé (environnement)</w:t>
            </w:r>
          </w:p>
        </w:tc>
        <w:tc>
          <w:tcPr>
            <w:tcW w:type="dxa" w:w="800"/>
            <w:shd w:val="clear" w:color="auto" w:fill="E8EEF0"/>
          </w:tcPr>
          <w:p>
            <w:r>
              <w:rPr>
                <w:sz w:val="20"/>
              </w:rPr>
              <w:t>Fail</w:t>
            </w:r>
          </w:p>
        </w:tc>
        <w:tc>
          <w:tcPr>
            <w:tcW w:type="dxa" w:w="1100"/>
            <w:shd w:val="clear" w:color="auto" w:fill="E8EEF0"/>
          </w:tcPr>
          <w:p>
            <w:r>
              <w:rPr>
                <w:sz w:val="20"/>
              </w:rPr>
              <w:t>f67bce4</w:t>
            </w:r>
          </w:p>
        </w:tc>
      </w:tr>
      <w:tr>
        <w:tc>
          <w:tcPr>
            <w:tcW w:type="dxa" w:w="1200"/>
          </w:tcPr>
          <w:p>
            <w:r>
              <w:rPr>
                <w:b/>
                <w:color w:val="264653"/>
                <w:sz w:val="20"/>
              </w:rPr>
              <w:t>22/10/2026</w:t>
            </w:r>
          </w:p>
        </w:tc>
        <w:tc>
          <w:tcPr>
            <w:tcW w:type="dxa" w:w="1400"/>
          </w:tcPr>
          <w:p>
            <w:r>
              <w:rPr>
                <w:sz w:val="20"/>
              </w:rPr>
              <w:t>Prométhée</w:t>
            </w:r>
          </w:p>
        </w:tc>
        <w:tc>
          <w:tcPr>
            <w:tcW w:type="dxa" w:w="4600"/>
          </w:tcPr>
          <w:p>
            <w:r>
              <w:rPr>
                <w:sz w:val="20"/>
              </w:rPr>
              <w:t>3 briques : 183 réussis, 2 échecs attendus</w:t>
            </w:r>
          </w:p>
        </w:tc>
        <w:tc>
          <w:tcPr>
            <w:tcW w:type="dxa" w:w="800"/>
          </w:tcPr>
          <w:p>
            <w:r>
              <w:rPr>
                <w:sz w:val="20"/>
              </w:rPr>
              <w:t>Pass</w:t>
            </w:r>
          </w:p>
        </w:tc>
        <w:tc>
          <w:tcPr>
            <w:tcW w:type="dxa" w:w="1100"/>
          </w:tcPr>
          <w:p>
            <w:r>
              <w:rPr>
                <w:sz w:val="20"/>
              </w:rPr>
              <w:t>f67bce4</w:t>
            </w:r>
          </w:p>
        </w:tc>
      </w:tr>
      <w:tr>
        <w:tc>
          <w:tcPr>
            <w:tcW w:type="dxa" w:w="1200"/>
            <w:shd w:val="clear" w:color="auto" w:fill="E8EEF0"/>
          </w:tcPr>
          <w:p>
            <w:r>
              <w:rPr>
                <w:b/>
                <w:color w:val="264653"/>
                <w:sz w:val="20"/>
              </w:rPr>
              <w:t>22/10/2026</w:t>
            </w:r>
          </w:p>
        </w:tc>
        <w:tc>
          <w:tcPr>
            <w:tcW w:type="dxa" w:w="1400"/>
            <w:shd w:val="clear" w:color="auto" w:fill="E8EEF0"/>
          </w:tcPr>
          <w:p>
            <w:r>
              <w:rPr>
                <w:sz w:val="20"/>
              </w:rPr>
              <w:t>Prométhée</w:t>
            </w:r>
          </w:p>
        </w:tc>
        <w:tc>
          <w:tcPr>
            <w:tcW w:type="dxa" w:w="4600"/>
            <w:shd w:val="clear" w:color="auto" w:fill="E8EEF0"/>
          </w:tcPr>
          <w:p>
            <w:r>
              <w:rPr>
                <w:sz w:val="20"/>
              </w:rPr>
              <w:t>Avec le test de bout en bout : 195 réussis, 4 échecs attendus</w:t>
            </w:r>
          </w:p>
        </w:tc>
        <w:tc>
          <w:tcPr>
            <w:tcW w:type="dxa" w:w="800"/>
            <w:shd w:val="clear" w:color="auto" w:fill="E8EEF0"/>
          </w:tcPr>
          <w:p>
            <w:r>
              <w:rPr>
                <w:sz w:val="20"/>
              </w:rPr>
              <w:t>Pass</w:t>
            </w:r>
          </w:p>
        </w:tc>
        <w:tc>
          <w:tcPr>
            <w:tcW w:type="dxa" w:w="1100"/>
            <w:shd w:val="clear" w:color="auto" w:fill="E8EEF0"/>
          </w:tcPr>
          <w:p>
            <w:r>
              <w:rPr>
                <w:sz w:val="20"/>
              </w:rPr>
              <w:t>b226714</w:t>
            </w:r>
          </w:p>
        </w:tc>
      </w:tr>
      <w:tr>
        <w:tc>
          <w:tcPr>
            <w:tcW w:type="dxa" w:w="1200"/>
          </w:tcPr>
          <w:p>
            <w:r>
              <w:rPr>
                <w:b/>
                <w:color w:val="264653"/>
                <w:sz w:val="20"/>
              </w:rPr>
              <w:t>22/10/2026</w:t>
            </w:r>
          </w:p>
        </w:tc>
        <w:tc>
          <w:tcPr>
            <w:tcW w:type="dxa" w:w="1400"/>
          </w:tcPr>
          <w:p>
            <w:r>
              <w:rPr>
                <w:sz w:val="20"/>
              </w:rPr>
              <w:t>Prométhée</w:t>
            </w:r>
          </w:p>
        </w:tc>
        <w:tc>
          <w:tcPr>
            <w:tcW w:type="dxa" w:w="4600"/>
          </w:tcPr>
          <w:p>
            <w:r>
              <w:rPr>
                <w:sz w:val="20"/>
              </w:rPr>
              <w:t>Avec CLI, QC et extraction ; code mort déplacé : 225 réussis, 6 échecs attendus</w:t>
            </w:r>
          </w:p>
        </w:tc>
        <w:tc>
          <w:tcPr>
            <w:tcW w:type="dxa" w:w="800"/>
          </w:tcPr>
          <w:p>
            <w:r>
              <w:rPr>
                <w:sz w:val="20"/>
              </w:rPr>
              <w:t>Pass</w:t>
            </w:r>
          </w:p>
        </w:tc>
        <w:tc>
          <w:tcPr>
            <w:tcW w:type="dxa" w:w="1100"/>
          </w:tcPr>
          <w:p>
            <w:r>
              <w:rPr>
                <w:sz w:val="20"/>
              </w:rPr>
              <w:t>6e33e57</w:t>
            </w:r>
          </w:p>
        </w:tc>
      </w:tr>
    </w:tbl>
    <w:p>
      <w:pPr>
        <w:spacing w:after="40"/>
      </w:pPr>
    </w:p>
    <w:p>
      <w:r>
        <w:rPr>
          <w:b w:val="0"/>
          <w:i/>
          <w:color w:val="6B6B6B"/>
        </w:rPr>
        <w:t>Les exécutions en échec sont conservées volontairement : la première montre que le test détecte un écart et que la tolérance a été fixée à partir de mesures, pas pour faire passer le test ; la seconde est un défaut d'installation de l'environnement, corrigé avant la ré-exécution.</w:t>
      </w:r>
    </w:p>
    <w:p>
      <w:pPr>
        <w:pStyle w:val="Heading1"/>
      </w:pPr>
      <w:r>
        <w:t>6. Anomalies détectées par les tests</w:t>
      </w:r>
    </w:p>
    <w:tbl>
      <w:tblPr>
        <w:tblStyle w:val="TableGrid"/>
        <w:tblW w:type="auto" w:w="0"/>
        <w:jc w:val="center"/>
        <w:tblLook w:firstColumn="1" w:firstRow="1" w:lastColumn="0" w:lastRow="0" w:noHBand="0" w:noVBand="1" w:val="04A0"/>
      </w:tblPr>
      <w:tblGrid>
        <w:gridCol w:w="4840"/>
        <w:gridCol w:w="4840"/>
      </w:tblGrid>
      <w:tr>
        <w:tc>
          <w:tcPr>
            <w:tcW w:type="dxa" w:w="6600"/>
            <w:shd w:val="clear" w:color="auto" w:fill="264653"/>
          </w:tcPr>
          <w:p>
            <w:r>
              <w:rPr>
                <w:b/>
                <w:color w:val="FFFFFF"/>
                <w:sz w:val="20"/>
              </w:rPr>
              <w:t>Anomalie</w:t>
            </w:r>
          </w:p>
        </w:tc>
        <w:tc>
          <w:tcPr>
            <w:tcW w:type="dxa" w:w="2600"/>
            <w:shd w:val="clear" w:color="auto" w:fill="264653"/>
          </w:tcPr>
          <w:p>
            <w:r>
              <w:rPr>
                <w:b/>
                <w:color w:val="FFFFFF"/>
                <w:sz w:val="20"/>
              </w:rPr>
              <w:t>Statut</w:t>
            </w:r>
          </w:p>
        </w:tc>
      </w:tr>
      <w:tr>
        <w:tc>
          <w:tcPr>
            <w:tcW w:type="dxa" w:w="6600"/>
          </w:tcPr>
          <w:p>
            <w:r>
              <w:rPr>
                <w:b/>
                <w:color w:val="264653"/>
                <w:sz w:val="20"/>
              </w:rPr>
              <w:t>Reprise après QC impossible avec dixon3pt et t2map_3exp (paramètre seg_series refusé).</w:t>
            </w:r>
          </w:p>
        </w:tc>
        <w:tc>
          <w:tcPr>
            <w:tcW w:type="dxa" w:w="2600"/>
          </w:tcPr>
          <w:p>
            <w:r>
              <w:rPr>
                <w:sz w:val="20"/>
              </w:rPr>
              <w:t>Corrigée (7969096)</w:t>
            </w:r>
          </w:p>
        </w:tc>
      </w:tr>
      <w:tr>
        <w:tc>
          <w:tcPr>
            <w:tcW w:type="dxa" w:w="6600"/>
            <w:shd w:val="clear" w:color="auto" w:fill="E8EEF0"/>
          </w:tcPr>
          <w:p>
            <w:r>
              <w:rPr>
                <w:b/>
                <w:color w:val="264653"/>
                <w:sz w:val="20"/>
              </w:rPr>
              <w:t>Mode QC et dossier QC perdus à la sauvegarde d'un job.</w:t>
            </w:r>
          </w:p>
        </w:tc>
        <w:tc>
          <w:tcPr>
            <w:tcW w:type="dxa" w:w="2600"/>
            <w:shd w:val="clear" w:color="auto" w:fill="E8EEF0"/>
          </w:tcPr>
          <w:p>
            <w:r>
              <w:rPr>
                <w:sz w:val="20"/>
              </w:rPr>
              <w:t>Corrigée (7969096)</w:t>
            </w:r>
          </w:p>
        </w:tc>
      </w:tr>
      <w:tr>
        <w:tc>
          <w:tcPr>
            <w:tcW w:type="dxa" w:w="6600"/>
          </w:tcPr>
          <w:p>
            <w:r>
              <w:rPr>
                <w:b/>
                <w:color w:val="264653"/>
                <w:sz w:val="20"/>
              </w:rPr>
              <w:t>Saisie d'acquisition à plus de 3 parties acceptée sans erreur.</w:t>
            </w:r>
          </w:p>
        </w:tc>
        <w:tc>
          <w:tcPr>
            <w:tcW w:type="dxa" w:w="2600"/>
          </w:tcPr>
          <w:p>
            <w:r>
              <w:rPr>
                <w:sz w:val="20"/>
              </w:rPr>
              <w:t>Corrigée (7969096)</w:t>
            </w:r>
          </w:p>
        </w:tc>
      </w:tr>
      <w:tr>
        <w:tc>
          <w:tcPr>
            <w:tcW w:type="dxa" w:w="6600"/>
            <w:shd w:val="clear" w:color="auto" w:fill="E8EEF0"/>
          </w:tcPr>
          <w:p>
            <w:r>
              <w:rPr>
                <w:b/>
                <w:color w:val="264653"/>
                <w:sz w:val="20"/>
              </w:rPr>
              <w:t>Segmentation MuSeg-AI non reproductible au pixel près (gravité faible, FF non impactée).</w:t>
            </w:r>
          </w:p>
        </w:tc>
        <w:tc>
          <w:tcPr>
            <w:tcW w:type="dxa" w:w="2600"/>
            <w:shd w:val="clear" w:color="auto" w:fill="E8EEF0"/>
          </w:tcPr>
          <w:p>
            <w:r>
              <w:rPr>
                <w:sz w:val="20"/>
              </w:rPr>
              <w:t>Résolue : tolérance NPIX (37c3b0b)</w:t>
            </w:r>
          </w:p>
        </w:tc>
      </w:tr>
      <w:tr>
        <w:tc>
          <w:tcPr>
            <w:tcW w:type="dxa" w:w="6600"/>
          </w:tcPr>
          <w:p>
            <w:r>
              <w:rPr>
                <w:b/>
                <w:color w:val="264653"/>
                <w:sz w:val="20"/>
              </w:rPr>
              <w:t>QC refusé : un résultat est quand même produit (FONC-004, gravité moyenne). Chemin de reprise en ligne de commande, non utilisé par l'interface graphique en phase 1.</w:t>
            </w:r>
          </w:p>
        </w:tc>
        <w:tc>
          <w:tcPr>
            <w:tcW w:type="dxa" w:w="2600"/>
          </w:tcPr>
          <w:p>
            <w:r>
              <w:rPr>
                <w:sz w:val="20"/>
              </w:rPr>
              <w:t>Ouverte : refonte du QC, phase 2</w:t>
            </w:r>
          </w:p>
        </w:tc>
      </w:tr>
      <w:tr>
        <w:tc>
          <w:tcPr>
            <w:tcW w:type="dxa" w:w="6600"/>
            <w:shd w:val="clear" w:color="auto" w:fill="E8EEF0"/>
          </w:tcPr>
          <w:p>
            <w:r>
              <w:rPr>
                <w:b/>
                <w:color w:val="264653"/>
                <w:sz w:val="20"/>
              </w:rPr>
              <w:t>medical_report : la version 1.9 d'une méthode était choisie avant la 1.10 (tri alphabétique).</w:t>
            </w:r>
          </w:p>
        </w:tc>
        <w:tc>
          <w:tcPr>
            <w:tcW w:type="dxa" w:w="2600"/>
            <w:shd w:val="clear" w:color="auto" w:fill="E8EEF0"/>
          </w:tcPr>
          <w:p>
            <w:r>
              <w:rPr>
                <w:sz w:val="20"/>
              </w:rPr>
              <w:t>Corrigée (9032149)</w:t>
            </w:r>
          </w:p>
        </w:tc>
      </w:tr>
      <w:tr>
        <w:tc>
          <w:tcPr>
            <w:tcW w:type="dxa" w:w="6600"/>
          </w:tcPr>
          <w:p>
            <w:r>
              <w:rPr>
                <w:b/>
                <w:color w:val="264653"/>
                <w:sz w:val="20"/>
              </w:rPr>
              <w:t>medical_report : la phrase T2 « normale limite » ne s'affiche jamais (condition contradictoire).</w:t>
            </w:r>
          </w:p>
        </w:tc>
        <w:tc>
          <w:tcPr>
            <w:tcW w:type="dxa" w:w="2600"/>
          </w:tcPr>
          <w:p>
            <w:r>
              <w:rPr>
                <w:sz w:val="20"/>
              </w:rPr>
              <w:t>Ouverte : à trancher avec un médecin (MuReport-regles-cliniques.docx)</w:t>
            </w:r>
          </w:p>
        </w:tc>
      </w:tr>
      <w:tr>
        <w:tc>
          <w:tcPr>
            <w:tcW w:type="dxa" w:w="6600"/>
            <w:shd w:val="clear" w:color="auto" w:fill="E8EEF0"/>
          </w:tcPr>
          <w:p>
            <w:r>
              <w:rPr>
                <w:b/>
                <w:color w:val="264653"/>
                <w:sz w:val="20"/>
              </w:rPr>
              <w:t>dicom : l'option --anonymize est acceptée mais ignorée par les scripts de transfert C-MOVE (gravité élevée). Trouvé à la lecture du code.</w:t>
            </w:r>
          </w:p>
        </w:tc>
        <w:tc>
          <w:tcPr>
            <w:tcW w:type="dxa" w:w="2600"/>
            <w:shd w:val="clear" w:color="auto" w:fill="E8EEF0"/>
          </w:tcPr>
          <w:p>
            <w:r>
              <w:rPr>
                <w:sz w:val="20"/>
              </w:rPr>
              <w:t>Ouverte : utiliser la pseudonymisation (-rps), vérifiée par les tests</w:t>
            </w:r>
          </w:p>
        </w:tc>
      </w:tr>
      <w:tr>
        <w:tc>
          <w:tcPr>
            <w:tcW w:type="dxa" w:w="6600"/>
          </w:tcPr>
          <w:p>
            <w:r>
              <w:rPr>
                <w:b/>
                <w:color w:val="264653"/>
                <w:sz w:val="20"/>
              </w:rPr>
              <w:t>dicom : la pseudonymisation conserve le PatientID (clé de correspondance).</w:t>
            </w:r>
          </w:p>
        </w:tc>
        <w:tc>
          <w:tcPr>
            <w:tcW w:type="dxa" w:w="2600"/>
          </w:tcPr>
          <w:p>
            <w:r>
              <w:rPr>
                <w:sz w:val="20"/>
              </w:rPr>
              <w:t>Ouverte : à confirmer selon la nature du PatientID</w:t>
            </w:r>
          </w:p>
        </w:tc>
      </w:tr>
      <w:tr>
        <w:tc>
          <w:tcPr>
            <w:tcW w:type="dxa" w:w="6600"/>
            <w:shd w:val="clear" w:color="auto" w:fill="E8EEF0"/>
          </w:tcPr>
          <w:p>
            <w:r>
              <w:rPr>
                <w:b/>
                <w:color w:val="264653"/>
                <w:sz w:val="20"/>
              </w:rPr>
              <w:t>Rapport : ni nom du patient ni identifiant d'examen dans l'en-tête.</w:t>
            </w:r>
          </w:p>
        </w:tc>
        <w:tc>
          <w:tcPr>
            <w:tcW w:type="dxa" w:w="2600"/>
            <w:shd w:val="clear" w:color="auto" w:fill="E8EEF0"/>
          </w:tcPr>
          <w:p>
            <w:r>
              <w:rPr>
                <w:sz w:val="20"/>
              </w:rPr>
              <w:t>Connue : ré-identification prévue (FONC-005 en attente)</w:t>
            </w:r>
          </w:p>
        </w:tc>
      </w:tr>
      <w:tr>
        <w:tc>
          <w:tcPr>
            <w:tcW w:type="dxa" w:w="6600"/>
          </w:tcPr>
          <w:p>
            <w:r>
              <w:rPr>
                <w:b/>
                <w:color w:val="264653"/>
                <w:sz w:val="20"/>
              </w:rPr>
              <w:t>Rapport : AB et BF_SH (cuisses) segmentés mais absents des tableaux de valeurs.</w:t>
            </w:r>
          </w:p>
        </w:tc>
        <w:tc>
          <w:tcPr>
            <w:tcW w:type="dxa" w:w="2600"/>
          </w:tcPr>
          <w:p>
            <w:r>
              <w:rPr>
                <w:sz w:val="20"/>
              </w:rPr>
              <w:t>Ouverte : mise en page à arbitrer avec le médecin</w:t>
            </w:r>
          </w:p>
        </w:tc>
      </w:tr>
      <w:tr>
        <w:tc>
          <w:tcPr>
            <w:tcW w:type="dxa" w:w="6600"/>
            <w:shd w:val="clear" w:color="auto" w:fill="E8EEF0"/>
          </w:tcPr>
          <w:p>
            <w:r>
              <w:rPr>
                <w:b/>
                <w:color w:val="264653"/>
                <w:sz w:val="20"/>
              </w:rPr>
              <w:t>Ligne de commande : une série mal saisie affiche « Internal error » au lieu d'un message clair.</w:t>
            </w:r>
          </w:p>
        </w:tc>
        <w:tc>
          <w:tcPr>
            <w:tcW w:type="dxa" w:w="2600"/>
            <w:shd w:val="clear" w:color="auto" w:fill="E8EEF0"/>
          </w:tcPr>
          <w:p>
            <w:r>
              <w:rPr>
                <w:sz w:val="20"/>
              </w:rPr>
              <w:t>Ouverte</w:t>
            </w:r>
          </w:p>
        </w:tc>
      </w:tr>
      <w:tr>
        <w:tc>
          <w:tcPr>
            <w:tcW w:type="dxa" w:w="6600"/>
          </w:tcPr>
          <w:p>
            <w:r>
              <w:rPr>
                <w:b/>
                <w:color w:val="264653"/>
                <w:sz w:val="20"/>
              </w:rPr>
              <w:t>Ligne de commande : un dossier DICOM inexistant affiche « Internal error » au lieu d'un message clair.</w:t>
            </w:r>
          </w:p>
        </w:tc>
        <w:tc>
          <w:tcPr>
            <w:tcW w:type="dxa" w:w="2600"/>
          </w:tcPr>
          <w:p>
            <w:r>
              <w:rPr>
                <w:sz w:val="20"/>
              </w:rPr>
              <w:t>Ouverte</w:t>
            </w:r>
          </w:p>
        </w:tc>
      </w:tr>
    </w:tbl>
    <w:p>
      <w:pPr>
        <w:spacing w:after="40"/>
      </w:pPr>
    </w:p>
    <w:p>
      <w:pPr>
        <w:pStyle w:val="Heading1"/>
      </w:pPr>
      <w:r>
        <w:t>7. Limites et tests restant à faire</w:t>
      </w:r>
    </w:p>
    <w:p>
      <w:pPr>
        <w:pStyle w:val="ListBullet"/>
      </w:pPr>
      <w:r>
        <w:t>Équivalence T2 / mutools : non couverte (données de référence T2 à constituer).</w:t>
      </w:r>
    </w:p>
    <w:p>
      <w:pPr>
        <w:pStyle w:val="ListBullet"/>
      </w:pPr>
      <w:r>
        <w:t>Cycle complet pause QC → reprise → résultat avec une vraie méthode : non couvert. Les étapes sont testées séparément ; l'interface graphique n'utilise pas ce chemin en phase 1.</w:t>
      </w:r>
    </w:p>
    <w:p>
      <w:pPr>
        <w:pStyle w:val="ListBullet"/>
      </w:pPr>
      <w:r>
        <w:t>Interface graphique : non couverte par les tests automatisés (tests VAL avec les techniciens).</w:t>
      </w:r>
    </w:p>
    <w:p>
      <w:pPr>
        <w:pStyle w:val="ListBullet"/>
      </w:pPr>
      <w:r>
        <w:t>Code mort identifié et déplacé dans bin/ (medical_report, dicom) : hors produit, non testé.</w:t>
      </w:r>
    </w:p>
    <w:p>
      <w:pPr>
        <w:pStyle w:val="ListBullet"/>
      </w:pPr>
      <w:r>
        <w:t>dicom : échanges réels avec le PACS non automatisés ; l'option --anonymize des scripts C-MOVE n'est pas testée car elle n'est pas implémentée (incident ouvert).</w:t>
      </w:r>
    </w:p>
    <w:p>
      <w:pPr>
        <w:pStyle w:val="ListBullet"/>
      </w:pPr>
      <w:r>
        <w:t>Rapport : le texte du PDF n'est pas relu directement (contrôle sur le HTML converti) ; la mise en page et les images (orientation des coupes) relèvent de RES-003.</w:t>
      </w:r>
    </w:p>
    <w:p>
      <w:pPr>
        <w:pStyle w:val="ListBullet"/>
      </w:pPr>
      <w:r>
        <w:t>Équivalence Dixon : un seul examen et un seul segment (jambes).</w:t>
      </w:r>
    </w:p>
    <w:p>
      <w:pPr>
        <w:pStyle w:val="Heading1"/>
      </w:pPr>
      <w:r>
        <w:t>8. Preuves d'exécution : le dossier resultats_tests</w:t>
      </w:r>
    </w:p>
    <w:p>
      <w:pPr>
        <w:pStyle w:val="Heading2"/>
      </w:pPr>
      <w:r>
        <w:t>À quel besoin il répond</w:t>
      </w:r>
    </w:p>
    <w:p>
      <w:r>
        <w:rPr>
          <w:b w:val="0"/>
          <w:i w:val="0"/>
        </w:rPr>
        <w:t>Un résultat affiché dans un terminal disparaît à sa fermeture. Le dossier resultats_tests conserve, pour chaque exécution, la sortie complète de pytest dans un fichier horodaté et relié à une version précise du code. Il permet à un tiers de vérifier chaque ligne du Journal de tests : ce qui a été exécuté, quand, sur quelle version, avec quel résultat.</w:t>
      </w:r>
    </w:p>
    <w:p>
      <w:pPr>
        <w:pStyle w:val="Heading2"/>
      </w:pPr>
      <w:r>
        <w:t>Où le trouver</w:t>
      </w:r>
    </w:p>
    <w:p>
      <w:pPr>
        <w:pStyle w:val="ListBullet"/>
      </w:pPr>
      <w:r>
        <w:t>Sur la station : /mnt/rmn_files/Users/IB/mureport/resultats_tests/ (depuis un PC : N:\Users\IB\mureport\resultats_tests\).</w:t>
      </w:r>
    </w:p>
    <w:p>
      <w:pPr>
        <w:pStyle w:val="ListBullet"/>
      </w:pPr>
      <w:r>
        <w:t>Copie de travail : PIPELINE_01\resultats_tests\.</w:t>
      </w:r>
    </w:p>
    <w:p>
      <w:pPr>
        <w:pStyle w:val="ListBullet"/>
      </w:pPr>
      <w:r>
        <w:t>Le dossier n'est pas versionné dans git : il contient des traces d'exécution, pas du code.</w:t>
      </w:r>
    </w:p>
    <w:p>
      <w:pPr>
        <w:pStyle w:val="Heading2"/>
      </w:pPr>
      <w:r>
        <w:t>Contenu</w:t>
      </w:r>
    </w:p>
    <w:p>
      <w:pPr>
        <w:pStyle w:val="ListBullet"/>
      </w:pPr>
      <w:r>
        <w:t>Nommage : &lt;ID du test&gt;_&lt;AAAAMMJJ&gt;_&lt;commit&gt;, par exemple AUTO-001_20261022_37c3b0b.</w:t>
      </w:r>
    </w:p>
    <w:p>
      <w:pPr>
        <w:pStyle w:val="ListBullet"/>
      </w:pPr>
      <w:r>
        <w:t>.txt : sortie lisible, une ligne par cas de test (PASSED, FAILED, XFAIL) et le bilan final.</w:t>
      </w:r>
    </w:p>
    <w:p>
      <w:pPr>
        <w:pStyle w:val="ListBullet"/>
      </w:pPr>
      <w:r>
        <w:t>.xml : même résultat au format JUnit, standard, lisible par des outils.</w:t>
      </w:r>
    </w:p>
    <w:p>
      <w:pPr>
        <w:pStyle w:val="Heading2"/>
      </w:pPr>
      <w:r>
        <w:t>Reproduire une exécution</w:t>
      </w:r>
    </w:p>
    <w:p>
      <w:r>
        <w:rPr>
          <w:b w:val="0"/>
          <w:i w:val="0"/>
        </w:rPr>
        <w:t>Sur la station, dans /mnt/rmn_files/Users/IB/mureport, environnement « pipeline » actif et Docker lancé :</w:t>
      </w:r>
    </w:p>
    <w:p>
      <w:pPr>
        <w:spacing w:after="20"/>
      </w:pPr>
      <w:r>
        <w:rPr>
          <w:rFonts w:ascii="Consolas" w:hAnsi="Consolas"/>
          <w:b w:val="0"/>
          <w:i w:val="0"/>
          <w:sz w:val="19"/>
        </w:rPr>
        <w:t>git checkout 6e33e57 &amp;&amp; git submodule update</w:t>
      </w:r>
    </w:p>
    <w:p>
      <w:pPr>
        <w:spacing w:after="20"/>
      </w:pPr>
      <w:r>
        <w:rPr>
          <w:rFonts w:ascii="Consolas" w:hAnsi="Consolas"/>
          <w:b w:val="0"/>
          <w:i w:val="0"/>
          <w:sz w:val="19"/>
        </w:rPr>
        <w:t>pip install -e dicom</w:t>
      </w:r>
    </w:p>
    <w:p>
      <w:pPr>
        <w:spacing w:after="20"/>
      </w:pPr>
      <w:r>
        <w:rPr>
          <w:rFonts w:ascii="Consolas" w:hAnsi="Consolas"/>
          <w:b w:val="0"/>
          <w:i w:val="0"/>
          <w:sz w:val="19"/>
        </w:rPr>
        <w:t>F=resultats_tests/AUTO-001_$(date +%Y%m%d)_$(git rev-parse --short HEAD)</w:t>
      </w:r>
    </w:p>
    <w:p>
      <w:pPr>
        <w:spacing w:after="20"/>
      </w:pPr>
      <w:r>
        <w:rPr>
          <w:rFonts w:ascii="Consolas" w:hAnsi="Consolas"/>
          <w:b w:val="0"/>
          <w:i w:val="0"/>
          <w:sz w:val="19"/>
        </w:rPr>
        <w:t>python -m pytest tests/ medical_report/tests dicom/tests -v -rA --junitxml=$F.xml | tee $F.txt</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264653"/>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6465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222222"/>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color w:val="222222"/>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