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64653"/>
          <w:sz w:val="44"/>
        </w:rPr>
        <w:t>Règles cliniques codées dans muReport</w:t>
      </w:r>
    </w:p>
    <w:p>
      <w:pPr>
        <w:spacing w:after="240"/>
        <w:pBdr>
          <w:bottom w:val="single" w:sz="8" w:space="6" w:color="264653"/>
        </w:pBdr>
      </w:pPr>
      <w:r>
        <w:rPr>
          <w:b w:val="0"/>
          <w:i w:val="0"/>
          <w:color w:val="6B6B6B"/>
          <w:sz w:val="22"/>
        </w:rPr>
        <w:t>muReport · Inès Benziane  —  22 octobre 2026  —  à faire valider par un médecin</w:t>
      </w:r>
    </w:p>
    <w:p>
      <w:pPr>
        <w:spacing w:after="280"/>
      </w:pPr>
      <w:r>
        <w:rPr>
          <w:b w:val="0"/>
          <w:i/>
          <w:color w:val="6B6B6B"/>
        </w:rPr>
        <w:t>Le rapport médical contient des phrases et des indicateurs choisis automatiquement à partir de seuils écrits dans le code. Ce document les rend visibles pour qu'un médecin les valide, les corrige ou les refuse. Chaque règle est vérifiée telle quelle par les tests automatisés (AUTO-001) : si une règle change, le test correspondant doit changer avec elle.</w:t>
      </w:r>
    </w:p>
    <w:p>
      <w:pPr>
        <w:pStyle w:val="Heading1"/>
      </w:pPr>
      <w:r>
        <w:t>1. Seuil de T2 « élevé » : 39 ms</w:t>
      </w:r>
    </w:p>
    <w:p>
      <w:r>
        <w:rPr>
          <w:b w:val="0"/>
          <w:i w:val="0"/>
        </w:rPr>
        <w:t>Un muscle est considéré comme ayant un T2 élevé si sa moyenne de T2 est supérieure ou égale à 39 ms (39,0 ms compte comme élevé, 38,99 ms non). Ce seuil sert au commentaire T2 (règle 2) et au signal de franchissement de seuil (règle 5).</w:t>
      </w:r>
    </w:p>
    <w:p>
      <w:r>
        <w:rPr>
          <w:b w:val="0"/>
          <w:i/>
          <w:color w:val="6B6B6B"/>
          <w:sz w:val="18"/>
        </w:rPr>
        <w:t>Dans le code : comment_generator/config/t2_comments_fr.yaml et _en.yaml (elevated_threshold_ms), synthesis_builder.py (T2_THRESHOLD). Un test vérifie que ces trois valeurs restent identiques.</w:t>
      </w:r>
    </w:p>
    <w:tbl>
      <w:tblPr>
        <w:tblW w:type="auto" w:w="0"/>
        <w:jc w:val="center"/>
        <w:tblLook w:firstColumn="1" w:firstRow="1" w:lastColumn="0" w:lastRow="0" w:noHBand="0" w:noVBand="1" w:val="04A0"/>
      </w:tblPr>
      <w:tblGrid>
        <w:gridCol w:w="9680"/>
      </w:tblGrid>
      <w:tr>
        <w:tc>
          <w:tcPr>
            <w:tcW w:type="dxa" w:w="9680"/>
            <w:shd w:val="clear" w:color="auto" w:fill="F3EDE2"/>
          </w:tcPr>
          <w:p>
            <w:pPr>
              <w:spacing w:before="60" w:after="60"/>
            </w:pPr>
            <w:r>
              <w:rPr>
                <w:b/>
                <w:color w:val="264653"/>
                <w:sz w:val="21"/>
              </w:rPr>
              <w:t xml:space="preserve">À valider : </w:t>
            </w:r>
            <w:r>
              <w:rPr>
                <w:sz w:val="21"/>
              </w:rPr>
              <w:t>La valeur de 39 ms, et le fait que l'égalité compte comme « élevé ».</w:t>
            </w:r>
          </w:p>
        </w:tc>
      </w:tr>
    </w:tbl>
    <w:p>
      <w:pPr>
        <w:spacing w:after="40"/>
      </w:pPr>
    </w:p>
    <w:p>
      <w:pPr>
        <w:pStyle w:val="Heading1"/>
      </w:pPr>
      <w:r>
        <w:t>2. Commentaire T2 selon le nombre de muscles élevés</w:t>
      </w:r>
    </w:p>
    <w:p>
      <w:r>
        <w:rPr>
          <w:b w:val="0"/>
          <w:i w:val="0"/>
        </w:rPr>
        <w:t>Le rapport affiche une phrase choisie selon le nombre de muscles dont le T2 est ≥ 39 ms :</w:t>
      </w:r>
    </w:p>
    <w:tbl>
      <w:tblPr>
        <w:tblStyle w:val="TableGrid"/>
        <w:tblW w:type="auto" w:w="0"/>
        <w:jc w:val="center"/>
        <w:tblLook w:firstColumn="1" w:firstRow="1" w:lastColumn="0" w:lastRow="0" w:noHBand="0" w:noVBand="1" w:val="04A0"/>
      </w:tblPr>
      <w:tblGrid>
        <w:gridCol w:w="4840"/>
        <w:gridCol w:w="4840"/>
      </w:tblGrid>
      <w:tr>
        <w:tc>
          <w:tcPr>
            <w:tcW w:type="dxa" w:w="1800"/>
            <w:shd w:val="clear" w:color="auto" w:fill="264653"/>
          </w:tcPr>
          <w:p>
            <w:r>
              <w:rPr>
                <w:b/>
                <w:color w:val="FFFFFF"/>
                <w:sz w:val="20"/>
              </w:rPr>
              <w:t>Muscles ≥ 39 ms</w:t>
            </w:r>
          </w:p>
        </w:tc>
        <w:tc>
          <w:tcPr>
            <w:tcW w:type="dxa" w:w="7400"/>
            <w:shd w:val="clear" w:color="auto" w:fill="264653"/>
          </w:tcPr>
          <w:p>
            <w:r>
              <w:rPr>
                <w:b/>
                <w:color w:val="FFFFFF"/>
                <w:sz w:val="20"/>
              </w:rPr>
              <w:t>Phrase affichée (version française)</w:t>
            </w:r>
          </w:p>
        </w:tc>
      </w:tr>
      <w:tr>
        <w:tc>
          <w:tcPr>
            <w:tcW w:type="dxa" w:w="1800"/>
          </w:tcPr>
          <w:p>
            <w:r>
              <w:rPr>
                <w:b/>
                <w:color w:val="264653"/>
                <w:sz w:val="20"/>
              </w:rPr>
              <w:t>0</w:t>
            </w:r>
          </w:p>
        </w:tc>
        <w:tc>
          <w:tcPr>
            <w:tcW w:type="dxa" w:w="7400"/>
          </w:tcPr>
          <w:p>
            <w:r>
              <w:rPr>
                <w:sz w:val="20"/>
              </w:rPr>
              <w:t>« Valeurs des moyennes du T2 musculaire dans la norme. »</w:t>
            </w:r>
          </w:p>
        </w:tc>
      </w:tr>
      <w:tr>
        <w:tc>
          <w:tcPr>
            <w:tcW w:type="dxa" w:w="1800"/>
            <w:shd w:val="clear" w:color="auto" w:fill="E8EEF0"/>
          </w:tcPr>
          <w:p>
            <w:r>
              <w:rPr>
                <w:b/>
                <w:color w:val="264653"/>
                <w:sz w:val="20"/>
              </w:rPr>
              <w:t>1</w:t>
            </w:r>
          </w:p>
        </w:tc>
        <w:tc>
          <w:tcPr>
            <w:tcW w:type="dxa" w:w="7400"/>
            <w:shd w:val="clear" w:color="auto" w:fill="E8EEF0"/>
          </w:tcPr>
          <w:p>
            <w:r>
              <w:rPr>
                <w:sz w:val="20"/>
              </w:rPr>
              <w:t>« Discrète augmentation de la moyenne du T2 musculaire en regard de [nom du muscle] suggérant l'existence de processus pathologiques actifs. »</w:t>
            </w:r>
          </w:p>
        </w:tc>
      </w:tr>
      <w:tr>
        <w:tc>
          <w:tcPr>
            <w:tcW w:type="dxa" w:w="1800"/>
          </w:tcPr>
          <w:p>
            <w:r>
              <w:rPr>
                <w:b/>
                <w:color w:val="264653"/>
                <w:sz w:val="20"/>
              </w:rPr>
              <w:t>2 ou 3</w:t>
            </w:r>
          </w:p>
        </w:tc>
        <w:tc>
          <w:tcPr>
            <w:tcW w:type="dxa" w:w="7400"/>
          </w:tcPr>
          <w:p>
            <w:r>
              <w:rPr>
                <w:sz w:val="20"/>
              </w:rPr>
              <w:t>« Augmentation modérée et significative des moyennes du T2 musculaire dans plusieurs territoires musculaires suggérant l'existence de processus pathologiques actifs. »</w:t>
            </w:r>
          </w:p>
        </w:tc>
      </w:tr>
      <w:tr>
        <w:tc>
          <w:tcPr>
            <w:tcW w:type="dxa" w:w="1800"/>
            <w:shd w:val="clear" w:color="auto" w:fill="E8EEF0"/>
          </w:tcPr>
          <w:p>
            <w:r>
              <w:rPr>
                <w:b/>
                <w:color w:val="264653"/>
                <w:sz w:val="20"/>
              </w:rPr>
              <w:t>4 ou plus</w:t>
            </w:r>
          </w:p>
        </w:tc>
        <w:tc>
          <w:tcPr>
            <w:tcW w:type="dxa" w:w="7400"/>
            <w:shd w:val="clear" w:color="auto" w:fill="E8EEF0"/>
          </w:tcPr>
          <w:p>
            <w:r>
              <w:rPr>
                <w:sz w:val="20"/>
              </w:rPr>
              <w:t>« Augmentation significative des moyennes du T2 musculaire dans plusieurs territoires musculaires suggérant l'existence de processus pathologiques actifs. »</w:t>
            </w:r>
          </w:p>
        </w:tc>
      </w:tr>
    </w:tbl>
    <w:p>
      <w:pPr>
        <w:spacing w:after="40"/>
      </w:pPr>
    </w:p>
    <w:p>
      <w:r>
        <w:rPr>
          <w:b w:val="0"/>
          <w:i/>
          <w:color w:val="6B6B6B"/>
          <w:sz w:val="18"/>
        </w:rPr>
        <w:t>Dans le code : comment_generator/selector.py, phrases dans t2_comments_fr.yaml et t2_comments_en.yaml.</w:t>
      </w:r>
    </w:p>
    <w:tbl>
      <w:tblPr>
        <w:tblW w:type="auto" w:w="0"/>
        <w:jc w:val="center"/>
        <w:tblLook w:firstColumn="1" w:firstRow="1" w:lastColumn="0" w:lastRow="0" w:noHBand="0" w:noVBand="1" w:val="04A0"/>
      </w:tblPr>
      <w:tblGrid>
        <w:gridCol w:w="9680"/>
      </w:tblGrid>
      <w:tr>
        <w:tc>
          <w:tcPr>
            <w:tcW w:type="dxa" w:w="9680"/>
            <w:shd w:val="clear" w:color="auto" w:fill="F3EDE2"/>
          </w:tcPr>
          <w:p>
            <w:pPr>
              <w:spacing w:before="60" w:after="60"/>
            </w:pPr>
            <w:r>
              <w:rPr>
                <w:b/>
                <w:color w:val="264653"/>
                <w:sz w:val="21"/>
              </w:rPr>
              <w:t xml:space="preserve">À valider : </w:t>
            </w:r>
            <w:r>
              <w:rPr>
                <w:sz w:val="21"/>
              </w:rPr>
              <w:t>Les quatre paliers (0, 1, 2-3, 4 et plus), et le texte de chaque phrase en français et en anglais.</w:t>
            </w:r>
          </w:p>
        </w:tc>
      </w:tr>
    </w:tbl>
    <w:p>
      <w:pPr>
        <w:spacing w:after="40"/>
      </w:pPr>
    </w:p>
    <w:p>
      <w:pPr>
        <w:pStyle w:val="Heading1"/>
      </w:pPr>
      <w:r>
        <w:t>3. Phrase « normale limite » jamais affichée</w:t>
      </w:r>
    </w:p>
    <w:p>
      <w:r>
        <w:rPr>
          <w:b w:val="0"/>
          <w:i w:val="0"/>
        </w:rPr>
        <w:t>Une cinquième phrase est prévue : « Valeurs de T2 dans la norme, suggérant que les processus pathologiques sont peu actifs. » Sa condition d'affichage est « aucun muscle ≥ 39 ms et T2 maximal ≥ 39 ms », ce qui est impossible. Elle n'apparaît donc dans aucun rapport. L'intention était peut-être : aucun muscle au-dessus du seuil, mais au moins un proche du seuil.</w:t>
      </w:r>
    </w:p>
    <w:p>
      <w:r>
        <w:rPr>
          <w:b w:val="0"/>
          <w:i/>
          <w:color w:val="6B6B6B"/>
          <w:sz w:val="18"/>
        </w:rPr>
        <w:t>Dans le code : t2_comments_*.yaml (catégorie normal_borderline). Incident ouvert, test en échec attendu.</w:t>
      </w:r>
    </w:p>
    <w:tbl>
      <w:tblPr>
        <w:tblW w:type="auto" w:w="0"/>
        <w:jc w:val="center"/>
        <w:tblLook w:firstColumn="1" w:firstRow="1" w:lastColumn="0" w:lastRow="0" w:noHBand="0" w:noVBand="1" w:val="04A0"/>
      </w:tblPr>
      <w:tblGrid>
        <w:gridCol w:w="9680"/>
      </w:tblGrid>
      <w:tr>
        <w:tc>
          <w:tcPr>
            <w:tcW w:type="dxa" w:w="9680"/>
            <w:shd w:val="clear" w:color="auto" w:fill="F3EDE2"/>
          </w:tcPr>
          <w:p>
            <w:pPr>
              <w:spacing w:before="60" w:after="60"/>
            </w:pPr>
            <w:r>
              <w:rPr>
                <w:b/>
                <w:color w:val="264653"/>
                <w:sz w:val="21"/>
              </w:rPr>
              <w:t xml:space="preserve">À valider : </w:t>
            </w:r>
            <w:r>
              <w:rPr>
                <w:sz w:val="21"/>
              </w:rPr>
              <w:t>Cette phrase est-elle souhaitée ? Si oui, à partir de quelle valeur de T2 (par exemple entre 37 et 39 ms) ? Sinon, la supprimer.</w:t>
            </w:r>
          </w:p>
        </w:tc>
      </w:tr>
    </w:tbl>
    <w:p>
      <w:pPr>
        <w:spacing w:after="40"/>
      </w:pPr>
    </w:p>
    <w:p>
      <w:pPr>
        <w:pStyle w:val="Heading1"/>
      </w:pPr>
      <w:r>
        <w:t>4. Évolution entre deux examens (page de synthèse)</w:t>
      </w:r>
    </w:p>
    <w:p>
      <w:r>
        <w:rPr>
          <w:b w:val="0"/>
          <w:i w:val="0"/>
        </w:rPr>
        <w:t>Pour chaque muscle, la valeur actuelle est comparée à celle de l'examen antérieur :</w:t>
      </w:r>
    </w:p>
    <w:p>
      <w:pPr>
        <w:pStyle w:val="ListBullet"/>
      </w:pPr>
      <w:r>
        <w:t>T2 : différence en millisecondes ; FF : différence en points de pourcentage (par exemple 20 % → 30 % = +10 points).</w:t>
      </w:r>
    </w:p>
    <w:p>
      <w:pPr>
        <w:pStyle w:val="ListBullet"/>
      </w:pPr>
      <w:r>
        <w:t>La différence est arrondie à l'entier, puis comparée au seuil : « aggravé » si elle dépasse strictement +1 ms (T2) ou +5 points (FF), « amélioré » si elle est en dessous de −1 ms ou −5 points, « stable » sinon.</w:t>
      </w:r>
    </w:p>
    <w:p>
      <w:pPr>
        <w:pStyle w:val="ListBullet"/>
      </w:pPr>
      <w:r>
        <w:t>Si l'un des deux examens n'a pas de valeur pour ce muscle : « inconnu ».</w:t>
      </w:r>
    </w:p>
    <w:tbl>
      <w:tblPr>
        <w:tblStyle w:val="TableGrid"/>
        <w:tblW w:type="auto" w:w="0"/>
        <w:jc w:val="center"/>
        <w:tblLook w:firstColumn="1" w:firstRow="1" w:lastColumn="0" w:lastRow="0" w:noHBand="0" w:noVBand="1" w:val="04A0"/>
      </w:tblPr>
      <w:tblGrid>
        <w:gridCol w:w="2420"/>
        <w:gridCol w:w="2420"/>
        <w:gridCol w:w="2420"/>
        <w:gridCol w:w="2420"/>
      </w:tblGrid>
      <w:tr>
        <w:tc>
          <w:tcPr>
            <w:tcW w:type="dxa" w:w="2200"/>
            <w:shd w:val="clear" w:color="auto" w:fill="264653"/>
          </w:tcPr>
          <w:p>
            <w:r>
              <w:rPr>
                <w:b/>
                <w:color w:val="FFFFFF"/>
                <w:sz w:val="20"/>
              </w:rPr>
              <w:t>Exemple (T2)</w:t>
            </w:r>
          </w:p>
        </w:tc>
        <w:tc>
          <w:tcPr>
            <w:tcW w:type="dxa" w:w="2000"/>
            <w:shd w:val="clear" w:color="auto" w:fill="264653"/>
          </w:tcPr>
          <w:p>
            <w:r>
              <w:rPr>
                <w:b/>
                <w:color w:val="FFFFFF"/>
                <w:sz w:val="20"/>
              </w:rPr>
              <w:t>Différence</w:t>
            </w:r>
          </w:p>
        </w:tc>
        <w:tc>
          <w:tcPr>
            <w:tcW w:type="dxa" w:w="2000"/>
            <w:shd w:val="clear" w:color="auto" w:fill="264653"/>
          </w:tcPr>
          <w:p>
            <w:r>
              <w:rPr>
                <w:b/>
                <w:color w:val="FFFFFF"/>
                <w:sz w:val="20"/>
              </w:rPr>
              <w:t>Après arrondi</w:t>
            </w:r>
          </w:p>
        </w:tc>
        <w:tc>
          <w:tcPr>
            <w:tcW w:type="dxa" w:w="3000"/>
            <w:shd w:val="clear" w:color="auto" w:fill="264653"/>
          </w:tcPr>
          <w:p>
            <w:r>
              <w:rPr>
                <w:b/>
                <w:color w:val="FFFFFF"/>
                <w:sz w:val="20"/>
              </w:rPr>
              <w:t>Statut affiché</w:t>
            </w:r>
          </w:p>
        </w:tc>
      </w:tr>
      <w:tr>
        <w:tc>
          <w:tcPr>
            <w:tcW w:type="dxa" w:w="2200"/>
          </w:tcPr>
          <w:p>
            <w:r>
              <w:rPr>
                <w:b/>
                <w:color w:val="264653"/>
                <w:sz w:val="20"/>
              </w:rPr>
              <w:t>40,0 → 41,4 ms</w:t>
            </w:r>
          </w:p>
        </w:tc>
        <w:tc>
          <w:tcPr>
            <w:tcW w:type="dxa" w:w="2000"/>
          </w:tcPr>
          <w:p>
            <w:r>
              <w:rPr>
                <w:sz w:val="20"/>
              </w:rPr>
              <w:t>+1,4 ms</w:t>
            </w:r>
          </w:p>
        </w:tc>
        <w:tc>
          <w:tcPr>
            <w:tcW w:type="dxa" w:w="2000"/>
          </w:tcPr>
          <w:p>
            <w:r>
              <w:rPr>
                <w:sz w:val="20"/>
              </w:rPr>
              <w:t>+1</w:t>
            </w:r>
          </w:p>
        </w:tc>
        <w:tc>
          <w:tcPr>
            <w:tcW w:type="dxa" w:w="3000"/>
          </w:tcPr>
          <w:p>
            <w:r>
              <w:rPr>
                <w:sz w:val="20"/>
              </w:rPr>
              <w:t>stable</w:t>
            </w:r>
          </w:p>
        </w:tc>
      </w:tr>
      <w:tr>
        <w:tc>
          <w:tcPr>
            <w:tcW w:type="dxa" w:w="2200"/>
            <w:shd w:val="clear" w:color="auto" w:fill="E8EEF0"/>
          </w:tcPr>
          <w:p>
            <w:r>
              <w:rPr>
                <w:b/>
                <w:color w:val="264653"/>
                <w:sz w:val="20"/>
              </w:rPr>
              <w:t>40,0 → 41,6 ms</w:t>
            </w:r>
          </w:p>
        </w:tc>
        <w:tc>
          <w:tcPr>
            <w:tcW w:type="dxa" w:w="2000"/>
            <w:shd w:val="clear" w:color="auto" w:fill="E8EEF0"/>
          </w:tcPr>
          <w:p>
            <w:r>
              <w:rPr>
                <w:sz w:val="20"/>
              </w:rPr>
              <w:t>+1,6 ms</w:t>
            </w:r>
          </w:p>
        </w:tc>
        <w:tc>
          <w:tcPr>
            <w:tcW w:type="dxa" w:w="2000"/>
            <w:shd w:val="clear" w:color="auto" w:fill="E8EEF0"/>
          </w:tcPr>
          <w:p>
            <w:r>
              <w:rPr>
                <w:sz w:val="20"/>
              </w:rPr>
              <w:t>+2</w:t>
            </w:r>
          </w:p>
        </w:tc>
        <w:tc>
          <w:tcPr>
            <w:tcW w:type="dxa" w:w="3000"/>
            <w:shd w:val="clear" w:color="auto" w:fill="E8EEF0"/>
          </w:tcPr>
          <w:p>
            <w:r>
              <w:rPr>
                <w:sz w:val="20"/>
              </w:rPr>
              <w:t>aggravé</w:t>
            </w:r>
          </w:p>
        </w:tc>
      </w:tr>
      <w:tr>
        <w:tc>
          <w:tcPr>
            <w:tcW w:type="dxa" w:w="2200"/>
          </w:tcPr>
          <w:p>
            <w:r>
              <w:rPr>
                <w:b/>
                <w:color w:val="264653"/>
                <w:sz w:val="20"/>
              </w:rPr>
              <w:t>40,0 → 38,0 ms</w:t>
            </w:r>
          </w:p>
        </w:tc>
        <w:tc>
          <w:tcPr>
            <w:tcW w:type="dxa" w:w="2000"/>
          </w:tcPr>
          <w:p>
            <w:r>
              <w:rPr>
                <w:sz w:val="20"/>
              </w:rPr>
              <w:t>−2,0 ms</w:t>
            </w:r>
          </w:p>
        </w:tc>
        <w:tc>
          <w:tcPr>
            <w:tcW w:type="dxa" w:w="2000"/>
          </w:tcPr>
          <w:p>
            <w:r>
              <w:rPr>
                <w:sz w:val="20"/>
              </w:rPr>
              <w:t>−2</w:t>
            </w:r>
          </w:p>
        </w:tc>
        <w:tc>
          <w:tcPr>
            <w:tcW w:type="dxa" w:w="3000"/>
          </w:tcPr>
          <w:p>
            <w:r>
              <w:rPr>
                <w:sz w:val="20"/>
              </w:rPr>
              <w:t>amélioré</w:t>
            </w:r>
          </w:p>
        </w:tc>
      </w:tr>
    </w:tbl>
    <w:p>
      <w:pPr>
        <w:spacing w:after="40"/>
      </w:pPr>
    </w:p>
    <w:tbl>
      <w:tblPr>
        <w:tblStyle w:val="TableGrid"/>
        <w:tblW w:type="auto" w:w="0"/>
        <w:jc w:val="center"/>
        <w:tblLook w:firstColumn="1" w:firstRow="1" w:lastColumn="0" w:lastRow="0" w:noHBand="0" w:noVBand="1" w:val="04A0"/>
      </w:tblPr>
      <w:tblGrid>
        <w:gridCol w:w="2420"/>
        <w:gridCol w:w="2420"/>
        <w:gridCol w:w="2420"/>
        <w:gridCol w:w="2420"/>
      </w:tblGrid>
      <w:tr>
        <w:tc>
          <w:tcPr>
            <w:tcW w:type="dxa" w:w="2200"/>
            <w:shd w:val="clear" w:color="auto" w:fill="264653"/>
          </w:tcPr>
          <w:p>
            <w:r>
              <w:rPr>
                <w:b/>
                <w:color w:val="FFFFFF"/>
                <w:sz w:val="20"/>
              </w:rPr>
              <w:t>Exemple (FF)</w:t>
            </w:r>
          </w:p>
        </w:tc>
        <w:tc>
          <w:tcPr>
            <w:tcW w:type="dxa" w:w="2000"/>
            <w:shd w:val="clear" w:color="auto" w:fill="264653"/>
          </w:tcPr>
          <w:p>
            <w:r>
              <w:rPr>
                <w:b/>
                <w:color w:val="FFFFFF"/>
                <w:sz w:val="20"/>
              </w:rPr>
              <w:t>Différence</w:t>
            </w:r>
          </w:p>
        </w:tc>
        <w:tc>
          <w:tcPr>
            <w:tcW w:type="dxa" w:w="2000"/>
            <w:shd w:val="clear" w:color="auto" w:fill="264653"/>
          </w:tcPr>
          <w:p>
            <w:r>
              <w:rPr>
                <w:b/>
                <w:color w:val="FFFFFF"/>
                <w:sz w:val="20"/>
              </w:rPr>
              <w:t>Après arrondi</w:t>
            </w:r>
          </w:p>
        </w:tc>
        <w:tc>
          <w:tcPr>
            <w:tcW w:type="dxa" w:w="3000"/>
            <w:shd w:val="clear" w:color="auto" w:fill="264653"/>
          </w:tcPr>
          <w:p>
            <w:r>
              <w:rPr>
                <w:b/>
                <w:color w:val="FFFFFF"/>
                <w:sz w:val="20"/>
              </w:rPr>
              <w:t>Statut affiché</w:t>
            </w:r>
          </w:p>
        </w:tc>
      </w:tr>
      <w:tr>
        <w:tc>
          <w:tcPr>
            <w:tcW w:type="dxa" w:w="2200"/>
          </w:tcPr>
          <w:p>
            <w:r>
              <w:rPr>
                <w:b/>
                <w:color w:val="264653"/>
                <w:sz w:val="20"/>
              </w:rPr>
              <w:t>20 % → 25 %</w:t>
            </w:r>
          </w:p>
        </w:tc>
        <w:tc>
          <w:tcPr>
            <w:tcW w:type="dxa" w:w="2000"/>
          </w:tcPr>
          <w:p>
            <w:r>
              <w:rPr>
                <w:sz w:val="20"/>
              </w:rPr>
              <w:t>+5 points</w:t>
            </w:r>
          </w:p>
        </w:tc>
        <w:tc>
          <w:tcPr>
            <w:tcW w:type="dxa" w:w="2000"/>
          </w:tcPr>
          <w:p>
            <w:r>
              <w:rPr>
                <w:sz w:val="20"/>
              </w:rPr>
              <w:t>+5</w:t>
            </w:r>
          </w:p>
        </w:tc>
        <w:tc>
          <w:tcPr>
            <w:tcW w:type="dxa" w:w="3000"/>
          </w:tcPr>
          <w:p>
            <w:r>
              <w:rPr>
                <w:sz w:val="20"/>
              </w:rPr>
              <w:t>stable</w:t>
            </w:r>
          </w:p>
        </w:tc>
      </w:tr>
      <w:tr>
        <w:tc>
          <w:tcPr>
            <w:tcW w:type="dxa" w:w="2200"/>
            <w:shd w:val="clear" w:color="auto" w:fill="E8EEF0"/>
          </w:tcPr>
          <w:p>
            <w:r>
              <w:rPr>
                <w:b/>
                <w:color w:val="264653"/>
                <w:sz w:val="20"/>
              </w:rPr>
              <w:t>20 % → 30 %</w:t>
            </w:r>
          </w:p>
        </w:tc>
        <w:tc>
          <w:tcPr>
            <w:tcW w:type="dxa" w:w="2000"/>
            <w:shd w:val="clear" w:color="auto" w:fill="E8EEF0"/>
          </w:tcPr>
          <w:p>
            <w:r>
              <w:rPr>
                <w:sz w:val="20"/>
              </w:rPr>
              <w:t>+10 points</w:t>
            </w:r>
          </w:p>
        </w:tc>
        <w:tc>
          <w:tcPr>
            <w:tcW w:type="dxa" w:w="2000"/>
            <w:shd w:val="clear" w:color="auto" w:fill="E8EEF0"/>
          </w:tcPr>
          <w:p>
            <w:r>
              <w:rPr>
                <w:sz w:val="20"/>
              </w:rPr>
              <w:t>+10</w:t>
            </w:r>
          </w:p>
        </w:tc>
        <w:tc>
          <w:tcPr>
            <w:tcW w:type="dxa" w:w="3000"/>
            <w:shd w:val="clear" w:color="auto" w:fill="E8EEF0"/>
          </w:tcPr>
          <w:p>
            <w:r>
              <w:rPr>
                <w:sz w:val="20"/>
              </w:rPr>
              <w:t>aggravé</w:t>
            </w:r>
          </w:p>
        </w:tc>
      </w:tr>
    </w:tbl>
    <w:p>
      <w:pPr>
        <w:spacing w:after="40"/>
      </w:pPr>
    </w:p>
    <w:p>
      <w:r>
        <w:rPr>
          <w:b w:val="0"/>
          <w:i/>
          <w:color w:val="6B6B6B"/>
          <w:sz w:val="18"/>
        </w:rPr>
        <w:t>Dans le code : section_generator/src/domain/services/synthesis_builder.py (EVOLUTION_THRESHOLD, compute_evolution).</w:t>
      </w:r>
    </w:p>
    <w:tbl>
      <w:tblPr>
        <w:tblW w:type="auto" w:w="0"/>
        <w:jc w:val="center"/>
        <w:tblLook w:firstColumn="1" w:firstRow="1" w:lastColumn="0" w:lastRow="0" w:noHBand="0" w:noVBand="1" w:val="04A0"/>
      </w:tblPr>
      <w:tblGrid>
        <w:gridCol w:w="9680"/>
      </w:tblGrid>
      <w:tr>
        <w:tc>
          <w:tcPr>
            <w:tcW w:type="dxa" w:w="9680"/>
            <w:shd w:val="clear" w:color="auto" w:fill="F3EDE2"/>
          </w:tcPr>
          <w:p>
            <w:pPr>
              <w:spacing w:before="60" w:after="60"/>
            </w:pPr>
            <w:r>
              <w:rPr>
                <w:b/>
                <w:color w:val="264653"/>
                <w:sz w:val="21"/>
              </w:rPr>
              <w:t xml:space="preserve">À valider : </w:t>
            </w:r>
            <w:r>
              <w:rPr>
                <w:sz w:val="21"/>
              </w:rPr>
              <w:t>Les seuils (1 ms pour le T2, 5 points pour la FF), l'arrondi à l'entier avant comparaison, et le fait qu'une variation égale au seuil soit classée « stable ».</w:t>
            </w:r>
          </w:p>
        </w:tc>
      </w:tr>
    </w:tbl>
    <w:p>
      <w:pPr>
        <w:spacing w:after="40"/>
      </w:pPr>
    </w:p>
    <w:p>
      <w:pPr>
        <w:pStyle w:val="Heading1"/>
      </w:pPr>
      <w:r>
        <w:t>5. Signal de franchissement du seuil T2</w:t>
      </w:r>
    </w:p>
    <w:p>
      <w:r>
        <w:rPr>
          <w:b w:val="0"/>
          <w:i w:val="0"/>
        </w:rPr>
        <w:t>Un muscle est signalé quand son T2 passe sous le seuil à l'examen antérieur et au-dessus ou au niveau du seuil à l'examen actuel (antérieur &lt; 39 ms ≤ actuel). Uniquement pour le T2.</w:t>
      </w:r>
    </w:p>
    <w:p>
      <w:r>
        <w:rPr>
          <w:b w:val="0"/>
          <w:i/>
          <w:color w:val="6B6B6B"/>
          <w:sz w:val="18"/>
        </w:rPr>
        <w:t>Dans le code : synthesis_builder.py (threshold_crossed).</w:t>
      </w:r>
    </w:p>
    <w:tbl>
      <w:tblPr>
        <w:tblW w:type="auto" w:w="0"/>
        <w:jc w:val="center"/>
        <w:tblLook w:firstColumn="1" w:firstRow="1" w:lastColumn="0" w:lastRow="0" w:noHBand="0" w:noVBand="1" w:val="04A0"/>
      </w:tblPr>
      <w:tblGrid>
        <w:gridCol w:w="9680"/>
      </w:tblGrid>
      <w:tr>
        <w:tc>
          <w:tcPr>
            <w:tcW w:type="dxa" w:w="9680"/>
            <w:shd w:val="clear" w:color="auto" w:fill="F3EDE2"/>
          </w:tcPr>
          <w:p>
            <w:pPr>
              <w:spacing w:before="60" w:after="60"/>
            </w:pPr>
            <w:r>
              <w:rPr>
                <w:b/>
                <w:color w:val="264653"/>
                <w:sz w:val="21"/>
              </w:rPr>
              <w:t xml:space="preserve">À valider : </w:t>
            </w:r>
            <w:r>
              <w:rPr>
                <w:sz w:val="21"/>
              </w:rPr>
              <w:t>L'utilité de ce signal, et s'il faut aussi signaler le passage inverse (retour sous le seuil).</w:t>
            </w:r>
          </w:p>
        </w:tc>
      </w:tr>
    </w:tbl>
    <w:p>
      <w:pPr>
        <w:spacing w:after="40"/>
      </w:pPr>
    </w:p>
    <w:p>
      <w:pPr>
        <w:pStyle w:val="Heading1"/>
      </w:pPr>
      <w:r>
        <w:t>6. Muscles mis en avant dans la synthèse</w:t>
      </w:r>
    </w:p>
    <w:p>
      <w:r>
        <w:rPr>
          <w:b w:val="0"/>
          <w:i w:val="0"/>
        </w:rPr>
        <w:t>Les muscles aggravés et améliorés sont classés du plus grand au plus petit changement. Les trois muscles ayant le plus grand changement, dans un sens ou dans l'autre, sont mis en avant.</w:t>
      </w:r>
    </w:p>
    <w:p>
      <w:r>
        <w:rPr>
          <w:b w:val="0"/>
          <w:i/>
          <w:color w:val="6B6B6B"/>
          <w:sz w:val="18"/>
        </w:rPr>
        <w:t>Dans le code : synthesis_builder.py (top_muscles).</w:t>
      </w:r>
    </w:p>
    <w:tbl>
      <w:tblPr>
        <w:tblW w:type="auto" w:w="0"/>
        <w:jc w:val="center"/>
        <w:tblLook w:firstColumn="1" w:firstRow="1" w:lastColumn="0" w:lastRow="0" w:noHBand="0" w:noVBand="1" w:val="04A0"/>
      </w:tblPr>
      <w:tblGrid>
        <w:gridCol w:w="9680"/>
      </w:tblGrid>
      <w:tr>
        <w:tc>
          <w:tcPr>
            <w:tcW w:type="dxa" w:w="9680"/>
            <w:shd w:val="clear" w:color="auto" w:fill="F3EDE2"/>
          </w:tcPr>
          <w:p>
            <w:pPr>
              <w:spacing w:before="60" w:after="60"/>
            </w:pPr>
            <w:r>
              <w:rPr>
                <w:b/>
                <w:color w:val="264653"/>
                <w:sz w:val="21"/>
              </w:rPr>
              <w:t xml:space="preserve">À valider : </w:t>
            </w:r>
            <w:r>
              <w:rPr>
                <w:sz w:val="21"/>
              </w:rPr>
              <w:t>Le nombre de muscles mis en avant (3), et le fait de mélanger aggravations et améliorations.</w:t>
            </w:r>
          </w:p>
        </w:tc>
      </w:tr>
    </w:tbl>
    <w:p>
      <w:pPr>
        <w:spacing w:after="40"/>
      </w:pPr>
    </w:p>
    <w:p>
      <w:pPr>
        <w:pStyle w:val="Heading1"/>
      </w:pPr>
      <w:r>
        <w:t>7. Muscles affichés dans les tableaux de valeurs (cuisses)</w:t>
      </w:r>
    </w:p>
    <w:p>
      <w:r>
        <w:rPr>
          <w:b w:val="0"/>
          <w:i w:val="0"/>
        </w:rPr>
        <w:t>Pour les cuisses, la segmentation détoure 13 muscles, mais les tableaux de valeurs du rapport n'en affichent que 11 : le court adducteur (AB) et le chef court du biceps fémoral (BF_SH) n'y figurent pas. Leurs valeurs sont calculées mais visibles seulement au survol du schéma, ce qui est impossible sur un PDF imprimé. Les ajouter modifie la mise en page du rapport.</w:t>
      </w:r>
    </w:p>
    <w:p>
      <w:r>
        <w:rPr>
          <w:b w:val="0"/>
          <w:i/>
          <w:color w:val="6B6B6B"/>
          <w:sz w:val="18"/>
        </w:rPr>
        <w:t>Dans le code : gabarits templates/FF/1slice/thighs et templates/T2/1slice/thighs (muscles_list), légende anatomique de report_template.html. Incident ouvert, test en échec attendu.</w:t>
      </w:r>
    </w:p>
    <w:tbl>
      <w:tblPr>
        <w:tblW w:type="auto" w:w="0"/>
        <w:jc w:val="center"/>
        <w:tblLook w:firstColumn="1" w:firstRow="1" w:lastColumn="0" w:lastRow="0" w:noHBand="0" w:noVBand="1" w:val="04A0"/>
      </w:tblPr>
      <w:tblGrid>
        <w:gridCol w:w="9680"/>
      </w:tblGrid>
      <w:tr>
        <w:tc>
          <w:tcPr>
            <w:tcW w:type="dxa" w:w="9680"/>
            <w:shd w:val="clear" w:color="auto" w:fill="F3EDE2"/>
          </w:tcPr>
          <w:p>
            <w:pPr>
              <w:spacing w:before="60" w:after="60"/>
            </w:pPr>
            <w:r>
              <w:rPr>
                <w:b/>
                <w:color w:val="264653"/>
                <w:sz w:val="21"/>
              </w:rPr>
              <w:t xml:space="preserve">À valider : </w:t>
            </w:r>
            <w:r>
              <w:rPr>
                <w:sz w:val="21"/>
              </w:rPr>
              <w:t>Les valeurs de AB et BF_SH sont-elles utiles au médecin ? Si oui, les ajouter aux tableaux (évolution de mise en page).</w:t>
            </w:r>
          </w:p>
        </w:tc>
      </w:tr>
    </w:tbl>
    <w:p>
      <w:pPr>
        <w:spacing w:after="40"/>
      </w:pPr>
    </w:p>
    <w:p>
      <w:pPr>
        <w:pStyle w:val="Heading1"/>
      </w:pPr>
      <w:r>
        <w:t>8. Voxels retenus pour le T2 moyen : 15 à 70 ms</w:t>
      </w:r>
    </w:p>
    <w:p>
      <w:r>
        <w:rPr>
          <w:b w:val="0"/>
          <w:i w:val="0"/>
        </w:rPr>
        <w:t>Pour calculer le T2 moyen d'un muscle, seuls les voxels dont le T2 est compris entre 15 et 70 ms (et dont l'intervalle de confiance est inférieur ou égal à 10) sont retenus. Pour un muscle très inflammatoire dont une partie des voxels dépasse 70 ms, ces voxels sont exclus et la moyenne affichée est sous-estimée. Décision du 22/10/2026 : la borne de 70 ms est conservée pour l'instant.</w:t>
      </w:r>
    </w:p>
    <w:p>
      <w:r>
        <w:rPr>
          <w:b w:val="0"/>
          <w:i/>
          <w:color w:val="6B6B6B"/>
          <w:sz w:val="18"/>
        </w:rPr>
        <w:t>Dans le code : methods/get_results/config/results_config.yml (t2map_3exp, filters). Vérifié par les tests automatisés.</w:t>
      </w:r>
    </w:p>
    <w:tbl>
      <w:tblPr>
        <w:tblW w:type="auto" w:w="0"/>
        <w:jc w:val="center"/>
        <w:tblLook w:firstColumn="1" w:firstRow="1" w:lastColumn="0" w:lastRow="0" w:noHBand="0" w:noVBand="1" w:val="04A0"/>
      </w:tblPr>
      <w:tblGrid>
        <w:gridCol w:w="9680"/>
      </w:tblGrid>
      <w:tr>
        <w:tc>
          <w:tcPr>
            <w:tcW w:type="dxa" w:w="9680"/>
            <w:shd w:val="clear" w:color="auto" w:fill="F3EDE2"/>
          </w:tcPr>
          <w:p>
            <w:pPr>
              <w:spacing w:before="60" w:after="60"/>
            </w:pPr>
            <w:r>
              <w:rPr>
                <w:b/>
                <w:color w:val="264653"/>
                <w:sz w:val="21"/>
              </w:rPr>
              <w:t xml:space="preserve">À valider : </w:t>
            </w:r>
            <w:r>
              <w:rPr>
                <w:sz w:val="21"/>
              </w:rPr>
              <w:t>Proposition à discuter : relever la borne haute, ou signaler dans le rapport la part de voxels exclus au-dessus de 70 ms.</w:t>
            </w:r>
          </w:p>
        </w:tc>
      </w:tr>
    </w:tbl>
    <w:p>
      <w:pPr>
        <w:spacing w:after="40"/>
      </w:pPr>
    </w:p>
    <w:p>
      <w:pPr>
        <w:pStyle w:val="Heading1"/>
      </w:pPr>
      <w:r>
        <w:t>Validation</w:t>
      </w:r>
    </w:p>
    <w:tbl>
      <w:tblPr>
        <w:tblStyle w:val="TableGrid"/>
        <w:tblW w:type="auto" w:w="0"/>
        <w:jc w:val="center"/>
        <w:tblLook w:firstColumn="1" w:firstRow="1" w:lastColumn="0" w:lastRow="0" w:noHBand="0" w:noVBand="1" w:val="04A0"/>
      </w:tblPr>
      <w:tblGrid>
        <w:gridCol w:w="3227"/>
        <w:gridCol w:w="3227"/>
        <w:gridCol w:w="3227"/>
      </w:tblGrid>
      <w:tr>
        <w:tc>
          <w:tcPr>
            <w:tcW w:type="dxa" w:w="1000"/>
            <w:shd w:val="clear" w:color="auto" w:fill="264653"/>
          </w:tcPr>
          <w:p>
            <w:r>
              <w:rPr>
                <w:b/>
                <w:color w:val="FFFFFF"/>
                <w:sz w:val="20"/>
              </w:rPr>
              <w:t>Règle</w:t>
            </w:r>
          </w:p>
        </w:tc>
        <w:tc>
          <w:tcPr>
            <w:tcW w:type="dxa" w:w="3400"/>
            <w:shd w:val="clear" w:color="auto" w:fill="264653"/>
          </w:tcPr>
          <w:p>
            <w:r>
              <w:rPr>
                <w:b/>
                <w:color w:val="FFFFFF"/>
                <w:sz w:val="20"/>
              </w:rPr>
              <w:t>Décision (validée / à modifier / refusée)</w:t>
            </w:r>
          </w:p>
        </w:tc>
        <w:tc>
          <w:tcPr>
            <w:tcW w:type="dxa" w:w="4800"/>
            <w:shd w:val="clear" w:color="auto" w:fill="264653"/>
          </w:tcPr>
          <w:p>
            <w:r>
              <w:rPr>
                <w:b/>
                <w:color w:val="FFFFFF"/>
                <w:sz w:val="20"/>
              </w:rPr>
              <w:t>Commentaire</w:t>
            </w:r>
          </w:p>
        </w:tc>
      </w:tr>
      <w:tr>
        <w:tc>
          <w:tcPr>
            <w:tcW w:type="dxa" w:w="1000"/>
          </w:tcPr>
          <w:p>
            <w:r>
              <w:rPr>
                <w:b/>
                <w:color w:val="264653"/>
                <w:sz w:val="20"/>
              </w:rPr>
              <w:t>1</w:t>
            </w:r>
          </w:p>
        </w:tc>
        <w:tc>
          <w:tcPr>
            <w:tcW w:type="dxa" w:w="3400"/>
          </w:tcPr>
          <w:p>
            <w:r>
              <w:rPr>
                <w:sz w:val="20"/>
              </w:rPr>
            </w:r>
          </w:p>
        </w:tc>
        <w:tc>
          <w:tcPr>
            <w:tcW w:type="dxa" w:w="4800"/>
          </w:tcPr>
          <w:p>
            <w:r>
              <w:rPr>
                <w:sz w:val="20"/>
              </w:rPr>
            </w:r>
          </w:p>
        </w:tc>
      </w:tr>
      <w:tr>
        <w:tc>
          <w:tcPr>
            <w:tcW w:type="dxa" w:w="1000"/>
            <w:shd w:val="clear" w:color="auto" w:fill="E8EEF0"/>
          </w:tcPr>
          <w:p>
            <w:r>
              <w:rPr>
                <w:b/>
                <w:color w:val="264653"/>
                <w:sz w:val="20"/>
              </w:rPr>
              <w:t>2</w:t>
            </w:r>
          </w:p>
        </w:tc>
        <w:tc>
          <w:tcPr>
            <w:tcW w:type="dxa" w:w="3400"/>
            <w:shd w:val="clear" w:color="auto" w:fill="E8EEF0"/>
          </w:tcPr>
          <w:p>
            <w:r>
              <w:rPr>
                <w:sz w:val="20"/>
              </w:rPr>
            </w:r>
          </w:p>
        </w:tc>
        <w:tc>
          <w:tcPr>
            <w:tcW w:type="dxa" w:w="4800"/>
            <w:shd w:val="clear" w:color="auto" w:fill="E8EEF0"/>
          </w:tcPr>
          <w:p>
            <w:r>
              <w:rPr>
                <w:sz w:val="20"/>
              </w:rPr>
            </w:r>
          </w:p>
        </w:tc>
      </w:tr>
      <w:tr>
        <w:tc>
          <w:tcPr>
            <w:tcW w:type="dxa" w:w="1000"/>
          </w:tcPr>
          <w:p>
            <w:r>
              <w:rPr>
                <w:b/>
                <w:color w:val="264653"/>
                <w:sz w:val="20"/>
              </w:rPr>
              <w:t>3</w:t>
            </w:r>
          </w:p>
        </w:tc>
        <w:tc>
          <w:tcPr>
            <w:tcW w:type="dxa" w:w="3400"/>
          </w:tcPr>
          <w:p>
            <w:r>
              <w:rPr>
                <w:sz w:val="20"/>
              </w:rPr>
            </w:r>
          </w:p>
        </w:tc>
        <w:tc>
          <w:tcPr>
            <w:tcW w:type="dxa" w:w="4800"/>
          </w:tcPr>
          <w:p>
            <w:r>
              <w:rPr>
                <w:sz w:val="20"/>
              </w:rPr>
            </w:r>
          </w:p>
        </w:tc>
      </w:tr>
      <w:tr>
        <w:tc>
          <w:tcPr>
            <w:tcW w:type="dxa" w:w="1000"/>
            <w:shd w:val="clear" w:color="auto" w:fill="E8EEF0"/>
          </w:tcPr>
          <w:p>
            <w:r>
              <w:rPr>
                <w:b/>
                <w:color w:val="264653"/>
                <w:sz w:val="20"/>
              </w:rPr>
              <w:t>4</w:t>
            </w:r>
          </w:p>
        </w:tc>
        <w:tc>
          <w:tcPr>
            <w:tcW w:type="dxa" w:w="3400"/>
            <w:shd w:val="clear" w:color="auto" w:fill="E8EEF0"/>
          </w:tcPr>
          <w:p>
            <w:r>
              <w:rPr>
                <w:sz w:val="20"/>
              </w:rPr>
            </w:r>
          </w:p>
        </w:tc>
        <w:tc>
          <w:tcPr>
            <w:tcW w:type="dxa" w:w="4800"/>
            <w:shd w:val="clear" w:color="auto" w:fill="E8EEF0"/>
          </w:tcPr>
          <w:p>
            <w:r>
              <w:rPr>
                <w:sz w:val="20"/>
              </w:rPr>
            </w:r>
          </w:p>
        </w:tc>
      </w:tr>
      <w:tr>
        <w:tc>
          <w:tcPr>
            <w:tcW w:type="dxa" w:w="1000"/>
          </w:tcPr>
          <w:p>
            <w:r>
              <w:rPr>
                <w:b/>
                <w:color w:val="264653"/>
                <w:sz w:val="20"/>
              </w:rPr>
              <w:t>5</w:t>
            </w:r>
          </w:p>
        </w:tc>
        <w:tc>
          <w:tcPr>
            <w:tcW w:type="dxa" w:w="3400"/>
          </w:tcPr>
          <w:p>
            <w:r>
              <w:rPr>
                <w:sz w:val="20"/>
              </w:rPr>
            </w:r>
          </w:p>
        </w:tc>
        <w:tc>
          <w:tcPr>
            <w:tcW w:type="dxa" w:w="4800"/>
          </w:tcPr>
          <w:p>
            <w:r>
              <w:rPr>
                <w:sz w:val="20"/>
              </w:rPr>
            </w:r>
          </w:p>
        </w:tc>
      </w:tr>
      <w:tr>
        <w:tc>
          <w:tcPr>
            <w:tcW w:type="dxa" w:w="1000"/>
            <w:shd w:val="clear" w:color="auto" w:fill="E8EEF0"/>
          </w:tcPr>
          <w:p>
            <w:r>
              <w:rPr>
                <w:b/>
                <w:color w:val="264653"/>
                <w:sz w:val="20"/>
              </w:rPr>
              <w:t>6</w:t>
            </w:r>
          </w:p>
        </w:tc>
        <w:tc>
          <w:tcPr>
            <w:tcW w:type="dxa" w:w="3400"/>
            <w:shd w:val="clear" w:color="auto" w:fill="E8EEF0"/>
          </w:tcPr>
          <w:p>
            <w:r>
              <w:rPr>
                <w:sz w:val="20"/>
              </w:rPr>
            </w:r>
          </w:p>
        </w:tc>
        <w:tc>
          <w:tcPr>
            <w:tcW w:type="dxa" w:w="4800"/>
            <w:shd w:val="clear" w:color="auto" w:fill="E8EEF0"/>
          </w:tcPr>
          <w:p>
            <w:r>
              <w:rPr>
                <w:sz w:val="20"/>
              </w:rPr>
            </w:r>
          </w:p>
        </w:tc>
      </w:tr>
      <w:tr>
        <w:tc>
          <w:tcPr>
            <w:tcW w:type="dxa" w:w="1000"/>
          </w:tcPr>
          <w:p>
            <w:r>
              <w:rPr>
                <w:b/>
                <w:color w:val="264653"/>
                <w:sz w:val="20"/>
              </w:rPr>
              <w:t>7</w:t>
            </w:r>
          </w:p>
        </w:tc>
        <w:tc>
          <w:tcPr>
            <w:tcW w:type="dxa" w:w="3400"/>
          </w:tcPr>
          <w:p>
            <w:r>
              <w:rPr>
                <w:sz w:val="20"/>
              </w:rPr>
            </w:r>
          </w:p>
        </w:tc>
        <w:tc>
          <w:tcPr>
            <w:tcW w:type="dxa" w:w="4800"/>
          </w:tcPr>
          <w:p>
            <w:r>
              <w:rPr>
                <w:sz w:val="20"/>
              </w:rPr>
            </w:r>
          </w:p>
        </w:tc>
      </w:tr>
      <w:tr>
        <w:tc>
          <w:tcPr>
            <w:tcW w:type="dxa" w:w="1000"/>
            <w:shd w:val="clear" w:color="auto" w:fill="E8EEF0"/>
          </w:tcPr>
          <w:p>
            <w:r>
              <w:rPr>
                <w:b/>
                <w:color w:val="264653"/>
                <w:sz w:val="20"/>
              </w:rPr>
              <w:t>8</w:t>
            </w:r>
          </w:p>
        </w:tc>
        <w:tc>
          <w:tcPr>
            <w:tcW w:type="dxa" w:w="3400"/>
            <w:shd w:val="clear" w:color="auto" w:fill="E8EEF0"/>
          </w:tcPr>
          <w:p>
            <w:r>
              <w:rPr>
                <w:sz w:val="20"/>
              </w:rPr>
            </w:r>
          </w:p>
        </w:tc>
        <w:tc>
          <w:tcPr>
            <w:tcW w:type="dxa" w:w="4800"/>
            <w:shd w:val="clear" w:color="auto" w:fill="E8EEF0"/>
          </w:tcPr>
          <w:p>
            <w:r>
              <w:rPr>
                <w:sz w:val="20"/>
              </w:rPr>
            </w:r>
          </w:p>
        </w:tc>
      </w:tr>
    </w:tbl>
    <w:p>
      <w:pPr>
        <w:spacing w:after="40"/>
      </w:pPr>
    </w:p>
    <w:p>
      <w:pPr>
        <w:spacing w:before="200"/>
      </w:pPr>
      <w:r>
        <w:rPr>
          <w:b w:val="0"/>
          <w:i w:val="0"/>
        </w:rPr>
        <w:t>Nom du médecin : ____________________     Date : ____________     Signature : ____________________</w:t>
      </w:r>
    </w:p>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Calibri" w:hAnsi="Calibri"/>
      <w:b/>
      <w:bCs/>
      <w:color w:val="264653"/>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6465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222222"/>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color w:val="222222"/>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