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64653"/>
          <w:sz w:val="48"/>
        </w:rPr>
        <w:t>Notes de réunion</w:t>
      </w:r>
    </w:p>
    <w:p>
      <w:pPr>
        <w:spacing w:after="240"/>
        <w:pBdr>
          <w:bottom w:val="single" w:sz="8" w:space="6" w:color="264653"/>
        </w:pBdr>
      </w:pPr>
      <w:r>
        <w:rPr>
          <w:b w:val="0"/>
          <w:i w:val="0"/>
          <w:color w:val="6B6B6B"/>
          <w:sz w:val="22"/>
        </w:rPr>
        <w:t>PYB · IB  —  13 octobre 2026</w:t>
      </w:r>
    </w:p>
    <w:p>
      <w:pPr>
        <w:spacing w:after="280"/>
      </w:pPr>
      <w:r>
        <w:rPr>
          <w:b w:val="0"/>
          <w:i/>
          <w:color w:val="6B6B6B"/>
        </w:rPr>
        <w:t>Projet PIPELINE_01 — points abordés et décisions.</w:t>
      </w:r>
    </w:p>
    <w:p>
      <w:pPr>
        <w:pStyle w:val="Heading1"/>
      </w:pPr>
      <w:r>
        <w:t>À faire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00"/>
          </w:tcPr>
          <w:p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type="dxa" w:w="4840"/>
          </w:tcPr>
          <w:p>
            <w:r>
              <w:rPr>
                <w:sz w:val="20"/>
              </w:rPr>
              <w:t>QC des images dixon : passer l'affichage en 5 lignes et 4 colonnes.</w:t>
            </w:r>
          </w:p>
        </w:tc>
      </w:tr>
      <w:tr>
        <w:tc>
          <w:tcPr>
            <w:tcW w:type="dxa" w:w="400"/>
          </w:tcPr>
          <w:p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type="dxa" w:w="4840"/>
          </w:tcPr>
          <w:p>
            <w:r>
              <w:rPr>
                <w:sz w:val="20"/>
              </w:rPr>
              <w:t>Pré-remplir l'interface graphique : dès qu'une section est remplie par l'utilisateur, pré-remplir les autres. Avoir in fine les 4 sections du rapport disponibles facilement.</w:t>
            </w:r>
          </w:p>
        </w:tc>
      </w:tr>
      <w:tr>
        <w:tc>
          <w:tcPr>
            <w:tcW w:type="dxa" w:w="400"/>
          </w:tcPr>
          <w:p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type="dxa" w:w="4840"/>
          </w:tcPr>
          <w:p>
            <w:r>
              <w:rPr>
                <w:sz w:val="20"/>
              </w:rPr>
              <w:t>Privilégier le mode de fonctionnement optimal ; faire abstraction de la GUI, qui est un moyen pour que les techs utilisent au plus tôt l'outil, pas une fin en soi — les contraintes de la GUI ne doivent surtout pas influencer le fonctionnement du programme.</w:t>
            </w:r>
          </w:p>
        </w:tc>
      </w:tr>
      <w:tr>
        <w:tc>
          <w:tcPr>
            <w:tcW w:type="dxa" w:w="400"/>
          </w:tcPr>
          <w:p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type="dxa" w:w="4840"/>
          </w:tcPr>
          <w:p>
            <w:r>
              <w:rPr>
                <w:sz w:val="20"/>
              </w:rPr>
              <w:t>Pouvoir aller chercher les informations via le PACS.</w:t>
            </w:r>
          </w:p>
        </w:tc>
      </w:tr>
      <w:tr>
        <w:tc>
          <w:tcPr>
            <w:tcW w:type="dxa" w:w="400"/>
          </w:tcPr>
          <w:p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type="dxa" w:w="4840"/>
          </w:tcPr>
          <w:p>
            <w:r>
              <w:rPr>
                <w:sz w:val="20"/>
              </w:rPr>
              <w:t>Vérifier l'erreur « where without out » du T2.</w:t>
            </w:r>
          </w:p>
        </w:tc>
      </w:tr>
    </w:tbl>
    <w:p>
      <w:pPr>
        <w:spacing w:after="40"/>
      </w:pPr>
    </w:p>
    <w:p>
      <w:pPr>
        <w:pStyle w:val="Heading1"/>
      </w:pPr>
      <w:r>
        <w:t>Prochain chantier — Validation des méthodes, qualité des résultats</w:t>
      </w:r>
    </w:p>
    <w:p>
      <w:r>
        <w:rPr>
          <w:b w:val="0"/>
          <w:i w:val="0"/>
        </w:rPr>
        <w:t>Décrire les méthodes et documenter les tests.</w:t>
      </w:r>
    </w:p>
    <w:p>
      <w:pPr>
        <w:pStyle w:val="ListBullet"/>
      </w:pPr>
      <w:r>
        <w:t>Comparer nos résultats avec ceux de Matlab.</w:t>
      </w:r>
    </w:p>
    <w:p>
      <w:pPr>
        <w:pStyle w:val="ListBullet"/>
      </w:pPr>
      <w:r>
        <w:t>Vérification manuelle : ouvrir les cartographies dixon et les ROIs dans ITK-SNAP, comparer avec celles générées par notre programme.</w:t>
      </w:r>
    </w:p>
    <w:p>
      <w:pPr>
        <w:pStyle w:val="ListBullet"/>
      </w:pPr>
      <w:r>
        <w:t>Définir une marge de tolérance à l'avance et vérifier si les résultats s'y trouvent.</w:t>
      </w:r>
    </w:p>
    <w:p>
      <w:pPr>
        <w:pStyle w:val="ListBullet"/>
      </w:pPr>
      <w:r>
        <w:t>Mettre en place des méthodes de vérification des procédés mis en œuvre, et les documenter.</w:t>
      </w:r>
    </w:p>
    <w:p>
      <w:pPr>
        <w:pStyle w:val="ListBullet"/>
      </w:pPr>
      <w:r>
        <w:t>Rapport de validation : à telle date, tels tests ont été faits — signé et daté.</w:t>
      </w:r>
    </w:p>
    <w:p>
      <w:pPr>
        <w:pStyle w:val="Heading2"/>
      </w:pPr>
      <w:r>
        <w:t>Où est-ce que les erreurs peuvent arriver 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val="clear" w:color="auto" w:fill="F3EDE2"/>
          </w:tcPr>
          <w:p>
            <w:pPr>
              <w:spacing w:before="60" w:after="60"/>
            </w:pPr>
            <w:r>
              <w:rPr>
                <w:b/>
                <w:color w:val="264653"/>
                <w:sz w:val="21"/>
              </w:rPr>
              <w:t xml:space="preserve">Constat. </w:t>
            </w:r>
            <w:r>
              <w:rPr>
                <w:sz w:val="21"/>
              </w:rPr>
              <w:t>Le plus souvent, ce sont des erreurs humaines : mauvaise date, mauvaises séries, etc.</w:t>
            </w:r>
          </w:p>
        </w:tc>
      </w:tr>
    </w:tbl>
    <w:p>
      <w:pPr>
        <w:spacing w:after="40"/>
      </w:pPr>
    </w:p>
    <w:p>
      <w:pPr>
        <w:pStyle w:val="Heading1"/>
      </w:pPr>
      <w:r>
        <w:t>Debug</w:t>
      </w:r>
    </w:p>
    <w:p>
      <w:pPr>
        <w:pStyle w:val="ListBullet"/>
      </w:pPr>
      <w:r>
        <w:t>Pouvoir identifier les sources.</w:t>
      </w:r>
    </w:p>
    <w:p>
      <w:pPr>
        <w:pStyle w:val="ListBullet"/>
      </w:pPr>
      <w:r>
        <w:t>Savoir quand ça a été fait, par qui, avec quelle version du code — une signature unique pour reproduire exactement la même chose si besoin.</w:t>
      </w:r>
    </w:p>
    <w:p>
      <w:pPr>
        <w:pStyle w:val="ListBullet"/>
      </w:pPr>
      <w:r>
        <w:t>À réfléchir : si on veut faire plus compliqué pour mutualiser des éléments.</w:t>
      </w:r>
    </w:p>
    <w:p>
      <w:pPr>
        <w:pStyle w:val="Heading1"/>
      </w:pPr>
      <w:r>
        <w:t>Côté segmentation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val="clear" w:color="auto" w:fill="F3EDE2"/>
          </w:tcPr>
          <w:p>
            <w:pPr>
              <w:spacing w:before="60" w:after="60"/>
            </w:pPr>
            <w:r>
              <w:rPr>
                <w:b/>
                <w:color w:val="264653"/>
                <w:sz w:val="21"/>
              </w:rPr>
              <w:t xml:space="preserve">Cas à traiter. </w:t>
            </w:r>
            <w:r>
              <w:rPr>
                <w:sz w:val="21"/>
              </w:rPr>
              <w:t>Avec l'outil de Louis « Click and Fix », utilisé pour une section : éviter de refaire le travail pour une autre section similaire. Réfléchir à ne pas perdre ce travail.</w:t>
            </w:r>
          </w:p>
        </w:tc>
      </w:tr>
    </w:tbl>
    <w:p>
      <w:pPr>
        <w:spacing w:after="40"/>
      </w:pPr>
    </w:p>
    <w:p>
      <w:pPr>
        <w:pStyle w:val="ListBullet"/>
      </w:pPr>
      <w:r>
        <w:t>Penser au stockage de ces fichiers précieux.</w:t>
      </w:r>
    </w:p>
    <w:p>
      <w:pPr>
        <w:pStyle w:val="ListBullet"/>
      </w:pPr>
      <w:r>
        <w:t>Réfléchir à si on veut faire quelque chose de plus compliqué pour mutualiser les éléments.</w:t>
      </w:r>
    </w:p>
    <w:p>
      <w:pPr>
        <w:pStyle w:val="Heading1"/>
      </w:pPr>
      <w:r>
        <w:t>À proposer</w:t>
      </w:r>
    </w:p>
    <w:p>
      <w:pPr>
        <w:pStyle w:val="ListBullet"/>
      </w:pPr>
      <w:r>
        <w:t>Lien entre méthode et segmentation.</w:t>
      </w:r>
    </w:p>
    <w:p>
      <w:pPr>
        <w:pStyle w:val="ListBullet"/>
      </w:pPr>
      <w:r>
        <w:t>Découpler la segmentation de dixon ?</w:t>
      </w:r>
    </w:p>
    <w:p>
      <w:pPr>
        <w:pStyle w:val="ListBullet"/>
      </w:pPr>
      <w:r>
        <w:t>Segmentation unique pour tous les process du même segment.</w:t>
      </w:r>
    </w:p>
    <w:p>
      <w:pPr>
        <w:pStyle w:val="ListBullet"/>
      </w:pPr>
      <w:r>
        <w:t>Pouvoir fournir sa propre segmentation.</w:t>
      </w:r>
    </w:p>
    <w:p>
      <w:pPr>
        <w:pStyle w:val="ListBullet"/>
      </w:pPr>
      <w:r>
        <w:t>Comment coupler proprement la segmentation d'une méthode à l'entrée d'une autre ?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646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646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color w:val="22222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