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sz w:val="24"/>
          <w:szCs w:val="24"/>
        </w:rPr>
      </w:pPr>
      <w:bookmarkStart w:colFirst="0" w:colLast="0" w:name="_heading=h.eunyr8vu6q56" w:id="0"/>
      <w:bookmarkEnd w:id="0"/>
      <w:r w:rsidDel="00000000" w:rsidR="00000000" w:rsidRPr="00000000">
        <w:rPr>
          <w:sz w:val="24"/>
          <w:szCs w:val="24"/>
          <w:rtl w:val="0"/>
        </w:rPr>
        <w:t xml:space="preserve">Universidad Politécnica de Querétaro</w:t>
      </w:r>
    </w:p>
    <w:p w:rsidR="00000000" w:rsidDel="00000000" w:rsidP="00000000" w:rsidRDefault="00000000" w:rsidRPr="00000000" w14:paraId="00000002">
      <w:pPr>
        <w:spacing w:after="160" w:line="240" w:lineRule="auto"/>
        <w:jc w:val="center"/>
        <w:rPr>
          <w:sz w:val="24"/>
          <w:szCs w:val="24"/>
        </w:rPr>
      </w:pPr>
      <w:r w:rsidDel="00000000" w:rsidR="00000000" w:rsidRPr="00000000">
        <w:rPr>
          <w:sz w:val="24"/>
          <w:szCs w:val="24"/>
          <w:rtl w:val="0"/>
        </w:rPr>
        <w:t xml:space="preserve">Ingeniería en Sistemas Computacionales</w:t>
      </w:r>
    </w:p>
    <w:p w:rsidR="00000000" w:rsidDel="00000000" w:rsidP="00000000" w:rsidRDefault="00000000" w:rsidRPr="00000000" w14:paraId="00000003">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16405" cy="1701165"/>
            <wp:effectExtent b="0" l="0" r="0" t="0"/>
            <wp:docPr descr="Un letrero de color blanco&#10;&#10;Descripción generada automáticamente con confianza baja" id="1" name="image1.png"/>
            <a:graphic>
              <a:graphicData uri="http://schemas.openxmlformats.org/drawingml/2006/picture">
                <pic:pic>
                  <pic:nvPicPr>
                    <pic:cNvPr descr="Un letrero de color blanco&#10;&#10;Descripción generada automáticamente con confianza baja" id="0" name="image1.png"/>
                    <pic:cNvPicPr preferRelativeResize="0"/>
                  </pic:nvPicPr>
                  <pic:blipFill>
                    <a:blip r:embed="rId7"/>
                    <a:srcRect b="6893" l="5884" r="6638" t="6395"/>
                    <a:stretch>
                      <a:fillRect/>
                    </a:stretch>
                  </pic:blipFill>
                  <pic:spPr>
                    <a:xfrm>
                      <a:off x="0" y="0"/>
                      <a:ext cx="1716405" cy="17011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40" w:lineRule="auto"/>
        <w:jc w:val="center"/>
        <w:rPr>
          <w:sz w:val="24"/>
          <w:szCs w:val="24"/>
        </w:rPr>
      </w:pPr>
      <w:r w:rsidDel="00000000" w:rsidR="00000000" w:rsidRPr="00000000">
        <w:rPr>
          <w:rtl w:val="0"/>
        </w:rPr>
      </w:r>
    </w:p>
    <w:p w:rsidR="00000000" w:rsidDel="00000000" w:rsidP="00000000" w:rsidRDefault="00000000" w:rsidRPr="00000000" w14:paraId="00000006">
      <w:pPr>
        <w:spacing w:after="160" w:line="240" w:lineRule="auto"/>
        <w:jc w:val="center"/>
        <w:rPr>
          <w:b w:val="1"/>
          <w:bCs w:val="1"/>
          <w:sz w:val="30"/>
          <w:szCs w:val="30"/>
        </w:rPr>
      </w:pPr>
      <w:r w:rsidDel="00000000" w:rsidR="00000000" w:rsidRPr="00000000">
        <w:rPr>
          <w:b w:val="1"/>
          <w:bCs w:val="1"/>
          <w:sz w:val="26"/>
          <w:szCs w:val="26"/>
          <w:rtl w:val="0"/>
        </w:rPr>
        <w:t xml:space="preserve">Actividad 2.6</w:t>
      </w:r>
      <w:r w:rsidDel="00000000" w:rsidR="00000000" w:rsidRPr="00000000">
        <w:rPr>
          <w:rtl w:val="0"/>
        </w:rPr>
      </w:r>
    </w:p>
    <w:p w:rsidR="00000000" w:rsidDel="00000000" w:rsidP="00000000" w:rsidRDefault="00000000" w:rsidRPr="00000000" w14:paraId="00000007">
      <w:pPr>
        <w:spacing w:after="160" w:line="240" w:lineRule="auto"/>
        <w:jc w:val="left"/>
        <w:rPr>
          <w:sz w:val="24"/>
          <w:szCs w:val="24"/>
        </w:rPr>
      </w:pPr>
      <w:r w:rsidDel="00000000" w:rsidR="00000000" w:rsidRPr="00000000">
        <w:rPr>
          <w:rtl w:val="0"/>
        </w:rPr>
      </w:r>
    </w:p>
    <w:p w:rsidR="00000000" w:rsidDel="00000000" w:rsidP="00000000" w:rsidRDefault="00000000" w:rsidRPr="00000000" w14:paraId="00000008">
      <w:pPr>
        <w:spacing w:after="160" w:line="240" w:lineRule="auto"/>
        <w:jc w:val="center"/>
        <w:rPr>
          <w:sz w:val="24"/>
          <w:szCs w:val="24"/>
        </w:rPr>
      </w:pPr>
      <w:r w:rsidDel="00000000" w:rsidR="00000000" w:rsidRPr="00000000">
        <w:rPr>
          <w:sz w:val="24"/>
          <w:szCs w:val="24"/>
          <w:rtl w:val="0"/>
        </w:rPr>
        <w:t xml:space="preserve">Reporte para la asignatura:</w:t>
      </w:r>
    </w:p>
    <w:p w:rsidR="00000000" w:rsidDel="00000000" w:rsidP="00000000" w:rsidRDefault="00000000" w:rsidRPr="00000000" w14:paraId="00000009">
      <w:pPr>
        <w:spacing w:after="160" w:line="240" w:lineRule="auto"/>
        <w:jc w:val="center"/>
        <w:rPr>
          <w:sz w:val="24"/>
          <w:szCs w:val="24"/>
        </w:rPr>
      </w:pPr>
      <w:r w:rsidDel="00000000" w:rsidR="00000000" w:rsidRPr="00000000">
        <w:rPr>
          <w:sz w:val="24"/>
          <w:szCs w:val="24"/>
          <w:rtl w:val="0"/>
        </w:rPr>
        <w:t xml:space="preserve">Expresión oral y escrita</w:t>
      </w:r>
    </w:p>
    <w:p w:rsidR="00000000" w:rsidDel="00000000" w:rsidP="00000000" w:rsidRDefault="00000000" w:rsidRPr="00000000" w14:paraId="0000000A">
      <w:pPr>
        <w:spacing w:after="160" w:line="240" w:lineRule="auto"/>
        <w:jc w:val="left"/>
        <w:rPr>
          <w:sz w:val="24"/>
          <w:szCs w:val="24"/>
        </w:rPr>
      </w:pPr>
      <w:r w:rsidDel="00000000" w:rsidR="00000000" w:rsidRPr="00000000">
        <w:rPr>
          <w:rtl w:val="0"/>
        </w:rPr>
      </w:r>
    </w:p>
    <w:p w:rsidR="00000000" w:rsidDel="00000000" w:rsidP="00000000" w:rsidRDefault="00000000" w:rsidRPr="00000000" w14:paraId="0000000B">
      <w:pPr>
        <w:spacing w:after="160" w:line="240" w:lineRule="auto"/>
        <w:jc w:val="center"/>
        <w:rPr>
          <w:sz w:val="24"/>
          <w:szCs w:val="24"/>
        </w:rPr>
      </w:pPr>
      <w:r w:rsidDel="00000000" w:rsidR="00000000" w:rsidRPr="00000000">
        <w:rPr>
          <w:sz w:val="24"/>
          <w:szCs w:val="24"/>
          <w:rtl w:val="0"/>
        </w:rPr>
        <w:t xml:space="preserve">Grupo: S-203</w:t>
      </w:r>
    </w:p>
    <w:p w:rsidR="00000000" w:rsidDel="00000000" w:rsidP="00000000" w:rsidRDefault="00000000" w:rsidRPr="00000000" w14:paraId="0000000C">
      <w:pPr>
        <w:spacing w:after="160" w:line="240" w:lineRule="auto"/>
        <w:jc w:val="center"/>
        <w:rPr>
          <w:sz w:val="24"/>
          <w:szCs w:val="24"/>
        </w:rPr>
      </w:pPr>
      <w:r w:rsidDel="00000000" w:rsidR="00000000" w:rsidRPr="00000000">
        <w:rPr>
          <w:rtl w:val="0"/>
        </w:rPr>
      </w:r>
    </w:p>
    <w:p w:rsidR="00000000" w:rsidDel="00000000" w:rsidP="00000000" w:rsidRDefault="00000000" w:rsidRPr="00000000" w14:paraId="0000000D">
      <w:pPr>
        <w:spacing w:after="160" w:line="240" w:lineRule="auto"/>
        <w:jc w:val="center"/>
        <w:rPr>
          <w:sz w:val="24"/>
          <w:szCs w:val="24"/>
        </w:rPr>
      </w:pPr>
      <w:r w:rsidDel="00000000" w:rsidR="00000000" w:rsidRPr="00000000">
        <w:rPr>
          <w:sz w:val="24"/>
          <w:szCs w:val="24"/>
          <w:rtl w:val="0"/>
        </w:rPr>
        <w:t xml:space="preserve">Hernández Vicencio María Inés - 123046059</w:t>
      </w:r>
    </w:p>
    <w:p w:rsidR="00000000" w:rsidDel="00000000" w:rsidP="00000000" w:rsidRDefault="00000000" w:rsidRPr="00000000" w14:paraId="0000000E">
      <w:pPr>
        <w:spacing w:after="160" w:line="240" w:lineRule="auto"/>
        <w:jc w:val="center"/>
        <w:rPr>
          <w:sz w:val="24"/>
          <w:szCs w:val="24"/>
        </w:rPr>
      </w:pPr>
      <w:r w:rsidDel="00000000" w:rsidR="00000000" w:rsidRPr="00000000">
        <w:rPr>
          <w:sz w:val="24"/>
          <w:szCs w:val="24"/>
          <w:rtl w:val="0"/>
        </w:rPr>
        <w:t xml:space="preserve">Barrón Mendoza Eduardo - 123045976</w:t>
      </w:r>
    </w:p>
    <w:p w:rsidR="00000000" w:rsidDel="00000000" w:rsidP="00000000" w:rsidRDefault="00000000" w:rsidRPr="00000000" w14:paraId="0000000F">
      <w:pPr>
        <w:spacing w:after="160" w:line="240" w:lineRule="auto"/>
        <w:jc w:val="center"/>
        <w:rPr>
          <w:sz w:val="24"/>
          <w:szCs w:val="24"/>
        </w:rPr>
      </w:pPr>
      <w:r w:rsidDel="00000000" w:rsidR="00000000" w:rsidRPr="00000000">
        <w:rPr>
          <w:sz w:val="24"/>
          <w:szCs w:val="24"/>
          <w:rtl w:val="0"/>
        </w:rPr>
        <w:t xml:space="preserve">Jimenéz De Santiago Jesús - 123048152</w:t>
      </w:r>
    </w:p>
    <w:p w:rsidR="00000000" w:rsidDel="00000000" w:rsidP="00000000" w:rsidRDefault="00000000" w:rsidRPr="00000000" w14:paraId="00000010">
      <w:pPr>
        <w:spacing w:after="160" w:line="240" w:lineRule="auto"/>
        <w:jc w:val="center"/>
        <w:rPr>
          <w:sz w:val="24"/>
          <w:szCs w:val="24"/>
        </w:rPr>
      </w:pPr>
      <w:r w:rsidDel="00000000" w:rsidR="00000000" w:rsidRPr="00000000">
        <w:rPr>
          <w:sz w:val="24"/>
          <w:szCs w:val="24"/>
          <w:rtl w:val="0"/>
        </w:rPr>
        <w:t xml:space="preserve">Francisco Nicolas Ana - 123047674</w:t>
      </w:r>
    </w:p>
    <w:p w:rsidR="00000000" w:rsidDel="00000000" w:rsidP="00000000" w:rsidRDefault="00000000" w:rsidRPr="00000000" w14:paraId="00000011">
      <w:pPr>
        <w:spacing w:after="160" w:line="240" w:lineRule="auto"/>
        <w:jc w:val="center"/>
        <w:rPr>
          <w:sz w:val="24"/>
          <w:szCs w:val="24"/>
        </w:rPr>
      </w:pPr>
      <w:r w:rsidDel="00000000" w:rsidR="00000000" w:rsidRPr="00000000">
        <w:rPr>
          <w:rtl w:val="0"/>
        </w:rPr>
      </w:r>
    </w:p>
    <w:p w:rsidR="00000000" w:rsidDel="00000000" w:rsidP="00000000" w:rsidRDefault="00000000" w:rsidRPr="00000000" w14:paraId="00000012">
      <w:pPr>
        <w:spacing w:after="160" w:line="24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13">
      <w:pPr>
        <w:spacing w:after="160" w:line="240" w:lineRule="auto"/>
        <w:jc w:val="center"/>
        <w:rPr>
          <w:sz w:val="24"/>
          <w:szCs w:val="24"/>
        </w:rPr>
      </w:pPr>
      <w:r w:rsidDel="00000000" w:rsidR="00000000" w:rsidRPr="00000000">
        <w:rPr>
          <w:sz w:val="24"/>
          <w:szCs w:val="24"/>
          <w:rtl w:val="0"/>
        </w:rPr>
        <w:t xml:space="preserve">Solorio Silva Sergio</w:t>
      </w:r>
    </w:p>
    <w:p w:rsidR="00000000" w:rsidDel="00000000" w:rsidP="00000000" w:rsidRDefault="00000000" w:rsidRPr="00000000" w14:paraId="00000014">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40" w:lineRule="auto"/>
        <w:jc w:val="center"/>
        <w:rPr>
          <w:sz w:val="24"/>
          <w:szCs w:val="24"/>
        </w:rPr>
      </w:pPr>
      <w:r w:rsidDel="00000000" w:rsidR="00000000" w:rsidRPr="00000000">
        <w:rPr>
          <w:sz w:val="24"/>
          <w:szCs w:val="24"/>
          <w:rtl w:val="0"/>
        </w:rPr>
        <w:t xml:space="preserve">29 de junio de 2026</w:t>
      </w:r>
    </w:p>
    <w:p w:rsidR="00000000" w:rsidDel="00000000" w:rsidP="00000000" w:rsidRDefault="00000000" w:rsidRPr="00000000" w14:paraId="00000017">
      <w:pPr>
        <w:jc w:val="both"/>
        <w:rPr>
          <w:sz w:val="28"/>
          <w:szCs w:val="28"/>
        </w:rPr>
      </w:pPr>
      <w:r w:rsidDel="00000000" w:rsidR="00000000" w:rsidRPr="00000000">
        <w:rPr>
          <w:rtl w:val="0"/>
        </w:rPr>
      </w:r>
    </w:p>
    <w:p w:rsidR="00000000" w:rsidDel="00000000" w:rsidP="00000000" w:rsidRDefault="00000000" w:rsidRPr="00000000" w14:paraId="00000018">
      <w:pPr>
        <w:pStyle w:val="Title"/>
        <w:jc w:val="both"/>
        <w:rPr>
          <w:b w:val="1"/>
          <w:bCs w:val="1"/>
          <w:sz w:val="28"/>
          <w:szCs w:val="28"/>
        </w:rPr>
      </w:pPr>
      <w:bookmarkStart w:colFirst="0" w:colLast="0" w:name="_heading=h.fhj18ys7vkur"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jc w:val="center"/>
        <w:rPr>
          <w:b w:val="1"/>
          <w:bCs w:val="1"/>
          <w:sz w:val="28"/>
          <w:szCs w:val="28"/>
        </w:rPr>
      </w:pPr>
      <w:bookmarkStart w:colFirst="0" w:colLast="0" w:name="_heading=h.lmaqikdcsgnm" w:id="2"/>
      <w:bookmarkEnd w:id="2"/>
      <w:r w:rsidDel="00000000" w:rsidR="00000000" w:rsidRPr="00000000">
        <w:rPr>
          <w:b w:val="1"/>
          <w:bCs w:val="1"/>
          <w:sz w:val="28"/>
          <w:szCs w:val="28"/>
          <w:rtl w:val="0"/>
        </w:rPr>
        <w:t xml:space="preserve">ÍNDICE</w:t>
      </w:r>
    </w:p>
    <w:p w:rsidR="00000000" w:rsidDel="00000000" w:rsidP="00000000" w:rsidRDefault="00000000" w:rsidRPr="00000000" w14:paraId="0000001A">
      <w:pPr>
        <w:jc w:val="both"/>
        <w:rPr>
          <w:sz w:val="24"/>
          <w:szCs w:val="24"/>
        </w:rPr>
      </w:pPr>
      <w:r w:rsidDel="00000000" w:rsidR="00000000" w:rsidRPr="00000000">
        <w:rPr>
          <w:rtl w:val="0"/>
        </w:rPr>
      </w:r>
    </w:p>
    <w:sdt>
      <w:sdtPr>
        <w:id w:val="-1968638056"/>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ake4dfn5c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Falacia</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3wjuoq9n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contextual</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hiz3vezdm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 de falacia</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5i62ierk5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Refutación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3gvyyhgi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spacing w:after="240" w:before="240" w:line="360" w:lineRule="auto"/>
        <w:jc w:val="both"/>
        <w:rPr>
          <w:b w:val="1"/>
          <w:bCs w:val="1"/>
          <w:sz w:val="30"/>
          <w:szCs w:val="30"/>
        </w:rPr>
        <w:sectPr>
          <w:headerReference r:id="rId8" w:type="default"/>
          <w:headerReference r:id="rId9" w:type="first"/>
          <w:footerReference r:id="rId10" w:type="default"/>
          <w:footerReference r:id="rId11" w:type="first"/>
          <w:pgSz w:h="16834" w:w="11909" w:orient="portrait"/>
          <w:pgMar w:bottom="1133.8582677165355" w:top="1133.8582677165355" w:left="1133.8582677165355" w:right="1133.8582677165355" w:header="720.0000000000001" w:footer="720.0000000000001"/>
          <w:pgNumType w:start="1"/>
        </w:sectPr>
      </w:pPr>
      <w:bookmarkStart w:colFirst="0" w:colLast="0" w:name="_heading=h.3bzcv0zfgd7h" w:id="3"/>
      <w:bookmarkEnd w:id="3"/>
      <w:r w:rsidDel="00000000" w:rsidR="00000000" w:rsidRPr="00000000">
        <w:rPr>
          <w:rtl w:val="0"/>
        </w:rPr>
      </w:r>
    </w:p>
    <w:p w:rsidR="00000000" w:rsidDel="00000000" w:rsidP="00000000" w:rsidRDefault="00000000" w:rsidRPr="00000000" w14:paraId="00000021">
      <w:pPr>
        <w:pStyle w:val="Heading1"/>
        <w:spacing w:after="240" w:before="240" w:line="360" w:lineRule="auto"/>
        <w:jc w:val="both"/>
        <w:rPr>
          <w:b w:val="1"/>
          <w:bCs w:val="1"/>
          <w:sz w:val="30"/>
          <w:szCs w:val="30"/>
        </w:rPr>
      </w:pPr>
      <w:bookmarkStart w:colFirst="0" w:colLast="0" w:name="_heading=h.3ake4dfn5caa" w:id="4"/>
      <w:bookmarkEnd w:id="4"/>
      <w:r w:rsidDel="00000000" w:rsidR="00000000" w:rsidRPr="00000000">
        <w:rPr>
          <w:b w:val="1"/>
          <w:bCs w:val="1"/>
          <w:sz w:val="30"/>
          <w:szCs w:val="30"/>
          <w:rtl w:val="0"/>
        </w:rPr>
        <w:t xml:space="preserve">Falacia</w:t>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sz w:val="24"/>
          <w:szCs w:val="24"/>
          <w:rtl w:val="0"/>
        </w:rPr>
        <w:t xml:space="preserve">"My cousin in Trinidad won't get the vaccine cuz his friend got it &amp; became impotent. His testicles became swollen."</w:t>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("Mi primo en Trinidad no se va a vacunar porque un amigo suyo se vacunó y quedó impotente. Sus testículos se inflamaron".)</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(Minaj, 2021)</w:t>
      </w:r>
    </w:p>
    <w:p w:rsidR="00000000" w:rsidDel="00000000" w:rsidP="00000000" w:rsidRDefault="00000000" w:rsidRPr="00000000" w14:paraId="00000025">
      <w:pPr>
        <w:pStyle w:val="Heading1"/>
        <w:spacing w:after="240" w:before="240" w:line="360" w:lineRule="auto"/>
        <w:jc w:val="both"/>
        <w:rPr>
          <w:sz w:val="24"/>
          <w:szCs w:val="24"/>
        </w:rPr>
      </w:pPr>
      <w:bookmarkStart w:colFirst="0" w:colLast="0" w:name="_heading=h.y83wjuoq9nrd" w:id="5"/>
      <w:bookmarkEnd w:id="5"/>
      <w:r w:rsidDel="00000000" w:rsidR="00000000" w:rsidRPr="00000000">
        <w:rPr>
          <w:b w:val="1"/>
          <w:bCs w:val="1"/>
          <w:sz w:val="30"/>
          <w:szCs w:val="30"/>
          <w:rtl w:val="0"/>
        </w:rPr>
        <w:t xml:space="preserve">Análisis contextual</w:t>
      </w:r>
      <w:r w:rsidDel="00000000" w:rsidR="00000000" w:rsidRPr="00000000">
        <w:rPr>
          <w:rtl w:val="0"/>
        </w:rPr>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En septiembre de 2021, la cantante Nicki Minaj publicó en la red social X (antes Twitter) un mensaje en el que afirmaba que un amigo de su primo había sufrido impotencia e inflamación en los testículos después de recibir una vacuna. Debido a la gran cantidad de seguidores de la artista, la publicación se difundió rápidamente y fue compartida por millones de usuarios en diferentes plataformas digitales, generando un intenso debate sobre la seguridad de las vacunas y el papel de las figuras públicas en la difusión de información.</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El problema principal detrás de esta falacia es social y cultural, ya que evidencia cómo la desinformación puede propagarse con gran rapidez cuando proviene de personas con una amplia influencia en redes sociales. En la actualidad, muchas personas otorgan mayor credibilidad a las opiniones de celebridades e influencers que a la información proporcionada por especialistas o instituciones científicas. Esto provoca que afirmaciones sin evidencia sean aceptadas y compartidas sin verificar su veracidad.</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Además, este caso refleja la importancia de desarrollar el pensamiento crítico y la alfabetización digital. Las redes sociales permiten que cualquier persona publique información que puede llegar a millones de usuarios en cuestión de minutos, independientemente de si es verdadera o falsa. Cuando los usuarios no verifican las fuentes antes de compartir un contenido, contribuyen a la propagación de rumores y noticias falsas que pueden afectar la toma de decisiones de otras personas.</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Finalmente, este caso demuestra que las declaraciones de personajes públicos pueden tener un impacto significativo en la opinión pública. Por ello, es fundamental contrastar cualquier afirmación con información proveniente de fuentes oficiales, instituciones científicas y estudios respaldados por evidencia, evitando sacar conclusiones a partir de testimonios aislados o experiencias personales. De esta manera, se promueve una sociedad mejor informada y con mayor capacidad para distinguir entre hechos comprobados y afirmaciones sin fundamento.</w:t>
      </w:r>
    </w:p>
    <w:p w:rsidR="00000000" w:rsidDel="00000000" w:rsidP="00000000" w:rsidRDefault="00000000" w:rsidRPr="00000000" w14:paraId="0000002A">
      <w:pPr>
        <w:pStyle w:val="Heading1"/>
        <w:spacing w:after="240" w:before="240" w:line="360" w:lineRule="auto"/>
        <w:jc w:val="both"/>
        <w:rPr>
          <w:b w:val="1"/>
          <w:bCs w:val="1"/>
          <w:sz w:val="30"/>
          <w:szCs w:val="30"/>
        </w:rPr>
      </w:pPr>
      <w:bookmarkStart w:colFirst="0" w:colLast="0" w:name="_heading=h.3hiz3vezdm2q" w:id="6"/>
      <w:bookmarkEnd w:id="6"/>
      <w:r w:rsidDel="00000000" w:rsidR="00000000" w:rsidRPr="00000000">
        <w:rPr>
          <w:b w:val="1"/>
          <w:bCs w:val="1"/>
          <w:sz w:val="30"/>
          <w:szCs w:val="30"/>
          <w:rtl w:val="0"/>
        </w:rPr>
        <w:t xml:space="preserve">Tipo de falacia</w:t>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Tipo de falacia: Post hoc (Post hoc ergo propter hoc).</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Esta afirmación constituye una falacia post hoc, ya que asume que, porque una persona supuestamente presentó un problema de salud después de vacunarse, la vacuna fue la causa de dicho problema. Sin embargo, una sucesión temporal no demuestra una relación de causa y efecto. Para establecer una causa es necesario contar con evidencia científica y estudios que respalden esa conclusión.</w:t>
      </w:r>
    </w:p>
    <w:p w:rsidR="00000000" w:rsidDel="00000000" w:rsidP="00000000" w:rsidRDefault="00000000" w:rsidRPr="00000000" w14:paraId="0000002D">
      <w:pPr>
        <w:pStyle w:val="Heading1"/>
        <w:spacing w:after="240" w:before="240" w:line="360" w:lineRule="auto"/>
        <w:jc w:val="both"/>
        <w:rPr>
          <w:b w:val="1"/>
          <w:bCs w:val="1"/>
          <w:sz w:val="30"/>
          <w:szCs w:val="30"/>
        </w:rPr>
      </w:pPr>
      <w:bookmarkStart w:colFirst="0" w:colLast="0" w:name="_heading=h.nh5i62ierk55" w:id="7"/>
      <w:bookmarkEnd w:id="7"/>
      <w:r w:rsidDel="00000000" w:rsidR="00000000" w:rsidRPr="00000000">
        <w:rPr>
          <w:b w:val="1"/>
          <w:bCs w:val="1"/>
          <w:sz w:val="30"/>
          <w:szCs w:val="30"/>
          <w:rtl w:val="0"/>
        </w:rPr>
        <w:t xml:space="preserve">Refutación</w:t>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Argumento 1</w:t>
      </w:r>
    </w:p>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La Organización Mundial de la Salud (OMS) señala que las vacunas contra la COVID-19 son seguras y que no existe evidencia científica de que provoquen infertilidad o impotencia en los hombres.</w:t>
      </w:r>
    </w:p>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Argumento 2</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Los expertos consultados por AFP y el Ministerio de Salud de Trinidad y Tobago investigaron el caso mencionado por Nicki Minaj y concluyeron que no encontraron ningún reporte que confirmara esa historia. Además, especialistas en urología indicaron que no existe evidencia de que las vacunas causen inflamación testicular o disfunción eréctil.</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3">
      <w:pPr>
        <w:pStyle w:val="Heading1"/>
        <w:spacing w:after="240" w:before="240" w:line="360" w:lineRule="auto"/>
        <w:jc w:val="both"/>
        <w:rPr>
          <w:sz w:val="30"/>
          <w:szCs w:val="30"/>
        </w:rPr>
      </w:pPr>
      <w:bookmarkStart w:colFirst="0" w:colLast="0" w:name="_heading=h.3qw07wqxglfp"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40" w:before="240" w:line="360" w:lineRule="auto"/>
        <w:jc w:val="both"/>
        <w:rPr>
          <w:b w:val="1"/>
          <w:bCs w:val="1"/>
          <w:sz w:val="30"/>
          <w:szCs w:val="30"/>
        </w:rPr>
      </w:pPr>
      <w:bookmarkStart w:colFirst="0" w:colLast="0" w:name="_heading=h.b53gvyyhgi57" w:id="9"/>
      <w:bookmarkEnd w:id="9"/>
      <w:r w:rsidDel="00000000" w:rsidR="00000000" w:rsidRPr="00000000">
        <w:rPr>
          <w:b w:val="1"/>
          <w:bCs w:val="1"/>
          <w:sz w:val="30"/>
          <w:szCs w:val="30"/>
          <w:rtl w:val="0"/>
        </w:rPr>
        <w:t xml:space="preserve">Referencias</w:t>
      </w:r>
    </w:p>
    <w:p w:rsidR="00000000" w:rsidDel="00000000" w:rsidP="00000000" w:rsidRDefault="00000000" w:rsidRPr="00000000" w14:paraId="00000035">
      <w:pPr>
        <w:spacing w:after="240" w:before="240" w:line="360" w:lineRule="auto"/>
        <w:ind w:left="0" w:firstLine="0"/>
        <w:rPr>
          <w:color w:val="1155cc"/>
          <w:sz w:val="24"/>
          <w:szCs w:val="24"/>
          <w:u w:val="single"/>
        </w:rPr>
      </w:pPr>
      <w:r w:rsidDel="00000000" w:rsidR="00000000" w:rsidRPr="00000000">
        <w:rPr>
          <w:sz w:val="24"/>
          <w:szCs w:val="24"/>
          <w:rtl w:val="0"/>
        </w:rPr>
        <w:t xml:space="preserve">Minaj, N. (2021, September 13). </w:t>
      </w:r>
      <w:r w:rsidDel="00000000" w:rsidR="00000000" w:rsidRPr="00000000">
        <w:rPr>
          <w:i w:val="1"/>
          <w:iCs w:val="1"/>
          <w:sz w:val="24"/>
          <w:szCs w:val="24"/>
          <w:rtl w:val="0"/>
        </w:rPr>
        <w:t xml:space="preserve">My cousin in Trinidad won't get the vaccine cuz his friend got it &amp; became impotent. His testicles became swollen...</w:t>
      </w:r>
      <w:r w:rsidDel="00000000" w:rsidR="00000000" w:rsidRPr="00000000">
        <w:rPr>
          <w:sz w:val="24"/>
          <w:szCs w:val="24"/>
          <w:rtl w:val="0"/>
        </w:rPr>
        <w:t xml:space="preserve"> X.</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https://x.com/NICKIMINAJ/status/1437532566945341441</w:t>
        </w:r>
      </w:hyperlink>
      <w:r w:rsidDel="00000000" w:rsidR="00000000" w:rsidRPr="00000000">
        <w:rPr>
          <w:rtl w:val="0"/>
        </w:rPr>
      </w:r>
    </w:p>
    <w:p w:rsidR="00000000" w:rsidDel="00000000" w:rsidP="00000000" w:rsidRDefault="00000000" w:rsidRPr="00000000" w14:paraId="00000036">
      <w:pPr>
        <w:spacing w:after="240" w:before="240" w:line="360" w:lineRule="auto"/>
        <w:ind w:left="0" w:firstLine="0"/>
        <w:rPr>
          <w:sz w:val="24"/>
          <w:szCs w:val="24"/>
        </w:rPr>
      </w:pPr>
      <w:hyperlink r:id="rId14">
        <w:r w:rsidDel="00000000" w:rsidR="00000000" w:rsidRPr="00000000">
          <w:rPr>
            <w:color w:val="1155cc"/>
            <w:sz w:val="24"/>
            <w:szCs w:val="24"/>
            <w:u w:val="single"/>
            <w:rtl w:val="0"/>
          </w:rPr>
          <w:t xml:space="preserve">Business Insider</w:t>
        </w:r>
      </w:hyperlink>
      <w:r w:rsidDel="00000000" w:rsidR="00000000" w:rsidRPr="00000000">
        <w:rPr>
          <w:sz w:val="24"/>
          <w:szCs w:val="24"/>
          <w:rtl w:val="0"/>
        </w:rPr>
        <w:t xml:space="preserve">. (2021, September 14). </w:t>
      </w:r>
      <w:r w:rsidDel="00000000" w:rsidR="00000000" w:rsidRPr="00000000">
        <w:rPr>
          <w:i w:val="1"/>
          <w:iCs w:val="1"/>
          <w:sz w:val="24"/>
          <w:szCs w:val="24"/>
          <w:rtl w:val="0"/>
        </w:rPr>
        <w:t xml:space="preserve">Twitter says Nicki Minaj's bizarre tweet linking COVID-19 vaccines with erectile dysfunction doesn't break its rules on misinformation.</w:t>
      </w:r>
      <w:r w:rsidDel="00000000" w:rsidR="00000000" w:rsidRPr="00000000">
        <w:rPr>
          <w:rtl w:val="0"/>
        </w:rPr>
      </w:r>
    </w:p>
    <w:sectPr>
      <w:type w:val="nextPage"/>
      <w:pgSz w:h="16834" w:w="11909" w:orient="portrait"/>
      <w:pgMar w:bottom="1133.8582677165355" w:top="1133.8582677165355" w:left="1133.8582677165355" w:right="1133.8582677165355"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x.com/NICKIMINAJ/status/1437576473691389954?lang=en&amp;utm_source=chatgpt.com" TargetMode="External"/><Relationship Id="rId12" Type="http://schemas.openxmlformats.org/officeDocument/2006/relationships/hyperlink" Target="https://x.com/NICKIMINAJ/status/1437576473691389954?lang=en&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www.businessinsider.com/twitter-nicki-minaj-covid-19-vaccine-erectile-dysfunction-tweet-allowed-2021-9?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oRfm3Tv7PxsAAsCSGEnjhB8wHg==">CgMxLjAyDmguZXVueXI4dnU2cTU2Mg5oLmZoajE4eXM3dmt1cjIOaC5sbWFxaWtkY3Nnbm0yDmguM2J6Y3YwemZnZDdoMg5oLjNha2U0ZGZuNWNhYTIOaC55ODN3anVvcTlucmQyDmguM2hpejN2ZXpkbTJxMg5oLm5oNWk2Mmllcms1NTIOaC4zcXcwN3dxeGdsZnAyDmguYjUzZ3Z5eWhnaTU3OAByITFCaEVHcncyYlBjZEZiQnF2MmxrOWRNTEVtSnZkNHJScA==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