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nrwi6t5oqmx" w:id="0"/>
      <w:bookmarkEnd w:id="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Confocal image processing protocol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te962d2zv9v0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02/2026 - Inês Marques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60g53z5vcx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Data preparation and preprocessing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tx09c6t3sm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1.1. Raw data and acquisition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Acquire whole‑fish confocal stacks with three channels: nuclear H2B‑GCaMP6s (panneuronal), DsRed reporter (gad1b), and in situ HCR v3.0 (Alexa 647).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 ZEISS LSM 980 with Airyscan 2, 40×/1.2 NA water‑immersion objective, Multiplex 4Y mode, zoom 1.1×,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yellow"/>
          <w:rtl w:val="0"/>
        </w:rPr>
        <w:t xml:space="preserve">voxel size ≈0.05 × 0.05 × 0.25 µm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, 10 tiles with ~10% overlap, reduced stage velocity/acceleration (~20% of default), frame‑sequential acquisition from 640 → 561 → 488 nm, GCaMP laser power ramped from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~0.8% at the top to ~1.5% at the bottom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 a full 3‑channel whole‑fish dataset requires ~8.5 h under these conditions.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Manuel: The laser intensity refers to equivalent power in confocal mode, not to the actual power. The resolution is actually 0.065 x 0.065 x 0.25 (there is some kind of bug in the software, sometimes it appears as 0.05 and others as 0.065. But the former makes the acquisitions too long)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Define three imaging channels: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Channel 1 (GCaMP6s): 488 nm excitation, 500–550 nm emission.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Channel 2 (DsRed): 561 nm excitation, 570–620 nm emission.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Channel 3 (Alexa 647 in situ): 640 nm excitation, 650–700 nm emission.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fish, create a folder with subfolders for raw stacks, preprocessed stacks, and 3D blocks for segmentation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m2hw04leame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1.2. Airyscan Reconstruction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Transfer czi file to MERLIN Computer( it is possible to do this also in confocal computer)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 access Zen, and click module Airyscan Processing or Airyscan Joint Deconvolution. I used Airyscan Processing because it is a more simple deconvolution that takes less time and when imagens have more than 80Gb is impossible to do Joint deconvolution.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Airyscan Processing choose 3D and then we can choose sparse, standard and dense, depending on the type of image and fluorescece we have. For my files I choose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v2x57vw1badj" w:id="5"/>
      <w:bookmarkEnd w:id="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ZEN Airyscan Processing module, input the czi file and click apply. Depending on the size of the image it will take while.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a5m24kzgik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1.3. Tiling and stitching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Manuel: I used BigStitcher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Stitch the Airyscan tiles in ZEN (“Stitching” module) to obtain a single 3D volume per fish.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Export stitched stacks as 16‑bit, three‑channel TIFFs with voxel calibration embedded in the metadata.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ij4cr71gy8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1.4. Background removal and denoising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 the bleach‑corrected nuclear channel: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Downscale in XY if needed to ≈0.1 µm/pixel using bilinear interpolation, keeping the original Z sampling(FIJI).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Subtract background with the rolling‑ball algorithm in FIJI, using a radius approximately equal to or slightly larger than the largest nuclear radius (~50 pixels).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 the nuclear GCaMP channel, correct depth‑dependent attenuation with the bleachcorrection.ipynb script (e.g. histogram matching per Z‑slice while preserving relative contrast).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3D median filtering to remove salt‑and‑pepper noise while preserving edges.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Apply CLAHE slice‑wise (blocksize ≈127, 256 bins, max slope ≈3) to enhance local contrast and recover dim nuclei.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Optionally apply a mild anisotropic 3D Gaussian blur (more smoothing in Z than XY) to reduce z‑elongation and make nuclei more isotropic.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the same resampling, cropping and, if needed, smoothing to the DsRed and in situ channels so that all channels remain spatially aligned with the preprocessed nuclear channel.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d5wtzh6mi3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Model development and benchmarking (single reference volume)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section is done once on a representative fish to choose the segmentation model; only after this selection is made is the chosen model applied to all fish.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90ynqe7fii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2.1. Ground‑truth annotations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Select one representative hindbrain volume (preprocessed nuclear channel).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Manually annotate all nuclei in 3D in napari (or equivalent) to obtain a dense 3D ground truth label volume( I did in one volume with 600x700x 140 slices.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Cellpose training: extract slices in three orthogonal views (XY, XZ, YZ) and annotate ~19 slices per view (~57 slices total, &gt;2000 nuclei).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StarDist3D and SwinCell: use the 3D label volume directly.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Cellpose (2D, orthogonal views):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Partiremdiferentesperspetivas.ipynb to generate XY/ZX/ZY views and 2D crops.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Create three folders (one per view), each with ≈20 augmented slices for human‑in‑the‑loop training in the Cellpose GUI.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vm5mphy2w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2.2. Data augmentation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cellpose data aumentations were done with: </w:t>
      </w:r>
      <w:commentRangeStart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 to find the script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StarDist3D and SwinCell: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dataumentations3Dlatest.py to apply 3D augmentations (rotations, flips, elastic deformations, intensity scaling, etc.) to the volume and labels.an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gpmvxh1teo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2.3. Training individual models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 StarDist3D with train_stardist3D3dez.py, using the 3D GT and the optimised patch size, learning rate and loss weights.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 SwinCell with trainswincell2dezcomval.py, using Dice loss on the mask and MSE on the flow field, with the hyperparameters that gave stable convergence.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Fine‑tune Cellpose cyto3: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Start from the generic “cyto3” model.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Cellpose GUI in human‑in‑the‑loop mode on the three orthogonal view folders.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the fine‑tuned model (“cyto3 ft”) for 3D inference.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h6e6xz20akh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2.4. Model benchmarking and selection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 the same annotated 3D reference volume, run inference with: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Fine‑tuned Cellpose cyto3 and other cellulose models(via Cellpose CLI, command below).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StarDist3D (predict_stardist3d3dez.py).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SwinCell(inferswincell3dez.py 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Compute, with comparisonmodels.py: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Voxelwise Dice, IoU, Precision, Recall.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Instance‑wise average precision (AP) at multiple IoU thresholds (AP0.5, AP0.75, AP0.5–0.95).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Volume distributions (model vs ground truth) to assess size bias.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the final segmentation model according to: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Highest voxelwise Dice/IoU.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Highest AP across IoU thresholds 0.5–0.95.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Acceptable runtime and GPU memory requirements for whole‑fish volumes.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In this pipeline, the fine‑tuned Cellpose cyto3 model achieved the best balance between accuracy (e.g. Dice ≈0.88, IoU ≈0.78 on the reference volume) and practicality, and was selected as the model to apply to all fish.</w:t>
      </w:r>
    </w:p>
    <w:p w:rsidR="00000000" w:rsidDel="00000000" w:rsidP="00000000" w:rsidRDefault="00000000" w:rsidRPr="00000000" w14:paraId="0000004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tck5lm0wff8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Full‑volume segmentation with the chosen model</w:t>
      </w:r>
    </w:p>
    <w:p w:rsidR="00000000" w:rsidDel="00000000" w:rsidP="00000000" w:rsidRDefault="00000000" w:rsidRPr="00000000" w14:paraId="0000004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this point onward, all fish are processed with the single selected segmentation model (here, fine‑tuned Cellpose).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syrzpb0wol8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3.1. Block‑wise segmentation of whole fish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Because each stitched volume is ~11 GB, perform segmentation in overlapping Z‑blocks: e.g. 0–100, 80–200, 160–260, 240–end slices, with ~20‑slice overlap.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the full XY field of view for every block.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block, run Cellpose on the nuclear channel (or a three‑channel stack if using multi‑channel inference), with a command similar to:</w:t>
      </w:r>
    </w:p>
    <w:p w:rsidR="00000000" w:rsidDel="00000000" w:rsidP="00000000" w:rsidRDefault="00000000" w:rsidRPr="00000000" w14:paraId="0000004E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4F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cellpose `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--image_path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"D:\User data\...\Downscaledwholefish3_3channelshalfleft_apenasnuclei_ZattenuationCorrected_Cellpose_0a100clahe.tif"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`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--pretrained_model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"D:\User data\...\models cellpose\hindbrain_cyto3_finetune"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`</w:t>
      </w:r>
    </w:p>
    <w:p w:rsidR="00000000" w:rsidDel="00000000" w:rsidP="00000000" w:rsidRDefault="00000000" w:rsidRPr="00000000" w14:paraId="00000052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--restore_type denoise_cyto3 `</w:t>
      </w:r>
    </w:p>
    <w:p w:rsidR="00000000" w:rsidDel="00000000" w:rsidP="00000000" w:rsidRDefault="00000000" w:rsidRPr="00000000" w14:paraId="00000053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--use_gpu `</w:t>
      </w:r>
    </w:p>
    <w:p w:rsidR="00000000" w:rsidDel="00000000" w:rsidP="00000000" w:rsidRDefault="00000000" w:rsidRPr="00000000" w14:paraId="00000054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--do_3D `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--anisotropy 2.5 `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--flow_threshold 0.4 `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--cellprob_threshold -5 `</w:t>
      </w:r>
    </w:p>
    <w:p w:rsidR="00000000" w:rsidDel="00000000" w:rsidP="00000000" w:rsidRDefault="00000000" w:rsidRPr="00000000" w14:paraId="00000058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--stitch_threshold 0.4 `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--niter 600 `</w:t>
      </w:r>
    </w:p>
    <w:p w:rsidR="00000000" w:rsidDel="00000000" w:rsidP="00000000" w:rsidRDefault="00000000" w:rsidRPr="00000000" w14:paraId="0000005A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--min_size 2000 `</w:t>
      </w:r>
    </w:p>
    <w:p w:rsidR="00000000" w:rsidDel="00000000" w:rsidP="00000000" w:rsidRDefault="00000000" w:rsidRPr="00000000" w14:paraId="0000005B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--save_tif `</w:t>
      </w:r>
    </w:p>
    <w:p w:rsidR="00000000" w:rsidDel="00000000" w:rsidP="00000000" w:rsidRDefault="00000000" w:rsidRPr="00000000" w14:paraId="0000005C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--save_outlines `</w:t>
      </w:r>
    </w:p>
    <w:p w:rsidR="00000000" w:rsidDel="00000000" w:rsidP="00000000" w:rsidRDefault="00000000" w:rsidRPr="00000000" w14:paraId="0000005D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--save_png `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--no_npy `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--output_name fish5_180a300_denoise3Dflow `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--verbose `</w:t>
      </w:r>
    </w:p>
    <w:p w:rsidR="00000000" w:rsidDel="00000000" w:rsidP="00000000" w:rsidRDefault="00000000" w:rsidRPr="00000000" w14:paraId="00000061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--flow3D_smooth 3</w:t>
      </w:r>
    </w:p>
    <w:p w:rsidR="00000000" w:rsidDel="00000000" w:rsidP="00000000" w:rsidRDefault="00000000" w:rsidRPr="00000000" w14:paraId="00000062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3D mode, anisotropy ≈2.5, cellprob_threshold = −5 and flow3D_smooth = 3 to maximise sensitivity and obtain smooth flows.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shrg7vlqcfi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3.2. </w:t>
      </w:r>
      <w:commentRangeStart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Block merging and de‑duplication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fish, merge the four block‑level label volumes into one full‑volume label map with a custom merging script: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overlapping regions, match labels using IoU or centroid distance and keep a single label per cell.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Resolve conflicts by preferring the instance with higher confidence (or larger overlap with neighbours) if such a measure is available.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tqbvkcs3mf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3.3. Post‑processing of segmented nuclei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Post-processing is actually done before the block merging in the code - Manuel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postprocessingfill.py on the merged segmentation: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Fill small holes in nuclear masks.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Smooth jagged boundaries to obtain more rounded nuclei.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Optionally, filter instances by volume (e.g. remove objects below a minimum volume threshold or above a maximum expected nuclear size).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mayvhm89w50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3.4. Overlap classification bookkeeping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This overalp_full.py is also done in the block stage, and its not just ‘a file mapping each nucleus …’ it is the classification for the in-situ and dsred. How do i merge this data afterwards? This contradicts the point 4… I can’t run the thing on the whole volume - Manuel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overlap_full.py to produce a file mapping each nucleus to the blocks where it was detected.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this mapping in downstream analysis to ensure each cell is counted only once, even if it originally appeared in overlapping blocks.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sn345agycke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Co‑expression classification (DsRed and in situ)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em5w7mt8z75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4.1. Manual point annotations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fish, select at least three representative Z‑slices spanning superficial, mid‑depth and deep regions.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the corresponding TIFFs in FIJI, including: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Nuclear segmentation masks.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DsRed channel.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situ (Alexa 647) channel.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Overlay masks and fluorescence channels with partial transparency.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Multipoint tool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click the centre of each visually positive cell (DsRed or in situ, depending on the label being annotated).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all points to the ROI Manager and export as a table; XM and YM columns store the image coordinates and serve as ground‑truth labels.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81cd3x27jgh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4.2. DsRed feature selection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the DsRed analysis script to: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Load nuclear masks and DsRed channel.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every annotated slice, compute per‑cell metrics (mean intensity, median, max, integrated density, fraction of voxels above a percentile).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Quantify how well each metric separates manually labelled positive and negative cells (e.g. ROC/AUC, F1 after thresholding).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metric that performs best; in this dataset, the fraction of bright voxels above ~P85–P90 separated positives and negatives best and was chosen as the DsRed score.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73cs9tj5k8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4.3. In situ shell optimisation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3jan_shellchoose.py to optimise shell geometry and intensity threshold for in situ classification: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Define perinuclear shells via inner and outer radii in pixels (inner radius can be negative to extend into the nucleus; outer radius is positive, covering perinuclear cytoplasm).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(inner, outer) pair and each percentile P (e.g. P60–P95):</w:t>
      </w:r>
    </w:p>
    <w:p w:rsidR="00000000" w:rsidDel="00000000" w:rsidP="00000000" w:rsidRDefault="00000000" w:rsidRPr="00000000" w14:paraId="00000088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 per‑cell fraction of voxels above P within the shell.</w:t>
      </w:r>
    </w:p>
    <w:p w:rsidR="00000000" w:rsidDel="00000000" w:rsidP="00000000" w:rsidRDefault="00000000" w:rsidRPr="00000000" w14:paraId="00000089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Apply Otsu threshold to this fraction to classify cells as in situ+ / in situ−.</w:t>
      </w:r>
    </w:p>
    <w:p w:rsidR="00000000" w:rsidDel="00000000" w:rsidP="00000000" w:rsidRDefault="00000000" w:rsidRPr="00000000" w14:paraId="0000008A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 F1, Precision, Recall versus manual labels.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Inspect the resulting metric curves and heatmaps to find a robust setting; here, P85–P90, and particularly P90, gave the most stable F1 across shells.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One high‑performing shell used an inner radius of −5 px and an outer radius of +3 px, capturing a small intranuclear region plus a compact perinuclear shell.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1k2g2oe0j28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4.4. Final classification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the main classification script with: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Inputs: full 3D DsRed TIFF, in situ TIFF, and the nuclear mask volume.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91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DsRed: bright‑pixel fraction at P85–P90 with an automatically determined (e.g. Otsu) threshold.</w:t>
      </w:r>
    </w:p>
    <w:p w:rsidR="00000000" w:rsidDel="00000000" w:rsidP="00000000" w:rsidRDefault="00000000" w:rsidRPr="00000000" w14:paraId="00000092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In situ: shell geometry (inner −5 px, outer +3 px) and percentile P90 with Otsu threshold on the bright‑pixel fraction.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nucleus: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 the DsRed score and in situ score.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Apply thresholds to label the cell as DsRed+/in situ+, DsRed+/in situ−, DsRed−/in situ+, or DsRed−/in situ−.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a table containing nucleus ID, centroid coordinates, volume, and binary labels for DsRed and in situ.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9fpx3jubcl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4.5. Permutation‑based validation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dsredpermutation.py to assess whether classifier performance is above chance: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Shuffle class labels within each slice while preserving the number of positives and negatives.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Recalculate F1 for each shuffle (e.g. 5000 iterations) to build a null distribution.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the observed mean F1 to the null distribution and compute an empirical p‑value.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In this pipeline, the observed F1 fell far above the null distribution (empirical p ≈0.0002), supporting that classification reflects meaningful signal rather than chance.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iggjm9nt0s5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Application to all fish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every fish:</w:t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the preprocessing in Section 1.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Segment with the single chosen model from Section 2 (e.g. fine‑tuned Cellpose).</w:t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Merge and post‑process labels, and compute overlap bookkeeping (Section 3).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the fixed DsRed and in situ classification parameters determined once in Section 4 (do not re‑optimise per fish).</w:t>
      </w:r>
    </w:p>
    <w:p w:rsidR="00000000" w:rsidDel="00000000" w:rsidP="00000000" w:rsidRDefault="00000000" w:rsidRPr="00000000" w14:paraId="000000A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ordering ensures that model selection and parameter optimisation are done once on a reference dataset, and then consistently applied to all fish before computing overlaps and classification statistics.</w:t>
      </w:r>
    </w:p>
    <w:p w:rsidR="00000000" w:rsidDel="00000000" w:rsidP="00000000" w:rsidRDefault="00000000" w:rsidRPr="00000000" w14:paraId="000000A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ês Marques" w:id="1" w:date="2026-01-12T16:57:07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script in merlin</w:t>
      </w:r>
    </w:p>
  </w:comment>
  <w:comment w:author="Inês Marques" w:id="0" w:date="2026-01-12T16:54:21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in merlin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