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Testatika: Functional Principle “Earth – Cloud – Thunderstorm”</w:t>
      </w:r>
    </w:p>
    <w:p>
      <w:pPr>
        <w:pStyle w:val="Subtitle"/>
        <w:jc w:val="center"/>
      </w:pPr>
      <w:r>
        <w:t>Source-guided technical working hypothesis – updated with self-excitation and phase commutation</w:t>
      </w:r>
    </w:p>
    <w:p>
      <w:pPr>
        <w:pStyle w:val="Heading1"/>
      </w:pPr>
      <w:r>
        <w:t>1. Executive summary</w:t>
      </w:r>
    </w:p>
    <w:p>
      <w:r>
        <w:t>The most coherent current model is a phase-controlled electrostatic charge-state machine: variable capacitance and influence create angle-dependent charge states; grids shape the field; non-contact pickups sense/collect charge changes; crystal/diode routes and commutates charge; capacitors store and smooth it. This does not identify a net-energy source.</w:t>
      </w:r>
    </w:p>
    <w:p>
      <w:pPr>
        <w:pStyle w:val="Heading1"/>
      </w:pPr>
      <w:r>
        <w:t>2. “Earth” and “cloud”</w:t>
      </w:r>
    </w:p>
    <w:p>
      <w:r>
        <w:t>The historical terminology is conservatively read as two opposing potential/field reservoirs. The thunderstorm analogy describes repeated charge separation and controlled transfer, not proven capture of literal lightning.</w:t>
      </w:r>
    </w:p>
    <w:p>
      <w:pPr>
        <w:pStyle w:val="Heading1"/>
      </w:pPr>
      <w:r>
        <w:t>3. Variable capacitance and influence</w:t>
      </w:r>
    </w:p>
    <w:p>
      <w:r>
        <w:t>Q = C(θ)·V; I = dQ/dt = C·dV/dt + V·dC/dt. Rotating conductive sectors alter the capacitance matrix to fixed electrodes and can therefore generate displacement/influence currents without rubbing contact.</w:t>
      </w:r>
    </w:p>
    <w:p>
      <w:pPr>
        <w:pStyle w:val="Heading1"/>
      </w:pPr>
      <w:r>
        <w:t>4. Grids and pickups</w:t>
      </w:r>
    </w:p>
    <w:p>
      <w:r>
        <w:t>Perforated grids are plausible field-forming/floating electrodes with edge-field, surface-charge and possible corona/ion roles. “Taster/antenna keys” are best treated as non-contact capacitive influence pickups unless RF behavior is actually measured.</w:t>
      </w:r>
    </w:p>
    <w:p>
      <w:pPr>
        <w:pStyle w:val="Heading1"/>
      </w:pPr>
      <w:r>
        <w:t>5. Crystal / diode</w:t>
      </w:r>
    </w:p>
    <w:p>
      <w:r>
        <w:t>Marinov reports the term “crystal”; the institutional text assigns a rectifier an unusual cycle-control role. A nonlinear charge path selecting polarity, threshold and rotor phase is therefore a useful falsifiable model.</w:t>
      </w:r>
    </w:p>
    <w:p>
      <w:pPr>
        <w:pStyle w:val="Heading1"/>
      </w:pPr>
      <w:r>
        <w:t>6. Electrostatic torque</w:t>
      </w:r>
    </w:p>
    <w:p>
      <w:r>
        <w:t>For a simplified fixed-voltage structure, τ_el ≈ 1/2·V²·dC/dθ. Torque sign and magnitude depend on which charge state exists at each rotor angle.</w:t>
      </w:r>
    </w:p>
    <w:p>
      <w:pPr>
        <w:pStyle w:val="Heading1"/>
      </w:pPr>
      <w:r>
        <w:t>7. Slow and steady speed</w:t>
      </w:r>
    </w:p>
    <w:p>
      <w:r>
        <w:t>RC time, surface leakage, dielectric relaxation, corona/ion transport and nonlinear thresholds can make rotor speed part of the electrical state machine rather than merely a mechanical parameter.</w:t>
      </w:r>
    </w:p>
    <w:p>
      <w:pPr>
        <w:pStyle w:val="Heading1"/>
      </w:pPr>
      <w:r>
        <w:t>8. Small M2 versus large M6</w:t>
      </w:r>
    </w:p>
    <w:p>
      <w:r>
        <w:t>M2 is the ~200-mm floating-sector small-machine line with two-terminal capacitor pots and no conventional built-in motor in Marinov’s description. M6 is a ~500-mm counterrotating family with perforated stators and much more complex grid/coil/magnet cylinders; Hauser M6a includes a small DC-motor/magnet-wheel system.</w:t>
      </w:r>
    </w:p>
    <w:p>
      <w:pPr>
        <w:pStyle w:val="Heading1"/>
      </w:pPr>
      <w:r>
        <w:t>9. Small side pots</w:t>
      </w:r>
    </w:p>
    <w:p>
      <w:r>
        <w:t>The M2 pots are best-evidence capacitors: outer conductive grid, plastic/PMMA dielectric, inner copper spiral electrode, two external leads. They should not be relabelled as Tesla coils.</w:t>
      </w:r>
    </w:p>
    <w:p>
      <w:pPr>
        <w:pStyle w:val="Heading1"/>
      </w:pPr>
      <w:r>
        <w:t>10. Why dry air helps</w:t>
      </w:r>
    </w:p>
    <w:p>
      <w:r>
        <w:t>Dry air increases effective surface leakage resistance on PMMA/insulators, allowing floating sectors to retain charge longer. Humidity also alters corona and ion transport. V(t)=V0·exp[-t/(R_leak·C)].</w:t>
      </w:r>
    </w:p>
    <w:p>
      <w:pPr>
        <w:pStyle w:val="Heading1"/>
      </w:pPr>
      <w:r>
        <w:t>11. Slow mechanics, faster electrical events</w:t>
      </w:r>
    </w:p>
    <w:p>
      <w:r>
        <w:t>A 50-sector disk at 60 rpm gives about 50 sector passages/s at a fixed electrode; two counterrotating patterns can give relative event rates of order 100 Hz. This is a model estimate, not a historical frequency measurement.</w:t>
      </w:r>
    </w:p>
    <w:p>
      <w:pPr>
        <w:pStyle w:val="Heading1"/>
      </w:pPr>
      <w:r>
        <w:t>12. Storage and impedance conversion</w:t>
      </w:r>
    </w:p>
    <w:p>
      <w:r>
        <w:t>The primary electrostatic stage is expected to be high-voltage/high-impedance. Capacitor/diode stages can collect and redistribute pulses. Any true transformer action requires time-varying current rather than ideal steady DC.</w:t>
      </w:r>
    </w:p>
    <w:p>
      <w:pPr>
        <w:pStyle w:val="Heading1"/>
      </w:pPr>
      <w:r>
        <w:t>13. Artificial-thunderstorm cycle</w:t>
      </w:r>
    </w:p>
    <w:p>
      <w:r>
        <w:t>Priming/bias → opposing field states → C(θ) modulation → grid field shaping → non-contact pickup → crystal/diode commutation → storage → electrostatic torque → speed stabilization → output/load.</w:t>
      </w:r>
    </w:p>
    <w:p>
      <w:pPr>
        <w:pStyle w:val="Heading1"/>
      </w:pPr>
      <w:r>
        <w:t>14. Supported vs unresolved</w:t>
      </w:r>
    </w:p>
    <w:p>
      <w:r>
        <w:t>Relatively well supported: electrostatic influence, non-contact pickup, floating M2 conductors, capacitor nature of M2 pots, functional grids, humidity sensitivity. Unresolved: exact wiring, crystal material/I-V, polarities, priming, magnet/coil roles and the source of claimed high output.</w:t>
      </w:r>
    </w:p>
    <w:p>
      <w:pPr>
        <w:pStyle w:val="Heading1"/>
      </w:pPr>
      <w:r>
        <w:t>15. Energy boundary</w:t>
      </w:r>
    </w:p>
    <w:p>
      <w:r>
        <w:t>High voltage, an arc or a briefly powered load is not a closed energy balance. Mechanical drive, bias/auxiliary input, initial/final storage and real load energy must all be measured simultaneously.</w:t>
      </w:r>
    </w:p>
    <w:p>
      <w:pPr>
        <w:pStyle w:val="Heading1"/>
      </w:pPr>
      <w:r>
        <w:t>16. Atmospheric-electricity power density</w:t>
      </w:r>
    </w:p>
    <w:p>
      <w:r>
        <w:t>Ordinary fair-weather atmospheric conduction current is only in the pA/m² range; established atmospheric physics therefore cannot explain sustained hundreds of watts from a compact indoor collector. Plauson/Jefimenko remain useful electrostatic comparisons, not scaling proof.</w:t>
      </w:r>
    </w:p>
    <w:p>
      <w:pPr>
        <w:pStyle w:val="Heading1"/>
      </w:pPr>
      <w:r>
        <w:t>17. Load without visible speed sag</w:t>
      </w:r>
    </w:p>
    <w:p>
      <w:r>
        <w:t>If reports of hundreds of watts or a nominal 1-kW lamp are genuine and rotor speed barely changes, the disks are unlikely to be the direct mechanical source of that power. Stored capacitor energy, regulation/auxiliary drive, lower actual load, or a separately timed power path must be tested.</w:t>
      </w:r>
    </w:p>
    <w:p>
      <w:pPr>
        <w:pStyle w:val="Heading1"/>
      </w:pPr>
      <w:r>
        <w:t>18. Highest-priority experiments</w:t>
      </w:r>
    </w:p>
    <w:p>
      <w:r>
        <w:t>Phase-resolved nodes+torque; mesh-vs-foil; crystal open/short/R/C/diode thresholds; humidity/PMMA matrix; load reaction with full energy balance; shield-plate variants; separately measured M6 motor/auxiliary input.</w:t>
      </w:r>
    </w:p>
    <w:p>
      <w:pPr>
        <w:pStyle w:val="Heading1"/>
      </w:pPr>
      <w:r>
        <w:t>19. Precise current formulation</w:t>
      </w:r>
    </w:p>
    <w:p>
      <w:r>
        <w:t>Phase-controlled electrostatic charge-state management of a variable-C machine with floating rotor conductors, non-contact pickups, grid field control, nonlinear crystal/diode commutation, separated drive/storage nodes and cyclic bias regeneration.</w:t>
      </w:r>
    </w:p>
    <w:p>
      <w:pPr>
        <w:pStyle w:val="Heading1"/>
      </w:pPr>
      <w:r>
        <w:t>20. Source basis</w:t>
      </w:r>
    </w:p>
    <w:p>
      <w:r>
        <w:t>The repository’s Marinov/Hauser scans, Methernitha text, Holzherr/Cathomen reports, M2/M6 source maps, control-replication audits and conventional electrostatic comparisons are the evidence base. Unknown historical wiring remains explicitly hypothetical.</w:t>
      </w:r>
    </w:p>
    <w:p>
      <w:pPr>
        <w:pStyle w:val="Heading1"/>
      </w:pPr>
      <w:r>
        <w:t>21. New core hypothesis: self-excitation rather than classical resonance</w:t>
      </w:r>
    </w:p>
    <w:p>
      <w:r>
        <w:t>The surviving Methernitha description assigns the rectifying diode an unusual regulation role: it is said to hold the attraction/repulsion cycle in a steady state; without it the impulses would continue to add and the disks accelerate. This points to a self-excited electromechanical feedback loop, as a working hypothesis rather than a proven historical circuit.</w:t>
      </w:r>
    </w:p>
    <w:p>
      <w:pPr>
        <w:pStyle w:val="Heading2"/>
      </w:pPr>
      <w:r>
        <w:t>21.1 Closed electromechanical feedback loop</w:t>
      </w:r>
    </w:p>
    <w:p>
      <w:pPr>
        <w:jc w:val="center"/>
      </w:pPr>
      <w:r>
        <w:rPr>
          <w:rFonts w:ascii="Cambria Math" w:hAnsi="Cambria Math"/>
          <w:sz w:val="22"/>
        </w:rPr>
        <w:t>ω → C(θ) → Q,V → τ_el → ω</w:t>
      </w:r>
    </w:p>
    <w:p>
      <w:pPr>
        <w:jc w:val="center"/>
      </w:pPr>
      <w:r>
        <w:rPr>
          <w:rFonts w:ascii="Cambria Math" w:hAnsi="Cambria Math"/>
          <w:sz w:val="22"/>
        </w:rPr>
        <w:t>Q=C(θ)·V</w:t>
      </w:r>
    </w:p>
    <w:p>
      <w:pPr>
        <w:jc w:val="center"/>
      </w:pPr>
      <w:r>
        <w:rPr>
          <w:rFonts w:ascii="Cambria Math" w:hAnsi="Cambria Math"/>
          <w:sz w:val="22"/>
        </w:rPr>
        <w:t>τ_el ≈ 1/2·V²·dC/dθ</w:t>
      </w:r>
    </w:p>
    <w:p>
      <w:pPr>
        <w:pStyle w:val="Heading2"/>
      </w:pPr>
      <w:r>
        <w:t>21.2 Why the rotor can “run away”</w:t>
      </w:r>
    </w:p>
    <w:p>
      <w:pPr>
        <w:jc w:val="center"/>
      </w:pPr>
      <w:r>
        <w:rPr>
          <w:rFonts w:ascii="Cambria Math" w:hAnsi="Cambria Math"/>
          <w:sz w:val="22"/>
        </w:rPr>
        <w:t>ΔE_Rotor = ∮ τ_el(θ)dθ</w:t>
      </w:r>
    </w:p>
    <w:p>
      <w:pPr>
        <w:jc w:val="center"/>
      </w:pPr>
      <w:r>
        <w:rPr>
          <w:rFonts w:ascii="Cambria Math" w:hAnsi="Cambria Math"/>
          <w:sz w:val="22"/>
        </w:rPr>
        <w:t>E_rot,n+1 = E_rot,n + ΔE_el − E_loss</w:t>
      </w:r>
    </w:p>
    <w:p>
      <w:r>
        <w:t>Positive net work per revolution increases speed: positive feedback/self-excitation, without requiring an LC resonance.</w:t>
      </w:r>
    </w:p>
    <w:p>
      <w:pPr>
        <w:pStyle w:val="Heading2"/>
      </w:pPr>
      <w:r>
        <w:t>21.3 Diode / “crystal” as electrostatic commutator</w:t>
      </w:r>
    </w:p>
    <w:p>
      <w:r>
        <w:t>The nonlinear path can determine when charge may flow: charge → drive → transfer → reverse-current block/reset. A threshold I=f(V) can select polarity, threshold and indirectly rotor phase.</w:t>
      </w:r>
    </w:p>
    <w:p>
      <w:pPr>
        <w:pStyle w:val="Heading2"/>
      </w:pPr>
      <w:r>
        <w:t>21.4 Resonance? More likely phase synchronization</w:t>
      </w:r>
    </w:p>
    <w:p>
      <w:pPr>
        <w:jc w:val="center"/>
      </w:pPr>
      <w:r>
        <w:rPr>
          <w:rFonts w:ascii="Cambria Math" w:hAnsi="Cambria Math"/>
          <w:sz w:val="22"/>
        </w:rPr>
        <w:t>T_segment ~ τ_RC = R·C</w:t>
      </w:r>
    </w:p>
    <w:p>
      <w:r>
        <w:t>A phase-locked operating point involving rotor period, RC/leak/relaxation times, corona/ion transport and crystal threshold is more directly supported than an unmeasured LC eigenresonance. “Phase-synchronous electrostatic self-excitation” is the more precise term.</w:t>
      </w:r>
    </w:p>
    <w:p>
      <w:pPr>
        <w:pStyle w:val="Heading2"/>
      </w:pPr>
      <w:r>
        <w:t>21.5 Pendulum/escapement analogy</w:t>
      </w:r>
    </w:p>
    <w:p>
      <w:r>
        <w:t>Like a pendulum receiving a correctly timed +ΔE push each pass, positive electrostatic work per cycle can build rotational energy. Crystal/diode would function like an electrical escapement/commutator limiting and synchronizing the cycle.</w:t>
      </w:r>
    </w:p>
    <w:p>
      <w:pPr>
        <w:pStyle w:val="Heading2"/>
      </w:pPr>
      <w:r>
        <w:t>21.6 Modern analogues</w:t>
      </w:r>
    </w:p>
    <w:p>
      <w:r>
        <w:t>Variable capacitance + diodes + capacitors + phase-dependent charge states are established electromechanics in self-priming dielectric-elastomer and MEMS electrostatic harvesters with voltage multipliers/charge-pump cycles. This supports the circuit logic, not over-unity.</w:t>
      </w:r>
    </w:p>
    <w:p>
      <w:pPr>
        <w:pStyle w:val="Heading2"/>
      </w:pPr>
      <w:r>
        <w:t>21.7 Two energetically distinct loops</w:t>
      </w:r>
    </w:p>
    <w:p>
      <w:pPr>
        <w:jc w:val="center"/>
      </w:pPr>
      <w:r>
        <w:rPr>
          <w:rFonts w:ascii="Cambria Math" w:hAnsi="Cambria Math"/>
          <w:sz w:val="22"/>
        </w:rPr>
        <w:t>Drive/control: rotor → C(θ) → grids/pickups → crystal/diode → τ → rotor</w:t>
      </w:r>
    </w:p>
    <w:p>
      <w:pPr>
        <w:jc w:val="center"/>
      </w:pPr>
      <w:r>
        <w:rPr>
          <w:rFonts w:ascii="Cambria Math" w:hAnsi="Cambria Math"/>
          <w:sz w:val="22"/>
        </w:rPr>
        <w:t>Power/storage: external source ? → storage/converter → load (rotor-timed)</w:t>
      </w:r>
    </w:p>
    <w:p>
      <w:pPr>
        <w:jc w:val="center"/>
      </w:pPr>
      <w:r>
        <w:rPr>
          <w:rFonts w:ascii="Cambria Math" w:hAnsi="Cambria Math"/>
          <w:sz w:val="22"/>
        </w:rPr>
        <w:t>P_source ≥ P_load + P_losses</w:t>
      </w:r>
    </w:p>
    <w:p>
      <w:r>
        <w:t>The rotors may gate a larger energy flow without creating it. That can explain weak load-to-rotor coupling in principle; the source of the power path remains unresolved.</w:t>
      </w:r>
    </w:p>
    <w:p>
      <w:pPr>
        <w:pStyle w:val="Heading2"/>
      </w:pPr>
      <w:r>
        <w:t>21.8 Direct falsification</w:t>
      </w:r>
    </w:p>
    <w:p>
      <w:pPr>
        <w:pStyle w:val="ListBullet"/>
      </w:pPr>
      <w:r>
        <w:t>crystal open/short/R/C/different diode thresholds</w:t>
      </w:r>
    </w:p>
    <w:p>
      <w:pPr>
        <w:pStyle w:val="ListBullet"/>
      </w:pPr>
      <w:r>
        <w:t>speed sweep for phase optimum</w:t>
      </w:r>
    </w:p>
    <w:p>
      <w:pPr>
        <w:pStyle w:val="ListBullet"/>
      </w:pPr>
      <w:r>
        <w:t>torque + every node versus rotor angle</w:t>
      </w:r>
    </w:p>
    <w:p>
      <w:pPr>
        <w:pStyle w:val="ListBullet"/>
      </w:pPr>
      <w:r>
        <w:t>separate drive/bias and load/storage loading</w:t>
      </w:r>
    </w:p>
    <w:p>
      <w:pPr>
        <w:pStyle w:val="ListBullet"/>
      </w:pPr>
      <w:r>
        <w:t>measure motor/auxiliary input under load</w:t>
      </w:r>
    </w:p>
    <w:p>
      <w:pPr>
        <w:pStyle w:val="ListBullet"/>
      </w:pPr>
      <w:r>
        <w:t>account all stored energy before/after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