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Testatika: Functional Principle “Earth – Cloud – Thunderstorm”</w:t>
      </w:r>
    </w:p>
    <w:p>
      <w:pPr>
        <w:pStyle w:val="subtitle"/>
      </w:pPr>
      <w:r>
        <w:t>Summary of the technical analysis to date of the repository
inetconnector/testatika-small-research-replica</w:t>
      </w:r>
    </w:p>
    <w:p>
      <w:r>
        <w:t>Status: 17 August 2026</w:t>
      </w:r>
    </w:p>
    <w:p>
      <w:r>
        <w:t/>
      </w:r>
    </w:p>
    <w:p>
      <w:pPr>
        <w:pStyle w:val="quote"/>
      </w:pPr>
      <w:r>
        <w:t>Scientific classification This document presents a source-guided working hypothesis for the Testatika. It is not evidence for “free energy” or over-unity. The surviving sources document parts of the geometry and several statements about the operating principle, but no complete authentic circuit diagram and no independently closed net-energy balance.</w:t>
      </w:r>
    </w:p>
    <w:p>
      <w:r>
        <w:t/>
      </w:r>
    </w:p>
    <w:p>
      <w:pPr>
        <w:pStyle w:val="h1"/>
      </w:pPr>
      <w:r>
        <w:t>1. Executive summary</w:t>
      </w:r>
    </w:p>
    <w:p>
      <w:r>
        <w:t>The most coherent interpretation currently is: The Testatika continuously recreates an artificial electrostatic “cloud–earth” situation inside the machine. Rotating disks change capacitances and electric-field boundary conditions; perforated grids shape and retain charge states; non-contact pickup electrodes collect influence/displacement currents; a nonlinear crystal/diode path sorts charge as a function of phase and may therefore act both as a rectifier and as an electrostatic commutator. Capacitor stages integrate the individual charge pulses. Rotor speed can settle at a stable operating point through the phase relationship between mechanical rotation and electrical time constants.</w:t>
      </w:r>
    </w:p>
    <w:p>
      <w:r>
        <w:t>Important: This can plausibly explain the charge-routing and control architecture. It does not identify the energy source behind the historical high-output claims.</w:t>
      </w:r>
    </w:p>
    <w:p>
      <w:pPr>
        <w:pStyle w:val="h1"/>
      </w:pPr>
      <w:r>
        <w:t>2. What “earth” and “cloud” most likely mean</w:t>
      </w:r>
    </w:p>
    <w:p>
      <w:r>
        <w:t>In the surviving Methernitha description, one disk is described as representing the “earth” and the other the “cloud”. This should not initially be read as a literal connection to a real thundercloud. The most conservative technical translation is:</w:t>
      </w:r>
    </w:p>
    <w:p>
      <w:r>
        <w:t>• “Cloud” = an electrostatic potential/field region or charge reservoir.</w:t>
      </w:r>
    </w:p>
    <w:p>
      <w:r>
        <w:t>• “Earth” = the opposing potential/field region or opposite polarity space.</w:t>
      </w:r>
    </w:p>
    <w:p>
      <w:r>
        <w:t>• The two counterrotating disks generate or modulate these opposing field states.</w:t>
      </w:r>
    </w:p>
    <w:p>
      <w:r>
        <w:t>• The “lightning” corresponds, in this interpretation, to short charge-transfer events or pulses between nodes.</w:t>
      </w:r>
    </w:p>
    <w:p>
      <w:r>
        <w:t>Thunderstorm analogy: In a real thunderstorm, strong charge separation and an electric field form first; only then, under suitable conditions, does fast charge transport occur. Transferred to the Testatika, the actual lightning is not itself assumed to be the energy source. Rather, the machine would create a continuous sequence of small, controlled discharge/charge-transfer events within an artificial electrostatic field structure.</w:t>
      </w:r>
    </w:p>
    <w:p>
      <w:pPr>
        <w:pStyle w:val="h1"/>
      </w:pPr>
      <w:r>
        <w:t>3. Most likely overall operating principle</w:t>
      </w:r>
    </w:p>
    <w:p>
      <w:r>
        <w:t>Working label: rotating electrostatic variable-C machine + influence generator + electrostatic motor + phase-controlled charge pump + storage/impedance conversion.</w:t>
      </w:r>
    </w:p>
    <w:p>
      <w:pPr>
        <w:pStyle w:val="mono"/>
      </w:pPr>
      <w:r>
        <w:t>START / PRIMING / RESIDUAL CHARGE
          |
          v
[CLOUD / EARTH: two potential regions]
          |
          v
[counterrotating segmented disks]
          |
      C = C(theta)
          |
 influence / field change
          |
          v
[perforated grids / stationary electrodes]
          |
          v
[non-contact pickup electrodes]
          |
          v
[charge sorting / crystal / diode]
       /                  \
      v                    v
[HV DRIVE BUS]        [STORAGE / OUTPUT]
      |                    |
 electrostatic         capacitor
    torque             integration
      |                    |
      v                    v
    ROTOR              DC / LOAD
      ^
      |
 phase-dependent
 feedback / regulation
</w:t>
      </w:r>
    </w:p>
    <w:p>
      <w:pPr>
        <w:pStyle w:val="h1"/>
      </w:pPr>
      <w:r>
        <w:t>4. Why rotation generates electrical charge pulses</w:t>
      </w:r>
    </w:p>
    <w:p>
      <w:r>
        <w:t>The central conventional mechanism is angle-dependent capacitance. When conducting sectors move relative to stationary electrodes, their mutual capacitances change. For a simple node:</w:t>
      </w:r>
    </w:p>
    <w:p>
      <w:r>
        <w:t>Q = C(θ) · V</w:t>
      </w:r>
    </w:p>
    <w:p>
      <w:r>
        <w:t>Therefore the current is:</w:t>
      </w:r>
    </w:p>
    <w:p>
      <w:r>
        <w:t>I = dQ/dt = C · dV/dt + V · dC/dt</w:t>
      </w:r>
    </w:p>
    <w:p>
      <w:r>
        <w:t>A current or charge displacement can therefore appear at a stationary pickup even without sliding contact. The relevant term can arise directly from the mechanical change of capacitance dC/dt.</w:t>
      </w:r>
    </w:p>
    <w:p>
      <w:r>
        <w:t>For multiple floating conductors, a capacitance matrix is more appropriate:</w:t>
      </w:r>
    </w:p>
    <w:p>
      <w:r>
        <w:t>Qᵢ = Σⱼ Cᵢⱼ(θ) · (Vᵢ − Vⱼ)</w:t>
      </w:r>
    </w:p>
    <w:p>
      <w:r>
        <w:t>This is particularly relevant because the rotor conductors described in the Marinov material for the small machine were electrically unconnected (“floating”).</w:t>
      </w:r>
    </w:p>
    <w:p>
      <w:pPr>
        <w:pStyle w:val="h1"/>
      </w:pPr>
      <w:r>
        <w:t>5. Role of the perforated grids</w:t>
      </w:r>
    </w:p>
    <w:p>
      <w:r>
        <w:t>The grids are likely functional rather than merely decorative. The historical “Principle Experiment” report is especially important: Baumann reportedly emphasized that a closed metal foil did not produce the same effect as wire mesh or perforated metal.</w:t>
      </w:r>
    </w:p>
    <w:p>
      <w:r>
        <w:t>• Grids allow part of the electric field to penetrate and therefore behave differently from a closed shielding surface.</w:t>
      </w:r>
    </w:p>
    <w:p>
      <w:r>
        <w:t>• They can carry induced surface charge and act as floating or field-shaping electrodes.</w:t>
      </w:r>
    </w:p>
    <w:p>
      <w:r>
        <w:t>• Their many edges and openings create high local field gradients.</w:t>
      </w:r>
    </w:p>
    <w:p>
      <w:r>
        <w:t>• This can influence corona onset, ion transport, and space charge.</w:t>
      </w:r>
    </w:p>
    <w:p>
      <w:r>
        <w:t>• They alter the entire capacitance matrix between rotor, pickups, surroundings, and storage nodes.</w:t>
      </w:r>
    </w:p>
    <w:p>
      <w:r>
        <w:t>Consequence for replication: Historically active grids should not simply be represented by solid-plastic mockups. Plastic may serve as a carrier, holder, form body, or insulator; structures intended as electrodes must be made conductive for electrical experiments.</w:t>
      </w:r>
    </w:p>
    <w:p>
      <w:pPr>
        <w:pStyle w:val="h1"/>
      </w:pPr>
      <w:r>
        <w:t>6. Non-contact “keys” / antenna keys / pickups</w:t>
      </w:r>
    </w:p>
    <w:p>
      <w:r>
        <w:t>The Methernitha terminology can most plausibly be read as non-contact capacitive influence pickups. They do not have to be radio antennas.</w:t>
      </w:r>
    </w:p>
    <w:p>
      <w:r>
        <w:t>• They sense local potential changes.</w:t>
      </w:r>
    </w:p>
    <w:p>
      <w:r>
        <w:t>• They collect displacement current / induced charge.</w:t>
      </w:r>
    </w:p>
    <w:p>
      <w:r>
        <w:t>• At sufficiently high field strengths, a small ion or corona component is also possible.</w:t>
      </w:r>
    </w:p>
    <w:p>
      <w:r>
        <w:t>• They permit charge collection without directly galvanically loading the rotor sectors.</w:t>
      </w:r>
    </w:p>
    <w:p>
      <w:pPr>
        <w:pStyle w:val="h1"/>
      </w:pPr>
      <w:r>
        <w:t>7. “Sorting” the charge: crystal and rectifier</w:t>
      </w:r>
    </w:p>
    <w:p>
      <w:r>
        <w:t>The decisive step may be asymmetric, phase-dependent charge routing. Methernitha refers to a rectifying diode, whereas Marinov reports Baumann using the term “crystal” for the small machine. These terms must not be treated as identical without evidence.</w:t>
      </w:r>
    </w:p>
    <w:p>
      <w:r>
        <w:t>Functional working hypothesis: A nonlinear path conducts only above a certain voltage and/or during a particular rotor phase. It can therefore act as a charge valve or electrostatic commutator.</w:t>
      </w:r>
    </w:p>
    <w:p>
      <w:r>
        <w:t>• Reverse charging during unfavorable rotor phases is blocked.</w:t>
      </w:r>
    </w:p>
    <w:p>
      <w:r>
        <w:t>• Floating nodes can remain charged over part of the rotation.</w:t>
      </w:r>
    </w:p>
    <w:p>
      <w:r>
        <w:t>• When a threshold is reached, charge is transferred to another node.</w:t>
      </w:r>
    </w:p>
    <w:p>
      <w:r>
        <w:t>• Positive and negative torque phases can become asymmetric.</w:t>
      </w:r>
    </w:p>
    <w:p>
      <w:r>
        <w:t>• The same element can rectify charge pulses while commutating the electrostatic attraction/repulsion cycle.</w:t>
      </w:r>
    </w:p>
    <w:p>
      <w:pPr>
        <w:pStyle w:val="h1"/>
      </w:pPr>
      <w:r>
        <w:t>8. Electrostatic torque and self-regulation of speed</w:t>
      </w:r>
    </w:p>
    <w:p>
      <w:r>
        <w:t>For a simplified voltage-driven electrostatic structure, qualitatively:</w:t>
      </w:r>
    </w:p>
    <w:p>
      <w:r>
        <w:t>τₑ ≈ ½ · V² · dC/dθ</w:t>
      </w:r>
    </w:p>
    <w:p>
      <w:r>
        <w:t>The rotor angle therefore helps determine whether a field state is driving, neutral, or braking. If a crystal/diode path transfers charge only at selected angular positions, commutation can occur without brushes.</w:t>
      </w:r>
    </w:p>
    <w:p>
      <w:r>
        <w:t>The statement that the machine should run slowly and steadily can be explained by electrical time constants. Relevant quantities include:</w:t>
      </w:r>
    </w:p>
    <w:p>
      <w:r>
        <w:t>• RC time constants.</w:t>
      </w:r>
    </w:p>
    <w:p>
      <w:r>
        <w:t>• Surface leakage.</w:t>
      </w:r>
    </w:p>
    <w:p>
      <w:r>
        <w:t>• Dielectric relaxation.</w:t>
      </w:r>
    </w:p>
    <w:p>
      <w:r>
        <w:t>• Corona and ion transport.</w:t>
      </w:r>
    </w:p>
    <w:p>
      <w:r>
        <w:t>• Charge trapping.</w:t>
      </w:r>
    </w:p>
    <w:p>
      <w:r>
        <w:t>• Threshold and reverse-blocking behavior of the crystal/diode path.</w:t>
      </w:r>
    </w:p>
    <w:p>
      <w:r>
        <w:t>τ_RC = R_eq · C_eq</w:t>
      </w:r>
    </w:p>
    <w:p>
      <w:r>
        <w:t>At a certain speed, rotor angle and electrical charge/discharge phase align. If the machine runs too fast, the charge may not yet have reached the required value at the mechanically favorable angle. Positive torque then decreases or the braking component increases. A stable operating point can therefore arise:</w:t>
      </w:r>
    </w:p>
    <w:p>
      <w:r>
        <w:t>⟨τ_drive(ω)⟩ = τ_load(ω) + τ_losses(ω) + τ_regulation(ω)</w:t>
      </w:r>
    </w:p>
    <w:p>
      <w:r>
        <w:t>Large variants also include documented mechanical/magnetic regulating components. The Hauser-M6a line contains a small DC-motor system and a magnet/timing-wheel family, while other large variants were observed at different speeds. These machine families should not be silently conflated.</w:t>
      </w:r>
    </w:p>
    <w:p>
      <w:pPr>
        <w:pStyle w:val="h1"/>
      </w:pPr>
      <w:r>
        <w:t>9. Small M2 versus large M6</w:t>
      </w:r>
    </w:p>
    <w:p>
      <w:pPr>
        <w:pStyle w:val="quote"/>
      </w:pPr>
      <w:r>
        <w:t>Feature | Small M2/M3 | Large M6 family</w:t>
      </w:r>
    </w:p>
    <w:p>
      <w:r>
        <w:t>Rotor | approx. 200 mm; floating wire/conductor sectors | approx. 500 mm in Hauser line; many lamellae/sectors</w:t>
      </w:r>
    </w:p>
    <w:p>
      <w:r>
        <w:t>Contact | no brush collectors in the baseline | non-contact stationary electrodes also documented</w:t>
      </w:r>
    </w:p>
    <w:p>
      <w:r>
        <w:t>Motor | Marinov: no conventional built-in motor | Hauser-M6a: small DC motor present</w:t>
      </w:r>
    </w:p>
    <w:p>
      <w:r>
        <w:t>Side cylinders | simple two-terminal capacitor pots | far more complex multi-grid/coil/magnet cylinders</w:t>
      </w:r>
    </w:p>
    <w:p>
      <w:r>
        <w:t>Crystal | Baumann term via Marinov; function unknown | upper crystal/possible-rectifier region; function also uncertain</w:t>
      </w:r>
    </w:p>
    <w:p>
      <w:r>
        <w:t>Speed | approx. 60 rpm in Marinov’s observation | depending on variant, approx. 60 rpm or approx. 15 rpm reported</w:t>
      </w:r>
    </w:p>
    <w:p>
      <w:r>
        <w:t>The small machine is particularly important because it argues against a simple “ordinary motor drives generator” interpretation of the core principle. In the large machine, the DC motor may have been a starter, auxiliary drive, or part of a regulator, but the surviving sources do not provide an authentic complete wiring diagram proving its exact role.</w:t>
      </w:r>
    </w:p>
    <w:p>
      <w:pPr>
        <w:pStyle w:val="h1"/>
      </w:pPr>
      <w:r>
        <w:t>10. The side “pots” of the small machine</w:t>
      </w:r>
    </w:p>
    <w:p>
      <w:r>
        <w:t>For the small side modules, the source situation is relatively clear. Marinov describes them as capacitors and explicitly rejects a Tesla-coil interpretation.</w:t>
      </w:r>
    </w:p>
    <w:p>
      <w:r>
        <w:t>• Outer cylindrical conductive grid electrode.</w:t>
      </w:r>
    </w:p>
    <w:p>
      <w:r>
        <w:t>• Plastic/PMMA dielectric in between.</w:t>
      </w:r>
    </w:p>
    <w:p>
      <w:r>
        <w:t>• Central copper spiral as the second capacitor electrode.</w:t>
      </w:r>
    </w:p>
    <w:p>
      <w:r>
        <w:t>• Two visible external leads to each capacitor.</w:t>
      </w:r>
    </w:p>
    <w:p>
      <w:r>
        <w:t>The pots therefore fit the overall model as charge reservoirs or DC buffers: many individual charge pulses can be integrated, smoothed, and maintained as bias/storage states.</w:t>
      </w:r>
    </w:p>
    <w:p>
      <w:pPr>
        <w:pStyle w:val="h1"/>
      </w:pPr>
      <w:r>
        <w:t>11. Why the machine works better in dry air</w:t>
      </w:r>
    </w:p>
    <w:p>
      <w:r>
        <w:t>Primary effect: Humidity increases the electrical surface conductivity of many insulating materials. On PMMA/acrylic and other dielectrics, adsorbed water molecules can form a much more conductive surface path. Stored charge therefore leaks away more rapidly.</w:t>
      </w:r>
    </w:p>
    <w:p>
      <w:r>
        <w:t>V(t) = V₀ · exp(−t / (R_leak · C))</w:t>
      </w:r>
    </w:p>
    <w:p>
      <w:r>
        <w:t>In dry air, R_leak is very large and charge is retained for a long time. In humid air, R_leak decreases and the voltage decays faster.</w:t>
      </w:r>
    </w:p>
    <w:p>
      <w:r>
        <w:t>This is especially important for the Testatika because the small rotor conductors may be electrically floating. After being charged, a conductor must retain enough charge until it reaches the next angular position relevant to attraction, repulsion, or charge transfer.</w:t>
      </w:r>
    </w:p>
    <w:p>
      <w:pPr>
        <w:pStyle w:val="mono"/>
      </w:pPr>
      <w:r>
        <w:t>DRY AIR:
charge  -------- charge remains --------&gt; next electrode
                  high R_leak
HUMID AIR:
charge  -- leakage -- leakage -- leakage --&gt; strongly discharged
                  low R_leak
</w:t>
      </w:r>
    </w:p>
    <w:p>
      <w:r>
        <w:t>Because electrostatic torque approximately scales with V², even a moderate voltage loss can strongly reduce the mechanical effect. If V falls to one half, a V²-dependent torque contribution falls to about one quarter.</w:t>
      </w:r>
    </w:p>
    <w:p>
      <w:r>
        <w:t>Humidity also changes corona behavior, air-ion mobility, ionic conduction paths, and discharge onset at grid edges. This is a second possible reason why perforated electrodes behave differently in dry and humid air.</w:t>
      </w:r>
    </w:p>
    <w:p>
      <w:r>
        <w:t>Historical context: Marinov reported that only a few pushes were required to start the machine in dry air, whereas more were needed at higher humidity. This is qualitatively consistent with improved charge retention and cleaner electrostatic phasing.</w:t>
      </w:r>
    </w:p>
    <w:p>
      <w:pPr>
        <w:pStyle w:val="h1"/>
      </w:pPr>
      <w:r>
        <w:t>12. Slow mechanical rotation does not imply slow electrical operation</w:t>
      </w:r>
    </w:p>
    <w:p>
      <w:r>
        <w:t>For a large disk with about 50 lamellae rotating at 60 revolutions per minute, the mechanical speed is only 1 revolution per second. A stationary pickup, however, sees roughly 50 sector passages per second:</w:t>
      </w:r>
    </w:p>
    <w:p>
      <w:r>
        <w:t>f ≈ 50 · 1 s⁻¹ = 50 Hz</w:t>
      </w:r>
    </w:p>
    <w:p>
      <w:r>
        <w:t>With two equally fast, counterrotating 50-sector patterns, relative alignment events can reach the order of 100 events per second. This is a derived model estimate, not a historical measurement. It nevertheless shows how a mechanically slow machine can generate a much faster internal sequence of charge pulses.</w:t>
      </w:r>
    </w:p>
    <w:p>
      <w:pPr>
        <w:pStyle w:val="h1"/>
      </w:pPr>
      <w:r>
        <w:t>13. “Reducing high voltage and building power”</w:t>
      </w:r>
    </w:p>
    <w:p>
      <w:r>
        <w:t>The electrostatic primary stage would be expected to produce very high voltage at small charge quantities and high source impedance. Downstream capacitor and switching/rectifying stages can collect these pulses and redistribute charge to different voltage/current conditions.</w:t>
      </w:r>
    </w:p>
    <w:p>
      <w:r>
        <w:t>• Charge redistribution between different capacitances.</w:t>
      </w:r>
    </w:p>
    <w:p>
      <w:r>
        <w:t>• Charge-pump-like stages.</w:t>
      </w:r>
    </w:p>
    <w:p>
      <w:r>
        <w:t>• Pulse shaping.</w:t>
      </w:r>
    </w:p>
    <w:p>
      <w:r>
        <w:t>• In large variants, possibly inductive impedance conversion if genuinely time-varying currents are present.</w:t>
      </w:r>
    </w:p>
    <w:p>
      <w:r>
        <w:t>An ordinary transformer cannot transform ideal constant DC. If coils in the large Testatika performed a true transformer function, time-varying currents or pulses must have existed internally. Such pulses are compatible with the phase-dependent charge-transfer model described above.</w:t>
      </w:r>
    </w:p>
    <w:p>
      <w:pPr>
        <w:pStyle w:val="h1"/>
      </w:pPr>
      <w:r>
        <w:t>14. The “artificial thunderstorm” as a complete operating sequence</w:t>
      </w:r>
    </w:p>
    <w:p>
      <w:r>
        <w:t>• Priming: a manual push, residual charge, or pre-charge establishes an initial bias.</w:t>
      </w:r>
    </w:p>
    <w:p>
      <w:r>
        <w:t>• Charge separation: the two disks create opposing field/potential regions (“cloud” and “earth”).</w:t>
      </w:r>
    </w:p>
    <w:p>
      <w:r>
        <w:t>• Variable capacitance: each sector passage changes C(θ) and the full capacitance matrix.</w:t>
      </w:r>
    </w:p>
    <w:p>
      <w:r>
        <w:t>• Field shaping: perforated grids shape the field, carry surface charge, and influence field penetration/corona.</w:t>
      </w:r>
    </w:p>
    <w:p>
      <w:r>
        <w:t>• Non-contact pickup: pickup electrodes collect influence and displacement currents without galvanically loading the rotor.</w:t>
      </w:r>
    </w:p>
    <w:p>
      <w:r>
        <w:t>• Phase commutation: crystal/diode paths pass charge only in suitable states.</w:t>
      </w:r>
    </w:p>
    <w:p>
      <w:r>
        <w:t>• Storage: pots and additional grid capacitors integrate many individual pulses.</w:t>
      </w:r>
    </w:p>
    <w:p>
      <w:r>
        <w:t>• Electrostatic drive: part of the field state produces phase-dependent attraction/repulsion torque.</w:t>
      </w:r>
    </w:p>
    <w:p>
      <w:r>
        <w:t>• Speed stabilization: electrical time constants and, where present, magnetic/mechanical regulation create an operating point.</w:t>
      </w:r>
    </w:p>
    <w:p>
      <w:r>
        <w:t>• Output: downstream stages provide a more uniform, lower-impedance DC output.</w:t>
      </w:r>
    </w:p>
    <w:p>
      <w:pPr>
        <w:pStyle w:val="h1"/>
      </w:pPr>
      <w:r>
        <w:t>15. What is well supported and what remains open</w:t>
      </w:r>
    </w:p>
    <w:p>
      <w:pPr>
        <w:pStyle w:val="quote"/>
      </w:pPr>
      <w:r>
        <w:t>Relatively well supported | Still unresolved</w:t>
      </w:r>
    </w:p>
    <w:p>
      <w:r>
        <w:t>Electrostatic / influence architecture | Authentic complete M2/M6 circuit diagram</w:t>
      </w:r>
    </w:p>
    <w:p>
      <w:r>
        <w:t>Non-contact charge pickup | Exact assignment and polarity of all electrodes</w:t>
      </w:r>
    </w:p>
    <w:p>
      <w:r>
        <w:t>Perforated grids as functional electrodes | Crystal material and I–V characteristic</w:t>
      </w:r>
    </w:p>
    <w:p>
      <w:r>
        <w:t>Floating rotor conductors in the small machine | Exact internal pot/cylinder wiring</w:t>
      </w:r>
    </w:p>
    <w:p>
      <w:r>
        <w:t>Capacitor nature of the small pots | Priming state</w:t>
      </w:r>
    </w:p>
    <w:p>
      <w:r>
        <w:t>Dry-air / humidity dependence | Role of individual magnets and large coils</w:t>
      </w:r>
    </w:p>
    <w:p>
      <w:r>
        <w:t>Importance of slow, steady running | Source of the claimed high net output</w:t>
      </w:r>
    </w:p>
    <w:p>
      <w:pPr>
        <w:pStyle w:val="h1"/>
      </w:pPr>
      <w:r>
        <w:t>16. The decisive unresolved problem: energy balance</w:t>
      </w:r>
    </w:p>
    <w:p>
      <w:r>
        <w:t>The architecture described above can explain how charge might be moved, stored, rectified, and used for electrostatic torque as a function of phase. It does not automatically explain net energy generation.</w:t>
      </w:r>
    </w:p>
    <w:p>
      <w:r>
        <w:t>A valid test would have to measure all energy flows simultaneously:</w:t>
      </w:r>
    </w:p>
    <w:p>
      <w:r>
        <w:t>• mechanical rotor/motor work</w:t>
      </w:r>
    </w:p>
    <w:p>
      <w:r>
        <w:t>• electrical auxiliary or bias sources</w:t>
      </w:r>
    </w:p>
    <w:p>
      <w:r>
        <w:t>• initial and final energy of all capacitors</w:t>
      </w:r>
    </w:p>
    <w:p>
      <w:r>
        <w:t>• stored dielectric/electret energy, as far as measurable</w:t>
      </w:r>
    </w:p>
    <w:p>
      <w:r>
        <w:t>• magnetic/inductive storage</w:t>
      </w:r>
    </w:p>
    <w:p>
      <w:r>
        <w:t>• rotational kinetic energy</w:t>
      </w:r>
    </w:p>
    <w:p>
      <w:r>
        <w:t>• corona/ion currents and the atmospheric electric field</w:t>
      </w:r>
    </w:p>
    <w:p>
      <w:r>
        <w:t>• RF/EM coupling</w:t>
      </w:r>
    </w:p>
    <w:p>
      <w:r>
        <w:t>• thermal or chemical side sources</w:t>
      </w:r>
    </w:p>
    <w:p>
      <w:r>
        <w:t>• actual energy delivered to the load</w:t>
      </w:r>
    </w:p>
    <w:p>
      <w:r>
        <w:t>E_out ? E_mech,in + E_bias,in + E_aux,in + E_stored,initial − E_stored,final</w:t>
      </w:r>
    </w:p>
    <w:p>
      <w:r>
        <w:t>A high no-load voltage, a visible arc, or a briefly illuminated load is not sufficient. Marinov’s own coupled Wimshurst/electrostatic-motor control did not close energetically, which reinforces the need to measure generator reaction and all storage states.</w:t>
      </w:r>
    </w:p>
    <w:p>
      <w:pPr>
        <w:pStyle w:val="h1"/>
      </w:pPr>
      <w:r>
        <w:t>17. Highest-priority experiments</w:t>
      </w:r>
    </w:p>
    <w:p>
      <w:r>
        <w:t>To test the “artificial thunderstorm + electrostatic commutation” hypothesis efficiently, the following experiments have the highest information value:</w:t>
      </w:r>
    </w:p>
    <w:p>
      <w:r>
        <w:t>• Phase-resolved node map: record rotor angle together with all pickup, pot, crystal/gate, and storage voltages/currents.</w:t>
      </w:r>
    </w:p>
    <w:p>
      <w:r>
        <w:t>• Mesh-versus-solid-foil test: identical geometry and spacing, comparing perforated conductive structure with a closed conductive surface.</w:t>
      </w:r>
    </w:p>
    <w:p>
      <w:r>
        <w:t>• Humidity matrix: operate at controlled relative humidity while measuring surface potential, leakage, C(θ), corona, and torque.</w:t>
      </w:r>
    </w:p>
    <w:p>
      <w:r>
        <w:t>• Crystal falsification: open circuit, short circuit, resistor, capacitor, multiple diode thresholds, and historically plausible detector-crystal candidates.</w:t>
      </w:r>
    </w:p>
    <w:p>
      <w:r>
        <w:t>• Load-reaction test: vary load while simultaneously measuring rpm, torque, bias/motor input, and stored energies.</w:t>
      </w:r>
    </w:p>
    <w:p>
      <w:r>
        <w:t>• Instrumentation control: verify that oscilloscope/USB/protective-earth connections do not accidentally ground or capacitively alter floating nodes.</w:t>
      </w:r>
    </w:p>
    <w:p>
      <w:r>
        <w:t>• Plate/environment test: conductive backing plate floating, grounded, R/C-coupled, and geometrically matched non-conductive control plate.</w:t>
      </w:r>
    </w:p>
    <w:p>
      <w:pPr>
        <w:pStyle w:val="h1"/>
      </w:pPr>
      <w:r>
        <w:t>18. Most precise current formulation of the principle</w:t>
      </w:r>
    </w:p>
    <w:p>
      <w:pPr>
        <w:pStyle w:val="quote"/>
      </w:pPr>
      <w:r>
        <w:t>The Testatika can currently be understood most plausibly as a phase-controlled electrostatic charge-state machine. Through influence and variable capacitance, the rotating disks create two opposing electrical field regions described in Baumann/Methernitha terminology as “cloud” and “earth”. Perforated grids shape those fields, pickup electrodes collect charge changes without contact, crystal/diode paths sort and commutate the charge, capacitors integrate the individual pulses, and the electrostatic attraction/repulsion cycle can stabilize rotation through phase-dependent self-regulation. Dry air improves the process primarily because charge on PMMA and floating electrodes leaks away much more slowly and because corona/ion processes may become more favorable or reproducible. This still does not establish the source of the historical high-output claims.</w:t>
      </w:r>
    </w:p>
    <w:p>
      <w:pPr>
        <w:pStyle w:val="h1"/>
      </w:pPr>
      <w:r>
        <w:t>19. Repository and source basis</w:t>
      </w:r>
    </w:p>
    <w:p>
      <w:r>
        <w:t>This summary is based on the documentation analyzed in the repository https://github.com/inetconnector/testatika-small-research-replica, especially:</w:t>
      </w:r>
    </w:p>
    <w:p>
      <w:r>
        <w:t>• README.md – current operating hypothesis and replication boundaries</w:t>
      </w:r>
    </w:p>
    <w:p>
      <w:r>
        <w:t>• docs/research/baumann-language-decoding.md – technical decoding of Baumann/Methernitha terminology</w:t>
      </w:r>
    </w:p>
    <w:p>
      <w:r>
        <w:t>• docs/research/baumann-statements.tsv – statement register</w:t>
      </w:r>
    </w:p>
    <w:p>
      <w:r>
        <w:t>• docs/research/hauser-marinov-primary-scan-audit-2026-08-16.md – Marinov/Hauser primary-scan audit</w:t>
      </w:r>
    </w:p>
    <w:p>
      <w:r>
        <w:t>• docs/research/pots.md – small two-terminal capacitor pots</w:t>
      </w:r>
    </w:p>
    <w:p>
      <w:r>
        <w:t>• docs/research/m6-large-v1-best-evidence.md – large M6 build line</w:t>
      </w:r>
    </w:p>
    <w:p>
      <w:r>
        <w:t>• docs/research/m6-large-v1-electrical-boundary.md – electrical evidence boundaries</w:t>
      </w:r>
    </w:p>
    <w:p>
      <w:r>
        <w:t>• docs/research/m6-large-v1-source-map.tsv – source/component mapping</w:t>
      </w:r>
    </w:p>
    <w:p>
      <w:r>
        <w:t>• docs/research/control-replication-audit-2026-08-17.md – conventional controls and measurement pitfalls</w:t>
      </w:r>
    </w:p>
    <w:p>
      <w:r>
        <w:t>• docs/research/internet-source-audit-2026-08-17.md and later rounds – external-source and provenance audits</w:t>
      </w:r>
    </w:p>
    <w:p>
      <w:r>
        <w:t>Historical mirrors/archive material concerning Methernitha, Marinov, Hauser, and Holzherr, together with conventional electrostatic comparison systems, was also considered in the analysis. Where the evidence does not establish an unambiguous historical wiring arrangement, this document explicitly treats the point as a hypothesis or an open question.</w:t>
      </w:r>
    </w:p>
    <w:sectPr>
      <w:pgSz w:w="11906" w:h="16838"/>
      <w:pgMar w:top="1134" w:right="1247" w:bottom="1134" w:left="1247" w:header="400" w:footer="400" w:gutter="0"/>
    </w:sectPr>
  </w:body>
</w:document>
</file>

<file path=word/styles.xml><?xml version="1.0" encoding="utf-8"?>
<w:styles xmlns:w="http://schemas.openxmlformats.org/wordprocessingml/2006/main">
  <w:style w:type="paragraph" w:styleId="Normal">
    <w:name w:val="Normal"/>
    <w:pPr>
      <w:spacing w:before="0" w:after="80" w:line="250" w:lineRule="auto"/>
    </w:pPr>
    <w:rPr>
      <w:rFonts w:ascii="Aptos" w:hAnsi="Aptos"/>
      <w:sz w:val="21"/>
      <w:szCs w:val="21"/>
    </w:rPr>
  </w:style>
  <w:style w:type="paragraph" w:styleId="title">
    <w:name w:val="Title"/>
    <w:pPr>
      <w:spacing w:before="0" w:after="180" w:line="250" w:lineRule="auto"/>
    </w:pPr>
    <w:rPr>
      <w:rFonts w:ascii="Aptos Display" w:hAnsi="Aptos Display"/>
      <w:sz w:val="42"/>
      <w:szCs w:val="42"/>
      <w:b/>
    </w:rPr>
  </w:style>
  <w:style w:type="paragraph" w:styleId="subtitle">
    <w:name w:val="Subtitle"/>
    <w:pPr>
      <w:spacing w:before="0" w:after="140" w:line="250" w:lineRule="auto"/>
    </w:pPr>
    <w:rPr>
      <w:rFonts w:ascii="Aptos" w:hAnsi="Aptos"/>
      <w:sz w:val="24"/>
      <w:szCs w:val="24"/>
    </w:rPr>
  </w:style>
  <w:style w:type="paragraph" w:styleId="h1">
    <w:name w:val="Heading 1"/>
    <w:pPr>
      <w:spacing w:before="220" w:after="90" w:line="250" w:lineRule="auto"/>
    </w:pPr>
    <w:rPr>
      <w:rFonts w:ascii="Aptos Display" w:hAnsi="Aptos Display"/>
      <w:sz w:val="30"/>
      <w:szCs w:val="30"/>
      <w:b/>
    </w:rPr>
  </w:style>
  <w:style w:type="paragraph" w:styleId="mono">
    <w:name w:val="Mono"/>
    <w:pPr>
      <w:spacing w:before="80" w:after="100" w:line="250" w:lineRule="auto"/>
    </w:pPr>
    <w:rPr>
      <w:rFonts w:ascii="Liberation Mono" w:hAnsi="Liberation Mono"/>
      <w:sz w:val="17"/>
      <w:szCs w:val="17"/>
    </w:rPr>
  </w:style>
  <w:style w:type="paragraph" w:styleId="quote">
    <w:name w:val="Table header"/>
    <w:pPr>
      <w:spacing w:before="80" w:after="50" w:line="250" w:lineRule="auto"/>
    </w:pPr>
    <w:rPr>
      <w:rFonts w:ascii="Aptos" w:hAnsi="Aptos"/>
      <w:sz w:val="20"/>
      <w:szCs w:val="20"/>
      <w:b/>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