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Testatika: Funktionsprinzip „Erde – Wolke – Gewitter“</w:t>
      </w:r>
    </w:p>
    <w:p>
      <w:pPr>
        <w:pStyle w:val="Subtitle"/>
        <w:jc w:val="center"/>
      </w:pPr>
      <w:r>
        <w:t>Quellengeleitete technische Arbeitshypothese – aktualisiert um Selbstanregung und Phasenkommutation</w:t>
      </w:r>
    </w:p>
    <w:p>
      <w:pPr>
        <w:pStyle w:val="Heading1"/>
      </w:pPr>
      <w:r>
        <w:t>1. Kurzfazit</w:t>
      </w:r>
    </w:p>
    <w:p>
      <w:r>
        <w:t>Das derzeit kohärenteste Modell ist eine phasengesteuerte elektrostatische Ladungszustandsmaschine: variable Kapazität und Influenz erzeugen winkelabhängige Ladungszustände; Gitter formen das Feld; berührungslose Taster nehmen Ladungsänderungen ab; Crystal/Diode sortiert und kommutiert Ladung; Kondensatoren speichern und glätten. Eine Nettoenergiequelle ist damit nicht erklärt.</w:t>
      </w:r>
    </w:p>
    <w:p>
      <w:pPr>
        <w:pStyle w:val="Heading1"/>
      </w:pPr>
      <w:r>
        <w:t>2. „Erde“ und „Wolke“</w:t>
      </w:r>
    </w:p>
    <w:p>
      <w:r>
        <w:t>Die historische Methernitha-Sprache lässt sich konservativ als zwei entgegengesetzte Potential-/Feldreservoirs lesen. „Gewitter“ bezeichnet dabei eher wiederholte Ladungstrennung und kontrollierte Ladungsübertragung als das Einfangen realer Blitze.</w:t>
      </w:r>
    </w:p>
    <w:p>
      <w:pPr>
        <w:pStyle w:val="Heading1"/>
      </w:pPr>
      <w:r>
        <w:t>3. Variable Kapazität und Influenz</w:t>
      </w:r>
    </w:p>
    <w:p>
      <w:pPr>
        <w:jc w:val="center"/>
      </w:pPr>
      <w:r>
        <w:rPr>
          <w:rFonts w:ascii="Cambria Math" w:hAnsi="Cambria Math"/>
          <w:sz w:val="22"/>
        </w:rPr>
        <w:t>Q = C(θ) · V</w:t>
      </w:r>
    </w:p>
    <w:p>
      <w:pPr>
        <w:jc w:val="center"/>
      </w:pPr>
      <w:r>
        <w:rPr>
          <w:rFonts w:ascii="Cambria Math" w:hAnsi="Cambria Math"/>
          <w:sz w:val="22"/>
        </w:rPr>
        <w:t>I = dQ/dt = C·dV/dt + V·dC/dt</w:t>
      </w:r>
    </w:p>
    <w:p>
      <w:r>
        <w:t>Rotierende leitfähige Segmente verändern die Kapazitätsmatrix zu festen Elektroden. Auch ohne Schleifkontakt entstehen dadurch Verschiebungsströme und induzierte Ladungsänderungen.</w:t>
      </w:r>
    </w:p>
    <w:p>
      <w:pPr>
        <w:pStyle w:val="Heading1"/>
      </w:pPr>
      <w:r>
        <w:t>4. Gitter und Taster</w:t>
      </w:r>
    </w:p>
    <w:p>
      <w:pPr>
        <w:pStyle w:val="ListBullet"/>
      </w:pPr>
      <w:r>
        <w:t>Perforierte Gitter: feldformende/floating Elektroden, Oberflächenladung, Randfelder, mögliche Corona-/Ioneneffekte.</w:t>
      </w:r>
    </w:p>
    <w:p>
      <w:pPr>
        <w:pStyle w:val="ListBullet"/>
      </w:pPr>
      <w:r>
        <w:t>Taster/antenna keys: am plausibelsten berührungslose kapazitive Influenzabnehmer, nicht zwingend Funkantennen.</w:t>
      </w:r>
    </w:p>
    <w:p>
      <w:r>
        <w:t>Der historische Hinweis „Gitter statt geschlossene Folie“ ist ein hochprioritärer A/B-Test.</w:t>
      </w:r>
    </w:p>
    <w:p>
      <w:pPr>
        <w:pStyle w:val="Heading1"/>
      </w:pPr>
      <w:r>
        <w:t>5. Der Crystal / die Diode</w:t>
      </w:r>
    </w:p>
    <w:p>
      <w:r>
        <w:t>Marinov berichtet den Begriff „crystal“; die Methernitha-Beschreibung nennt einen Gleichrichter mit ungewöhnlicher Zyklusfunktion. Als Arbeitshypothese ist daher ein nichtlinearer Ladungspfad sinnvoll, der Polarität, Schwellwert und Rotorphase auswählt.</w:t>
      </w:r>
    </w:p>
    <w:p>
      <w:pPr>
        <w:jc w:val="center"/>
      </w:pPr>
      <w:r>
        <w:rPr>
          <w:rFonts w:ascii="Cambria Math" w:hAnsi="Cambria Math"/>
          <w:sz w:val="22"/>
        </w:rPr>
        <w:t>I = f(V), z. B. Leitung erst für V &gt; V_th</w:t>
      </w:r>
    </w:p>
    <w:p>
      <w:pPr>
        <w:pStyle w:val="Heading1"/>
      </w:pPr>
      <w:r>
        <w:t>6. Elektrostatisches Drehmoment</w:t>
      </w:r>
    </w:p>
    <w:p>
      <w:pPr>
        <w:jc w:val="center"/>
      </w:pPr>
      <w:r>
        <w:rPr>
          <w:rFonts w:ascii="Cambria Math" w:hAnsi="Cambria Math"/>
          <w:sz w:val="22"/>
        </w:rPr>
        <w:t>τ_el ≈ 1/2 · V² · dC/dθ</w:t>
      </w:r>
    </w:p>
    <w:p>
      <w:r>
        <w:t>Entscheidend ist nicht nur die Spannung, sondern an welchem Rotorwinkel der jeweilige Ladungszustand besteht. Phasenverschobenes Laden/Entladen kann positive oder bremsende Drehmomentanteile erzeugen.</w:t>
      </w:r>
    </w:p>
    <w:p>
      <w:pPr>
        <w:pStyle w:val="Heading1"/>
      </w:pPr>
      <w:r>
        <w:t>7. Langsam und gleichmäßig</w:t>
      </w:r>
    </w:p>
    <w:p>
      <w:pPr>
        <w:jc w:val="center"/>
      </w:pPr>
      <w:r>
        <w:rPr>
          <w:rFonts w:ascii="Cambria Math" w:hAnsi="Cambria Math"/>
          <w:sz w:val="22"/>
        </w:rPr>
        <w:t>τ_RC = R_eq · C_eq</w:t>
      </w:r>
    </w:p>
    <w:p>
      <w:r>
        <w:t>Die optimale Drehzahl kann durch RC-Zeit, Oberflächenleckage, dielektrische Relaxation, Corona-/Ionentransport und Schwellwerte bestimmt werden. Das macht die Drehzahl selbst zu einem Teil des elektrischen Zustandsautomaten.</w:t>
      </w:r>
    </w:p>
    <w:p>
      <w:pPr>
        <w:pStyle w:val="Heading1"/>
      </w:pPr>
      <w:r>
        <w:t>8. Kleine M2 und große M6</w:t>
      </w:r>
    </w:p>
    <w:p>
      <w:pPr>
        <w:pStyle w:val="ListBullet"/>
      </w:pPr>
      <w:r>
        <w:t>M2: etwa 200 mm, floating Rotordrähte/-sektoren, keine schleifenden Kollektoren, zwei seitliche Zwei-Anschluss-Kondensatortöpfe, kein konventioneller Motor in Marinovs Beschreibung.</w:t>
      </w:r>
    </w:p>
    <w:p>
      <w:pPr>
        <w:pStyle w:val="ListBullet"/>
      </w:pPr>
      <w:r>
        <w:t>M6-Familie: etwa 500 mm, Gegenrotation, perforierte stationäre Elektroden, komplexe Mehrgitter-/Spulen-/Magnetzylinder; Hauser-M6a mit kleinem DC-Motor/Magnetrad.</w:t>
      </w:r>
    </w:p>
    <w:p>
      <w:r>
        <w:t>M2- und M6-Bauteile dürfen nicht ohne Quelle ineinander zurückprojiziert werden.</w:t>
      </w:r>
    </w:p>
    <w:p>
      <w:pPr>
        <w:pStyle w:val="Heading1"/>
      </w:pPr>
      <w:r>
        <w:t>9. Seitliche M2-Töpfe</w:t>
      </w:r>
    </w:p>
    <w:p>
      <w:r>
        <w:t>Marinovs Beschreibung spricht für Kondensatoren: äußeres leitfähiges Gitter, Kunststoff/PMMA als Dielektrikum, innere Kupferspirale als zweite Elektrode und genau zwei sichtbare Anschlüsse. Das ist keine Tesla-Spule in der M2-Basisinterpretation.</w:t>
      </w:r>
    </w:p>
    <w:p>
      <w:pPr>
        <w:pStyle w:val="Heading1"/>
      </w:pPr>
      <w:r>
        <w:t>10. Warum trockene Luft hilft</w:t>
      </w:r>
    </w:p>
    <w:p>
      <w:pPr>
        <w:jc w:val="center"/>
      </w:pPr>
      <w:r>
        <w:rPr>
          <w:rFonts w:ascii="Cambria Math" w:hAnsi="Cambria Math"/>
          <w:sz w:val="22"/>
        </w:rPr>
        <w:t>V(t) = V₀ · exp(−t/(R_leak·C))</w:t>
      </w:r>
    </w:p>
    <w:p>
      <w:r>
        <w:t>Trockene Luft erhöht typischerweise den Oberflächen-Leckwiderstand von PMMA/Isolatoren. Floating Sektoren behalten ihre Ladung länger; bei feuchter Luft zerfällt das Potential schneller. Da Drehmomentanteile ungefähr mit V² skalieren können, wirkt sich Leckage stark aus. Feuchte verändert zusätzlich Corona und Ionentransport.</w:t>
      </w:r>
    </w:p>
    <w:p>
      <w:pPr>
        <w:pStyle w:val="Heading1"/>
      </w:pPr>
      <w:r>
        <w:t>11. Mechanisch langsam, elektrisch schneller</w:t>
      </w:r>
    </w:p>
    <w:p>
      <w:r>
        <w:t>Bei etwa 50 Lamellen und 60 U/min sieht eine feste Elektrode ungefähr 50 Segmentpassagen pro Sekunde. Bei zwei gegenläufigen 50er-Mustern kann die relative Ereignisrate in der Größenordnung von 100 Hz liegen. Das ist eine Modellableitung, keine historische Frequenzmessung.</w:t>
      </w:r>
    </w:p>
    <w:p>
      <w:pPr>
        <w:pStyle w:val="Heading1"/>
      </w:pPr>
      <w:r>
        <w:t>12. Speicher und Impedanzumformung</w:t>
      </w:r>
    </w:p>
    <w:p>
      <w:r>
        <w:t>Die Primärstufe wäre hochspannend und hochohmig. Kondensator-/Diodenstufen können Ladungsimpulse sammeln und umverteilen. Eine echte Transformatorwirkung großer Spulen setzt zeitveränderliche Ströme/Pulse voraus; idealer konstanter DC lässt sich nicht transformieren.</w:t>
      </w:r>
    </w:p>
    <w:p>
      <w:pPr>
        <w:pStyle w:val="Heading1"/>
      </w:pPr>
      <w:r>
        <w:t>13. „Künstliches Gewitter“ als Zyklus</w:t>
      </w:r>
    </w:p>
    <w:p>
      <w:pPr>
        <w:pStyle w:val="ListBullet"/>
      </w:pPr>
      <w:r>
        <w:t>Priming/Bias</w:t>
      </w:r>
    </w:p>
    <w:p>
      <w:pPr>
        <w:pStyle w:val="ListBullet"/>
      </w:pPr>
      <w:r>
        <w:t>Ladungstrennung („Wolke/Erde“)</w:t>
      </w:r>
    </w:p>
    <w:p>
      <w:pPr>
        <w:pStyle w:val="ListBullet"/>
      </w:pPr>
      <w:r>
        <w:t>C(θ)-Änderung</w:t>
      </w:r>
    </w:p>
    <w:p>
      <w:pPr>
        <w:pStyle w:val="ListBullet"/>
      </w:pPr>
      <w:r>
        <w:t>Feldformung durch Gitter</w:t>
      </w:r>
    </w:p>
    <w:p>
      <w:pPr>
        <w:pStyle w:val="ListBullet"/>
      </w:pPr>
      <w:r>
        <w:t>berührungslose Aufnahme</w:t>
      </w:r>
    </w:p>
    <w:p>
      <w:pPr>
        <w:pStyle w:val="ListBullet"/>
      </w:pPr>
      <w:r>
        <w:t>Crystal-/Dioden-Kommutation</w:t>
      </w:r>
    </w:p>
    <w:p>
      <w:pPr>
        <w:pStyle w:val="ListBullet"/>
      </w:pPr>
      <w:r>
        <w:t>Speicherung</w:t>
      </w:r>
    </w:p>
    <w:p>
      <w:pPr>
        <w:pStyle w:val="ListBullet"/>
      </w:pPr>
      <w:r>
        <w:t>elektrostatisches Drehmoment</w:t>
      </w:r>
    </w:p>
    <w:p>
      <w:pPr>
        <w:pStyle w:val="ListBullet"/>
      </w:pPr>
      <w:r>
        <w:t>Drehzahlstabilisierung</w:t>
      </w:r>
    </w:p>
    <w:p>
      <w:pPr>
        <w:pStyle w:val="ListBullet"/>
      </w:pPr>
      <w:r>
        <w:t>Ausgabe/Last</w:t>
      </w:r>
    </w:p>
    <w:p>
      <w:pPr>
        <w:pStyle w:val="Heading1"/>
      </w:pPr>
      <w:r>
        <w:t>14. Was belegt und was offen ist</w:t>
      </w:r>
    </w:p>
    <w:p>
      <w:r>
        <w:t>Relativ gut gestützt sind elektrostatische Influenz, berührungslose Aufnahme, floating M2-Rotorleiter, M2-Kondensatortöpfe, funktionale Gitter und Feuchteabhängigkeit. Offen bleiben Originalverdrahtung, Crystal-Material/I-V, genaue Polaritäten, Priming, Magnet-/Spulenrollen und vor allem die Quelle der behaupteten hohen Ausgangsleistung.</w:t>
      </w:r>
    </w:p>
    <w:p>
      <w:pPr>
        <w:pStyle w:val="Heading1"/>
      </w:pPr>
      <w:r>
        <w:t>15. Energiegrenze</w:t>
      </w:r>
    </w:p>
    <w:p>
      <w:r>
        <w:t>Hohe Spannung, ein Lichtbogen oder eine kurz leuchtende Last sind keine geschlossene Energiebilanz. Jede Prüfung muss mechanischen Antrieb, Bias/Hilfsenergie, Anfangs-/Endspeicher, kinetische Energie und reale Lastleistung gleichzeitig erfassen.</w:t>
      </w:r>
    </w:p>
    <w:p>
      <w:pPr>
        <w:jc w:val="center"/>
      </w:pPr>
      <w:r>
        <w:rPr>
          <w:rFonts w:ascii="Cambria Math" w:hAnsi="Cambria Math"/>
          <w:sz w:val="22"/>
        </w:rPr>
        <w:t>E_out ≤ E_mech,in + E_bias,in + E_aux,in + ΔE_storage  (Nullhypothese)</w:t>
      </w:r>
    </w:p>
    <w:p>
      <w:pPr>
        <w:pStyle w:val="Heading1"/>
      </w:pPr>
      <w:r>
        <w:t>16. Leistungsdichte atmosphärischer Elektrizität</w:t>
      </w:r>
    </w:p>
    <w:p>
      <w:r>
        <w:t>Normale Schönwetter-Atmosphärenelektrizität besitzt eine extrem geringe Leitungsstromdichte (pA/m²). Eine kompakte Innenraummaschine kann damit nach etablierter Atmosphärenphysik keine Dauerleistung von hunderten Watt erklären. Plauson/Jefimenko sind als elektrostatische Vergleichssysteme interessant, aber keine Skalierungsbestätigung für die Testatika.</w:t>
      </w:r>
    </w:p>
    <w:p>
      <w:pPr>
        <w:pStyle w:val="Heading1"/>
      </w:pPr>
      <w:r>
        <w:t>17. Last ohne sichtbaren Drehzahlabfall</w:t>
      </w:r>
    </w:p>
    <w:p>
      <w:r>
        <w:t>Wenn Berichte über hunderte Watt oder eine nominelle 1-kW-Lampe real waren und die Scheiben kaum sichtbar abbremsten, ist das ein Hinweis gegen die Scheiben als direkten mechanischen Hauptenergielieferanten. Kurzzeitige Kondensatorenergie, ein Regler/Hilfsantrieb, eine geringere tatsächliche Last oder ein getrennt getakteter Leistungspfad müssen geprüft werden.</w:t>
      </w:r>
    </w:p>
    <w:p>
      <w:pPr>
        <w:jc w:val="center"/>
      </w:pPr>
      <w:r>
        <w:rPr>
          <w:rFonts w:ascii="Cambria Math" w:hAnsi="Cambria Math"/>
          <w:sz w:val="22"/>
        </w:rPr>
        <w:t>τ = P/ω; bei 15 U/min: 300 W ≈ 191 N·m, 1 kW ≈ 637 N·m</w:t>
      </w:r>
    </w:p>
    <w:p>
      <w:pPr>
        <w:pStyle w:val="Heading1"/>
      </w:pPr>
      <w:r>
        <w:t>18. Höchstprioritäre Experimente</w:t>
      </w:r>
    </w:p>
    <w:p>
      <w:pPr>
        <w:pStyle w:val="ListBullet"/>
      </w:pPr>
      <w:r>
        <w:t>phasenaufgelöste Knotenkarte + Drehmoment</w:t>
      </w:r>
    </w:p>
    <w:p>
      <w:pPr>
        <w:pStyle w:val="ListBullet"/>
      </w:pPr>
      <w:r>
        <w:t>Mesh-vs.-Folie</w:t>
      </w:r>
    </w:p>
    <w:p>
      <w:pPr>
        <w:pStyle w:val="ListBullet"/>
      </w:pPr>
      <w:r>
        <w:t>Crystal open/short/R/C/Diodenschwellen</w:t>
      </w:r>
    </w:p>
    <w:p>
      <w:pPr>
        <w:pStyle w:val="ListBullet"/>
      </w:pPr>
      <w:r>
        <w:t>Feuchte-/PMMA-Matrix</w:t>
      </w:r>
    </w:p>
    <w:p>
      <w:pPr>
        <w:pStyle w:val="ListBullet"/>
      </w:pPr>
      <w:r>
        <w:t>Load-Reaction mit vollständiger Energiebilanz</w:t>
      </w:r>
    </w:p>
    <w:p>
      <w:pPr>
        <w:pStyle w:val="ListBullet"/>
      </w:pPr>
      <w:r>
        <w:t>Shield-Plate floating/ground/R/C</w:t>
      </w:r>
    </w:p>
    <w:p>
      <w:pPr>
        <w:pStyle w:val="ListBullet"/>
      </w:pPr>
      <w:r>
        <w:t>M6-Motor-/Hilfseingang separat messen</w:t>
      </w:r>
    </w:p>
    <w:p>
      <w:pPr>
        <w:pStyle w:val="Heading1"/>
      </w:pPr>
      <w:r>
        <w:t>19. Präzise bisherige Funktionsformulierung</w:t>
      </w:r>
    </w:p>
    <w:p>
      <w:r>
        <w:t>Phasengesteuerte elektrostatische Ladungszustandsverwaltung einer variablen-C-Maschine mit floating Rotorleitern, berührungslosen Pickups, Gitter-Feldsteuerung, nichtlinearer Crystal-/Dioden-Kommutation, getrennten Drive-/Storage-Knoten und zyklischer Bias-Regeneration.</w:t>
      </w:r>
    </w:p>
    <w:p>
      <w:pPr>
        <w:pStyle w:val="Heading1"/>
      </w:pPr>
      <w:r>
        <w:t>20. Quellenbasis</w:t>
      </w:r>
    </w:p>
    <w:p>
      <w:r>
        <w:t>Grundlage sind die im Repository auditierten Marinov-/Hauser-Scans, Methernitha-Texte, Holzherr/Cathomen-Berichte, M2-/M6-Quellenkarten, Kontrollreplikations-Audits und konventionelle Elektrostatikvergleichssysteme. Nicht quellenbelegte Verschaltungen werden als Hypothese gekennzeichnet.</w:t>
      </w:r>
    </w:p>
    <w:p>
      <w:pPr>
        <w:pStyle w:val="Heading1"/>
      </w:pPr>
      <w:r>
        <w:t>21. Neue Kernhypothese: Selbstanregung statt klassischer Resonanz</w:t>
      </w:r>
    </w:p>
    <w:p>
      <w:r>
        <w:t>Die erhaltene Methernitha-Beschreibung schreibt der Gleichrichterdiode eine ungewöhnliche Regelwirkung zu: Sie halte den Anziehungs-/Abstoßungszyklus in einem stationären Zustand; ohne diese Wirkung sollen sich die Impulse weiter aufsummieren und die Scheiben beschleunigen. Das legt ein selbsterregtes elektromechanisches Rückkopplungssystem nahe. Es ist eine Arbeitshypothese, keine bewiesene Originalschaltung.</w:t>
      </w:r>
    </w:p>
    <w:p>
      <w:pPr>
        <w:pStyle w:val="Heading2"/>
      </w:pPr>
      <w:r>
        <w:t>21.1 Geschlossene elektromechanische Rückkopplung</w:t>
      </w:r>
    </w:p>
    <w:p>
      <w:pPr>
        <w:jc w:val="center"/>
      </w:pPr>
      <w:r>
        <w:rPr>
          <w:rFonts w:ascii="Cambria Math" w:hAnsi="Cambria Math"/>
          <w:sz w:val="22"/>
        </w:rPr>
        <w:t>ω → C(θ) → Q,V → τ_el → ω</w:t>
      </w:r>
    </w:p>
    <w:p>
      <w:pPr>
        <w:jc w:val="center"/>
      </w:pPr>
      <w:r>
        <w:rPr>
          <w:rFonts w:ascii="Cambria Math" w:hAnsi="Cambria Math"/>
          <w:sz w:val="22"/>
        </w:rPr>
        <w:t>Q = C(θ)·V</w:t>
      </w:r>
    </w:p>
    <w:p>
      <w:pPr>
        <w:jc w:val="center"/>
      </w:pPr>
      <w:r>
        <w:rPr>
          <w:rFonts w:ascii="Cambria Math" w:hAnsi="Cambria Math"/>
          <w:sz w:val="22"/>
        </w:rPr>
        <w:t>τ_el ≈ 1/2·V²·dC/dθ</w:t>
      </w:r>
    </w:p>
    <w:p>
      <w:pPr>
        <w:pStyle w:val="Heading2"/>
      </w:pPr>
      <w:r>
        <w:t>21.2 Warum sich der Rotor „aufschaukeln“ kann</w:t>
      </w:r>
    </w:p>
    <w:p>
      <w:pPr>
        <w:jc w:val="center"/>
      </w:pPr>
      <w:r>
        <w:rPr>
          <w:rFonts w:ascii="Cambria Math" w:hAnsi="Cambria Math"/>
          <w:sz w:val="22"/>
        </w:rPr>
        <w:t>ΔE_Rotor = ∮ τ_el(θ)dθ</w:t>
      </w:r>
    </w:p>
    <w:p>
      <w:pPr>
        <w:jc w:val="center"/>
      </w:pPr>
      <w:r>
        <w:rPr>
          <w:rFonts w:ascii="Cambria Math" w:hAnsi="Cambria Math"/>
          <w:sz w:val="22"/>
        </w:rPr>
        <w:t>E_rot,n+1 = E_rot,n + ΔE_el − E_Verlust</w:t>
      </w:r>
    </w:p>
    <w:p>
      <w:r>
        <w:t>Ist die Nettoarbeit pro Umdrehung positiv, steigt die Drehzahl. Das ist positive Rückkopplung/Selbstanregung und benötigt zunächst keine LC-Resonanz.</w:t>
      </w:r>
    </w:p>
    <w:p>
      <w:pPr>
        <w:pStyle w:val="Heading2"/>
      </w:pPr>
      <w:r>
        <w:t>21.3 Diode / „Crystal“ als elektrostatischer Kommutator</w:t>
      </w:r>
    </w:p>
    <w:p>
      <w:r>
        <w:t>Der nichtlineare Pfad kann bestimmen, wann Ladung fließen darf: Laden → Antreiben → Ladungsübertragung → Rückstromsperre/Reset. Mit einer Schwellkennlinie I=f(V) kann er Polarität, Schwellwert und indirekt Rotorphase auswählen.</w:t>
      </w:r>
    </w:p>
    <w:p>
      <w:pPr>
        <w:pStyle w:val="Heading2"/>
      </w:pPr>
      <w:r>
        <w:t>21.4 Resonanz? Eher Phasensynchronisation</w:t>
      </w:r>
    </w:p>
    <w:p>
      <w:pPr>
        <w:jc w:val="center"/>
      </w:pPr>
      <w:r>
        <w:rPr>
          <w:rFonts w:ascii="Cambria Math" w:hAnsi="Cambria Math"/>
          <w:sz w:val="22"/>
        </w:rPr>
        <w:t>T_Segment ~ τ_RC = R·C</w:t>
      </w:r>
    </w:p>
    <w:p>
      <w:r>
        <w:t>Plausibler als eine unbelegte LC-Eigenresonanz ist ein phasensynchroner Arbeitspunkt aus Rotorperiode, RC-/Leck-/Relaxationszeiten, Corona/Ionentransport und Crystal-Schwellwert. Präziser Begriff: phasensynchrone elektrostatische Selbstanregung.</w:t>
      </w:r>
    </w:p>
    <w:p>
      <w:pPr>
        <w:pStyle w:val="Heading2"/>
      </w:pPr>
      <w:r>
        <w:t>21.5 Pendel-/Hemmungs-Analogie</w:t>
      </w:r>
    </w:p>
    <w:p>
      <w:r>
        <w:t>Wie ein Pendel bei jedem richtig getimten Schubs +ΔE erhält, kann ein positiver elektrostatischer Impuls pro Zyklus die Rotationsenergie erhöhen. Crystal/Diode wäre dann funktional die elektrische Hemmung bzw. der Kommutator, der den Zyklus begrenzt und synchronisiert.</w:t>
      </w:r>
    </w:p>
    <w:p>
      <w:pPr>
        <w:pStyle w:val="Heading2"/>
      </w:pPr>
      <w:r>
        <w:t>21.6 Moderne Analogien</w:t>
      </w:r>
    </w:p>
    <w:p>
      <w:r>
        <w:t>Variable Kapazität + Dioden + Kondensatoren + phasenabhängige Ladungszustände sind etablierte Elektromechanik, etwa in selbstprimenden dielektrischen Elastomergeneratoren und MEMS-Elektrostatikgeneratoren mit Spannungsvervielfachern. Das stützt die Schaltungslogik, nicht Overunity.</w:t>
      </w:r>
    </w:p>
    <w:p>
      <w:pPr>
        <w:pStyle w:val="Heading2"/>
      </w:pPr>
      <w:r>
        <w:t>21.7 Zwei energetisch verschiedene Kreise</w:t>
      </w:r>
    </w:p>
    <w:p>
      <w:pPr>
        <w:jc w:val="center"/>
      </w:pPr>
      <w:r>
        <w:rPr>
          <w:rFonts w:ascii="Cambria Math" w:hAnsi="Cambria Math"/>
          <w:sz w:val="22"/>
        </w:rPr>
        <w:t>Steuer/Drive: Rotor → C(θ) → Gitter/Taster → Crystal/Diode → τ → Rotor</w:t>
      </w:r>
    </w:p>
    <w:p>
      <w:pPr>
        <w:jc w:val="center"/>
      </w:pPr>
      <w:r>
        <w:rPr>
          <w:rFonts w:ascii="Cambria Math" w:hAnsi="Cambria Math"/>
          <w:sz w:val="22"/>
        </w:rPr>
        <w:t>Leistung/Storage: externe Quelle ? → Speicher/Wandler → Last (rotorgetaktet)</w:t>
      </w:r>
    </w:p>
    <w:p>
      <w:pPr>
        <w:jc w:val="center"/>
      </w:pPr>
      <w:r>
        <w:rPr>
          <w:rFonts w:ascii="Cambria Math" w:hAnsi="Cambria Math"/>
          <w:sz w:val="22"/>
        </w:rPr>
        <w:t>P_Quelle ≥ P_Last + P_Verluste</w:t>
      </w:r>
    </w:p>
    <w:p>
      <w:r>
        <w:t>Die Rotoren könnten einen größeren Energiefluss takten, ohne ihn zu erzeugen. Genau dadurch wäre geringe Last-Rotor-Rückwirkung prinzipiell erklärbar; die Quelle des Leistungspfads bleibt offen.</w:t>
      </w:r>
    </w:p>
    <w:p>
      <w:pPr>
        <w:pStyle w:val="Heading2"/>
      </w:pPr>
      <w:r>
        <w:t>21.8 Direkte Falsifikation</w:t>
      </w:r>
    </w:p>
    <w:p>
      <w:pPr>
        <w:pStyle w:val="ListBullet"/>
      </w:pPr>
      <w:r>
        <w:t>Crystal open/short/R/C/verschiedene Diodenschwellen</w:t>
      </w:r>
    </w:p>
    <w:p>
      <w:pPr>
        <w:pStyle w:val="ListBullet"/>
      </w:pPr>
      <w:r>
        <w:t>Drehzahlsweep auf Phasenoptimum</w:t>
      </w:r>
    </w:p>
    <w:p>
      <w:pPr>
        <w:pStyle w:val="ListBullet"/>
      </w:pPr>
      <w:r>
        <w:t>Torque + alle Knoten vs. Rotorwinkel</w:t>
      </w:r>
    </w:p>
    <w:p>
      <w:pPr>
        <w:pStyle w:val="ListBullet"/>
      </w:pPr>
      <w:r>
        <w:t>Drive-/Bias- und Load-/Storage-Kreise getrennt belasten</w:t>
      </w:r>
    </w:p>
    <w:p>
      <w:pPr>
        <w:pStyle w:val="ListBullet"/>
      </w:pPr>
      <w:r>
        <w:t>Motor-/Hilfseingang unter Last messen</w:t>
      </w:r>
    </w:p>
    <w:p>
      <w:pPr>
        <w:pStyle w:val="ListBullet"/>
      </w:pPr>
      <w:r>
        <w:t>alle Speicherenergien vor/nach Versuch bilanzieren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