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uthorsCN"/>
      </w:pPr>
      <w:r>
        <w:rPr>
          <w:rFonts w:hint="eastAsia"/>
        </w:rPr>
        <w:t xml:space="preserve">王凯伦，王琦</w:t>
      </w:r>
    </w:p>
    <w:p>
      <w:pPr>
        <w:pStyle w:val="HFUTAffiliationCN"/>
      </w:pPr>
      <w:r>
        <w:rPr>
          <w:rFonts w:hint="eastAsia"/>
        </w:rPr>
        <w:t xml:space="preserve">合肥工业大学数学学院，安徽</w:t>
      </w:r>
      <w:r>
        <w:t xml:space="preserve"> </w:t>
      </w:r>
      <w:r>
        <w:rPr>
          <w:rFonts w:hint="eastAsia"/>
        </w:rPr>
        <w:t xml:space="preserve">合肥</w:t>
      </w:r>
      <w:r>
        <w:t xml:space="preserve"> 230601</w:t>
      </w:r>
    </w:p>
    <w:p>
      <w:pPr>
        <w:pStyle w:val="HFUTBody"/>
      </w:pPr>
      <w:r>
        <w:rPr>
          <w:rFonts w:hint="eastAsia"/>
        </w:rPr>
        <w:t xml:space="preserve">通信作者：王琦</w:t>
      </w:r>
    </w:p>
    <w:p>
      <w:pPr>
        <w:pStyle w:val="HFUTAbstractBodyCN"/>
      </w:pPr>
      <w:r>
        <w:rPr>
          <w:rStyle w:val="HFUTAbstractLabelCNChar"/>
          <w:rFonts w:hint="eastAsia"/>
        </w:rPr>
        <w:t xml:space="preserve">摘要：</w:t>
      </w:r>
      <w:r>
        <w:rPr>
          <w:rFonts w:hint="eastAsia"/>
        </w:rPr>
        <w:t xml:space="preserve">针对边缘工业缺陷检测中网络低精度化不能直接消除输入形成与主机—设备数据移动开销的问题，本文将固定推理对象下的输入数据路径抽象为跨边界表示、输入张量形成位置、额外打包原始图像暂存策略和执行拓扑四类结构变量。在固定YOLOv8n、TensorRT</w:t>
      </w:r>
      <w:r>
        <w:t xml:space="preserve"> </w:t>
      </w:r>
      <w:r>
        <w:rPr>
          <w:rFonts w:hint="eastAsia"/>
        </w:rPr>
        <w:t xml:space="preserve">INT8混合精度Engine和单帧顺序拓扑的条件下，构造包含跨边界表示、张量形成位置及相应暂存组织变化的V0→V2R路径级重构，以及V2R→V3R暂存策略级细化两级受控干预，并以任务正确性保持为性能比较约束。冻结的180幅图像离线回放实验表明，三条路径的任务级指标一致；V2R相对V0达到2.24×</w:t>
      </w:r>
      <w:r>
        <w:t xml:space="preserve"> </w:t>
      </w:r>
      <w:r>
        <w:rPr>
          <w:rFonts w:hint="eastAsia"/>
        </w:rPr>
        <w:t xml:space="preserve">FPS，平均端到端延迟降低55.45%；V3R相对V2R的FPS提高4.07%，平均延迟降低4.03%，而P95增加0.15%、P99降低0.12%，尾延迟变化方向相反。结果说明，在受测平台与配置下，完整路径级重构对应较大的平均响应，局部暂存策略变化仅产生有限平均增量，且未形成一致的尾延迟改善证据。对于本文这类固定推理对象的数据路径评价，应区分输入表示、张量形成位置和主机暂存策略，并分别考察平均与尾部响应。</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uthorsEN"/>
      </w:pPr>
      <w:r>
        <w:t xml:space="preserve">WANG Kailun, WANG Qi</w:t>
      </w:r>
    </w:p>
    <w:p>
      <w:pPr>
        <w:pStyle w:val="HFUTAffiliationEN"/>
      </w:pPr>
      <w:r>
        <w:t xml:space="preserve">School of Mathematics, Hefei University of Technology, Hefei 230601, China</w:t>
      </w:r>
    </w:p>
    <w:p>
      <w:pPr>
        <w:pStyle w:val="HFUTBody"/>
      </w:pPr>
      <w:r>
        <w:t xml:space="preserve">Corresponding author: WANG Qi</w:t>
      </w:r>
    </w:p>
    <w:p>
      <w:pPr>
        <w:pStyle w:val="HFUTAbstractBodyEN"/>
      </w:pPr>
      <w:r>
        <w:rPr>
          <w:rStyle w:val="HFUTAbstractLabelENChar"/>
        </w:rPr>
        <w:t xml:space="preserve">Abstract:</w:t>
      </w:r>
      <w:r>
        <w:t xml:space="preserve"> </w:t>
      </w:r>
      <w:r>
        <w:t xml:space="preserve">For edge-based industrial defect detection, reducing network precision does not by itself eliminate input formation and host-device data-movement costs. This study abstracts the input data path of a fixed inference object by four structural variables: the representation crossing the host-device boundary, the location where the input tensor is formed, the policy for additional packed raw-image host staging, and the execution topology. With a fixed YOLOv8n detector, TensorRT INT8 mixed-precision Engine, and sequential single-frame topology, two hierarchical controlled interventions are constructed: the V0-to-V2R path-level reconstruction, which changes the representation, tensor-formation location, and corresponding staging organization, and the V2R-to-V3R staging-policy refinement. Performance comparisons are admitted only under preserved task correctness. Offline replay of the frozen 180-image workload yields identical task-level metrics for all three paths. Relative to V0, V2R achieves 2.24× FPS and 55.45% lower mean end-to-end latency. Relative to V2R, V3R improves FPS by 4.07% and lowers mean latency by 4.03%, whereas P95 increases by 0.15% and P99 decreases by 0.12%, giving opposite tail-latency directions. Under the tested platform and configuration, the complete path-level reconstruction corresponds to a substantial mean response, while the local staging-policy change yields only a limited mean increment and no consistent tail-latency improvement. For fixed-inference-object data-path evaluations of this type, input representation, tensor-formation location, and host staging policy should be distinguished, with mean and tail responses considered separately.</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。当检测过程部署到靠近数据源的边缘设备时，评价目标不仅是模型精度，还包括固定任务语义下的完整处理响应。</w:t>
      </w:r>
    </w:p>
    <w:p>
      <w:pPr>
        <w:pStyle w:val="HFUTBody"/>
      </w:pPr>
      <w:r>
        <w:rPr>
          <w:rFonts w:hint="eastAsia"/>
        </w:rPr>
        <w:t xml:space="preserve">围绕检测模型本身，已有研究通过轻量化骨干、注意力机制和多尺度特征融合改善精度与复杂度权衡</w:t>
      </w:r>
      <w:r>
        <w:rPr>
          <w:vertAlign w:val="superscript"/>
        </w:rPr>
        <w:t xml:space="preserve">[3–5]</w:t>
      </w:r>
      <w:r>
        <w:rPr>
          <w:rFonts w:hint="eastAsia"/>
        </w:rPr>
        <w:t xml:space="preserve">，YOLOv8则提供多尺度检测模型及训练、推理和导出链路</w:t>
      </w:r>
      <w:r>
        <w:rPr>
          <w:vertAlign w:val="superscript"/>
        </w:rPr>
        <w:t xml:space="preserve">[6]</w:t>
      </w:r>
      <w:r>
        <w:rPr>
          <w:rFonts w:hint="eastAsia"/>
        </w:rPr>
        <w:t xml:space="preserve">。这类工作主要回答“采用何种检测器及网络结构”，为边缘部署提供模型基础，但不能单独描述模型执行前后的系统数据组织。</w:t>
      </w:r>
    </w:p>
    <w:p>
      <w:pPr>
        <w:pStyle w:val="HFUTBody"/>
      </w:pPr>
      <w:r>
        <w:rPr>
          <w:rFonts w:hint="eastAsia"/>
        </w:rPr>
        <w:t xml:space="preserve">另一类工作把研究范围扩展到边缘推理运行时。完整检测链通常同时包含数据获取、预处理、模型执行、后处理与数据管理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。因此，仅报告网络推理时间不足以刻画输入形成方式变化对完整系统响应的影响。</w:t>
      </w:r>
    </w:p>
    <w:p>
      <w:pPr>
        <w:pStyle w:val="HFUTBody"/>
      </w:pPr>
      <w:r>
        <w:rPr>
          <w:rFonts w:hint="eastAsia"/>
        </w:rPr>
        <w:t xml:space="preserve">模型低精度化进一步降低网络侧计算与存储开销，但量化误差仍须受到任务正确性约束</w:t>
      </w:r>
      <w:r>
        <w:rPr>
          <w:vertAlign w:val="superscript"/>
        </w:rPr>
        <w:t xml:space="preserve">[10,11]</w:t>
      </w:r>
      <w:r>
        <w:rPr>
          <w:rFonts w:hint="eastAsia"/>
        </w:rPr>
        <w:t xml:space="preserve">。本文固定采用TensorRT</w:t>
      </w:r>
      <w:r>
        <w:t xml:space="preserve"> </w:t>
      </w:r>
      <w:r>
        <w:rPr>
          <w:rFonts w:hint="eastAsia"/>
        </w:rPr>
        <w:t xml:space="preserve">10.3校准式INT8混合精度Engine；该版本的传统隐式INT8量化与calibrator接口具有明确的软件版本边界</w:t>
      </w:r>
      <w:r>
        <w:rPr>
          <w:vertAlign w:val="superscript"/>
        </w:rPr>
        <w:t xml:space="preserve">[12]</w:t>
      </w:r>
      <w:r>
        <w:rPr>
          <w:rFonts w:hint="eastAsia"/>
        </w:rPr>
        <w:t xml:space="preserve">。量化部署研究同样表明，性能比较需要同时维持任务行为</w:t>
      </w:r>
      <w:r>
        <w:rPr>
          <w:vertAlign w:val="superscript"/>
        </w:rPr>
        <w:t xml:space="preserve">[13]</w:t>
      </w:r>
      <w:r>
        <w:rPr>
          <w:rFonts w:hint="eastAsia"/>
        </w:rPr>
        <w:t xml:space="preserve">。然而，网络精度降低并不会自动决定图像以何种表示跨越主机—设备边界，也不会决定输入张量在主机还是设备侧形成。</w:t>
      </w:r>
    </w:p>
    <w:p>
      <w:pPr>
        <w:pStyle w:val="HFUTBody"/>
      </w:pPr>
      <w:r>
        <w:rPr>
          <w:rFonts w:hint="eastAsia"/>
        </w:rPr>
        <w:t xml:space="preserve">在Jetson检测部署中，预处理、推理与后处理可形成不同的端到端组织</w:t>
      </w:r>
      <w:r>
        <w:rPr>
          <w:vertAlign w:val="superscript"/>
        </w:rPr>
        <w:t xml:space="preserve">[14]</w:t>
      </w:r>
      <w:r>
        <w:rPr>
          <w:rFonts w:hint="eastAsia"/>
        </w:rPr>
        <w:t xml:space="preserve">。CUDA文档指出主机内存类型与异步复制具有特定适用条件</w:t>
      </w:r>
      <w:r>
        <w:rPr>
          <w:vertAlign w:val="superscript"/>
        </w:rPr>
        <w:t xml:space="preserve">[15]</w:t>
      </w:r>
      <w:r>
        <w:rPr>
          <w:rFonts w:hint="eastAsia"/>
        </w:rPr>
        <w:t xml:space="preserve">；集成CPU-GPU系统和GPU内存分配研究也说明内存策略的响应依赖平台、工作负载与访问方式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。已有完整边缘处理研究关注并发或流水化组织</w:t>
      </w:r>
      <w:r>
        <w:rPr>
          <w:vertAlign w:val="superscript"/>
        </w:rPr>
        <w:t xml:space="preserve">[19]</w:t>
      </w:r>
      <w:r>
        <w:rPr>
          <w:rFonts w:hint="eastAsia"/>
        </w:rPr>
        <w:t xml:space="preserve">。在本文考察的相关边缘部署研究中，现有工作多分别关注模型优化、预处理或主机—设备内存行为，对跨边界表示、输入张量形成位置和主机暂存策略在统一E2E路径中的联合组织关系讨论相对有限。</w:t>
      </w:r>
    </w:p>
    <w:p>
      <w:pPr>
        <w:pStyle w:val="HFUTBody"/>
      </w:pPr>
      <w:r>
        <w:rPr>
          <w:rFonts w:hint="eastAsia"/>
        </w:rPr>
        <w:t xml:space="preserve">为此，本文将输入数据路径定义为固定推理对象下的结构描述，并以任务正确性保持为比较准入条件。考虑到平均响应与尾部响应反映不同性能维度</w:t>
      </w:r>
      <w:r>
        <w:rPr>
          <w:vertAlign w:val="superscript"/>
        </w:rPr>
        <w:t xml:space="preserve">[20]</w:t>
      </w:r>
      <w:r>
        <w:rPr>
          <w:rFonts w:hint="eastAsia"/>
        </w:rPr>
        <w:t xml:space="preserve">，同时结合Jetson平台比较的配置依赖性</w:t>
      </w:r>
      <w:r>
        <w:rPr>
          <w:vertAlign w:val="superscript"/>
        </w:rPr>
        <w:t xml:space="preserve">[21]</w:t>
      </w:r>
      <w:r>
        <w:rPr>
          <w:rFonts w:hint="eastAsia"/>
        </w:rPr>
        <w:t xml:space="preserve">及缺陷检测基准对数据和评价边界的要求</w:t>
      </w:r>
      <w:r>
        <w:rPr>
          <w:vertAlign w:val="superscript"/>
        </w:rPr>
        <w:t xml:space="preserve">[22]</w:t>
      </w:r>
      <w:r>
        <w:rPr>
          <w:rFonts w:hint="eastAsia"/>
        </w:rPr>
        <w:t xml:space="preserve">，本文提出两个研究问题：路径级重构对完整端到端平均响应有何影响；在其余结构变量固定时，暂存策略变化是否产生额外平均响应并带来同方向的P95/P99变化。</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并据此形成V0、V2R和V3R的层级受控重构关系；2）在任务正确性保持条件下，分别评价路径级重构和暂存策略级细化，联合给出E2E均值、吞吐率及P95/P99响应，并在受测平台与配置边界内解释两级干预的不同响应。</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在固定推理对象内，将一条输入数据路径表示为</w:t>
      </w:r>
    </w:p>
    <w:p>
      <w:pPr>
        <w:pStyle w:val="HFUTEquation"/>
      </w:pPr>
      <ns2:oMathPara>
        <ns2:oMathParaPr>
          <ns2:jc ns2:val="center"/>
        </ns2:oMathParaP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r>
            <ns2:rPr>
              <ns2:sty ns2:val="p"/>
            </ns2:rPr>
            <ns2:t>,</ns2:t>
          </ns2:r>
        </ns2:oMath>
      </ns2:oMathPara>
    </w:p>
    <w:p>
      <w:pPr>
        <w:pStyle w:val="HFUTBody"/>
        <w:spacing w:before="0" w:after="0" w:line="360" w:lineRule="atLeast"/>
      </w:pPr>
      <w:r>
        <w:rPr>
          <w:rFonts w:hint="eastAsia"/>
        </w:rPr>
        <w:t xml:space="preserve">式中，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的实现映射，而非额外引入的独立控制变量。描述符用于检查各次比较中哪些结构变量发生变化，不用于分解各变量的延迟贡献。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pPr>
      <ns2:oMathPara>
        <ns2:oMathParaPr>
          <ns2:jc ns2:val="center"/>
        </ns2:oMathParaPr>
        <ns2:oMath>
          <ns2:r>
            <ns2:t>B</ns2:t>
          </ns2:r>
          <ns2:r>
            <ns2:rPr>
              <ns2:sty ns2:val="p"/>
            </ns2:rPr>
            <ns2:t>(</ns2:t>
          </ns2:r>
          <ns2:r>
            <ns2:t>P</ns2:t>
          </ns2:r>
          <ns2:r>
            <ns2:rPr>
              <ns2:sty ns2:val="p"/>
            </ns2:rPr>
            <ns2:t>)</ns2:t>
          </ns2:r>
          <ns2:r>
            <ns2:rPr>
              <ns2:sty ns2:val="p"/>
            </ns2:rPr>
            <ns2:t>=</ns2:t>
          </ns2:r>
          <ns2:sSub>
            <ns2:e>
              <ns2:r>
                <ns2:t>H</ns2:t>
              </ns2:r>
            </ns2:e>
            <ns2:sub>
              <ns2:r>
                <ns2:t>R</ns2:t>
              </ns2:r>
            </ns2:sub>
          </ns2:sSub>
          <ns2:r>
            <ns2:rPr>
              <ns2:sty ns2:val="p"/>
            </ns2:rPr>
            <ns2:t>(</ns2:t>
          </ns2:r>
          <ns2:r>
            <ns2:t>P</ns2:t>
          </ns2:r>
          <ns2:r>
            <ns2:rPr>
              <ns2:sty ns2:val="p"/>
            </ns2:rPr>
            <ns2:t>)</ns2:t>
          </ns2:r>
          <ns2:sSub>
            <ns2:e>
              <ns2:r>
                <ns2:t>W</ns2:t>
              </ns2:r>
            </ns2:e>
            <ns2:sub>
              <ns2:r>
                <ns2:t>R</ns2:t>
              </ns2:r>
            </ns2:sub>
          </ns2:sSub>
          <ns2:r>
            <ns2:rPr>
              <ns2:sty ns2:val="p"/>
            </ns2:rPr>
            <ns2:t>(</ns2:t>
          </ns2:r>
          <ns2:r>
            <ns2:t>P</ns2:t>
          </ns2:r>
          <ns2:r>
            <ns2:rPr>
              <ns2:sty ns2:val="p"/>
            </ns2:rPr>
            <ns2:t>)</ns2:t>
          </ns2:r>
          <ns2:sSub>
            <ns2:e>
              <ns2:r>
                <ns2:t>C</ns2:t>
              </ns2:r>
            </ns2:e>
            <ns2:sub>
              <ns2:r>
                <ns2:t>R</ns2:t>
              </ns2:r>
            </ns2:sub>
          </ns2:sSub>
          <ns2:r>
            <ns2:rPr>
              <ns2:sty ns2:val="p"/>
            </ns2:rPr>
            <ns2:t>(</ns2:t>
          </ns2:r>
          <ns2:r>
            <ns2:t>P</ns2:t>
          </ns2:r>
          <ns2:r>
            <ns2:rPr>
              <ns2:sty ns2:val="p"/>
            </ns2:rPr>
            <ns2:t>)</ns2:t>
          </ns2:r>
          <ns2:sSub>
            <ns2:e>
              <ns2:r>
                <ns2:t>s</ns2:t>
              </ns2:r>
            </ns2:e>
            <ns2:sub>
              <ns2:r>
                <ns2:t>R</ns2:t>
              </ns2:r>
            </ns2:sub>
          </ns2:sSub>
          <ns2:r>
            <ns2:rPr>
              <ns2:sty ns2:val="p"/>
            </ns2:rPr>
            <ns2:t>(</ns2:t>
          </ns2:r>
          <ns2:r>
            <ns2:t>P</ns2:t>
          </ns2:r>
          <ns2:r>
            <ns2:rPr>
              <ns2:sty ns2:val="p"/>
            </ns2:rPr>
            <ns2:t>)</ns2:t>
          </ns2:r>
          <ns2:r>
            <ns2:rPr>
              <ns2:sty ns2:val="p"/>
            </ns2:rPr>
            <ns2:t>.</ns2:t>
          </ns2:r>
        </ns2:oMath>
      </ns2:oMathPara>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ns2:t>P</ns2:t>
                  </ns2:r>
                </ns2:e>
                <ns2:sub>
                  <ns2: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ns2:t>P</ns2:t>
                  </ns2:r>
                </ns2:e>
                <ns2:sub>
                  <ns2: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ns2:t>P</ns2:t>
                  </ns2:r>
                </ns2:e>
                <ns2:sub>
                  <ns2: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ns2:t>B</ns2:t>
              </ns2:r>
              <ns2:r>
                <ns2:rPr>
                  <ns2:sty ns2:val="p"/>
                </ns2:rPr>
                <ns2:t>(</ns2:t>
              </ns2:r>
              <ns2:r>
                <ns2:t>P</ns2:t>
              </ns2:r>
              <ns2:r>
                <ns2:rPr>
                  <ns2:sty ns2:val="p"/>
                </ns2:rPr>
                <ns2:t>)</ns2:t>
              </ns2:r>
            </ns2:oMath>
          </w:p>
        </w:tc>
        <w:tc>
          <w:tcPr>
            <w:tcW w:w="1957" w:type="dxa"/>
            <w:tcBorders>
              <w:top w:val="nil"/>
              <w:left w:val="nil"/>
              <w:bottom w:val="nil"/>
              <w:right w:val="nil"/>
            </w:tcBorders>
          </w:tcPr>
          <w:p>
            <w:pPr>
              <w:pStyle w:val="HFUTTableContent"/>
              <w:ind w:left="0" w:right="0" w:firstLine="0"/>
              <w:jc w:val="center"/>
            </w:pPr>
            <w:r>
              <w:t xml:space="preserve">4.9152 MB/frame</w:t>
            </w:r>
          </w:p>
        </w:tc>
        <w:tc>
          <w:tcPr>
            <w:tcW w:w="1957" w:type="dxa"/>
            <w:tcBorders>
              <w:top w:val="nil"/>
              <w:left w:val="nil"/>
              <w:bottom w:val="nil"/>
              <w:right w:val="nil"/>
            </w:tcBorders>
          </w:tcPr>
          <w:p>
            <w:pPr>
              <w:pStyle w:val="HFUTTableContent"/>
              <w:ind w:left="0" w:right="0" w:firstLine="0"/>
              <w:jc w:val="center"/>
            </w:pPr>
            <w:r>
              <w:t xml:space="preserve">0.1200 MB/frame</w:t>
            </w:r>
          </w:p>
        </w:tc>
        <w:tc>
          <w:tcPr>
            <w:tcW w:w="1958" w:type="dxa"/>
            <w:tcBorders>
              <w:top w:val="nil"/>
              <w:left w:val="nil"/>
              <w:bottom w:val="nil"/>
              <w:right w:val="nil"/>
            </w:tcBorders>
          </w:tcPr>
          <w:p>
            <w:pPr>
              <w:pStyle w:val="HFUTTableContent"/>
              <w:ind w:left="0" w:right="0" w:firstLine="0"/>
              <w:jc w:val="center"/>
            </w:pPr>
            <w:r>
              <w:t xml:space="preserve">0.1200 MB/frame</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如图1所示，</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w:t>
      </w:r>
      <ns2:oMath>
        <ns2:r>
          <ns2:t>M</ns2:t>
        </ns2:r>
      </ns2:oMath>
      <w:r>
        <w:rPr>
          <w:rFonts w:hint="eastAsia"/>
        </w:rPr>
        <w:t xml:space="preserve">，属于局部暂存策略细化。这里的层级仅表示受控变量范围不同，不预设收益大小，也不构成阶段级因果分解。</w:t>
      </w:r>
    </w:p>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p>
      <w:pPr>
        <w:pStyle w:val="HFUTBody"/>
      </w:pPr>
      <w:r>
        <w:rPr>
          <w:rFonts w:hint="eastAsia"/>
        </w:rPr>
        <w:t xml:space="preserve">性能比较还必须满足正确性条件：三条路径使用同一工作负载、评价器、模型/Engine、输入和后处理语义；V2R通过预定义的任务级核验，V3R由同一评价器确定性重算；汇总任务指标一致，类别级AP50与Recall最大路径间差异为0。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pPr>
      <ns2:oMathPara>
        <ns2:oMathParaPr>
          <ns2:jc ns2:val="center"/>
        </ns2:oMathParaPr>
        <ns2:oMath>
          <ns2:sSub>
            <ns2:e>
              <ns2:r>
                <ns2:t>T</ns2:t>
              </ns2:r>
            </ns2:e>
            <ns2:sub>
              <ns2:r>
                <ns2:rPr>
                  <ns2:sty ns2:val="p"/>
                </ns2:rPr>
                <ns2:t>E</ns2:t>
              </ns2:r>
              <ns2:r>
                <ns2:rPr>
                  <ns2:sty ns2:val="p"/>
                </ns2:rPr>
                <ns2:t>2</ns2:t>
              </ns2:r>
              <ns2:r>
                <ns2:rPr>
                  <ns2:sty ns2:val="p"/>
                </ns2:rPr>
                <ns2:t>E</ns2:t>
              </ns2:r>
            </ns2:sub>
          </ns2:sSub>
          <ns2:r>
            <ns2:rPr>
              <ns2:sty ns2:val="p"/>
            </ns2:rPr>
            <ns2:t>(</ns2:t>
          </ns2:r>
          <ns2:r>
            <ns2:t>P</ns2:t>
          </ns2:r>
          <ns2:r>
            <ns2:rPr>
              <ns2:sty ns2:val="p"/>
            </ns2:rPr>
            <ns2:t>)</ns2:t>
          </ns2:r>
          <ns2:r>
            <ns2:rPr>
              <ns2:sty ns2:val="p"/>
            </ns2:rPr>
            <ns2:t>=</ns2:t>
          </ns2:r>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r>
            <ns2:rPr>
              <ns2:sty ns2:val="p"/>
            </ns2:rPr>
            <ns2:t>(</ns2:t>
          </ns2:r>
          <ns2:r>
            <ns2:t>P</ns2:t>
          </ns2:r>
          <ns2:r>
            <ns2:rPr>
              <ns2:sty ns2:val="p"/>
            </ns2:rPr>
            <ns2:t>)</ns2:t>
          </ns2:r>
          <ns2:r>
            <ns2:rPr>
              <ns2:sty ns2:val="p"/>
            </ns2:rPr>
            <ns2:t>−</ns2:t>
          </ns2:r>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r>
            <ns2:rPr>
              <ns2:sty ns2:val="p"/>
            </ns2:rPr>
            <ns2:t>(</ns2:t>
          </ns2:r>
          <ns2:r>
            <ns2:t>P</ns2:t>
          </ns2:r>
          <ns2:r>
            <ns2:rPr>
              <ns2:sty ns2:val="p"/>
            </ns2:rPr>
            <ns2:t>)</ns2:t>
          </ns2:r>
          <ns2:r>
            <ns2:rPr>
              <ns2:sty ns2:val="p"/>
            </ns2:rPr>
            <ns2:t>,</ns2:t>
          </ns2:r>
        </ns2:oMath>
      </ns2:oMathPara>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H2D复制。其科学语义是“主机形成模型输入、张量表示跨越边界”，具体操作仅用于复现该路径实例。</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，将跨边界表示由FP32</w:t>
      </w:r>
      <w:r>
        <w:t xml:space="preserve"> </w:t>
      </w:r>
      <w:r>
        <w:rPr>
          <w:rFonts w:hint="eastAsia"/>
        </w:rPr>
        <w:t xml:space="preserve">NCHW张量改为packed</w:t>
      </w:r>
      <w:r>
        <w:t xml:space="preserve"> BGR </w:t>
      </w:r>
      <w:r>
        <w:rPr>
          <w:rFonts w:hint="eastAsia"/>
        </w:rPr>
        <w:t xml:space="preserve">uint8，并将输入张量形成位置由主机移至设备。冻结工作负载的源图像为200×200，因此主机侧只额外形成连续的600</w:t>
      </w:r>
      <w:r>
        <w:t xml:space="preserve"> </w:t>
      </w:r>
      <w:r>
        <w:rPr>
          <w:rFonts w:hint="eastAsia"/>
        </w:rPr>
        <w:t xml:space="preserve">B行宽packed</w:t>
      </w:r>
      <w:r>
        <w:t xml:space="preserve"> BGR </w:t>
      </w:r>
      <w:r>
        <w:rPr>
          <w:rFonts w:hint="eastAsia"/>
        </w:rPr>
        <w:t xml:space="preserve">pageable暂存；该表示经二维H2D复制后，由设备侧融合预处理直接写入TensorRT管理的FP32</w:t>
      </w:r>
      <w:r>
        <w:t xml:space="preserve"> </w:t>
      </w:r>
      <w:r>
        <w:rPr>
          <w:rFonts w:hint="eastAsia"/>
        </w:rPr>
        <w:t xml:space="preserve">NCHW输入。实现中二维复制映射为</w:t>
      </w:r>
      <w:r>
        <w:rPr>
          <w:rStyle w:val="VerbatimChar"/>
        </w:rPr>
        <w:t xml:space="preserve">cudaMemcpy2DAsync</w:t>
      </w:r>
      <w:r>
        <w:rPr>
          <w:rFonts w:hint="eastAsia"/>
        </w:rPr>
        <w:t xml:space="preserve">，融合处理完成resize、padding、BGR→RGB、归一化与布局变换。</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，在V2R基础上只将额外打包原始图像的主机暂存策略由pageable改为pinned。跨边界表示、设备侧张量形成、GPU融合预处理、二维复制拓扑、CUDA</w:t>
      </w:r>
      <w:r>
        <w:t xml:space="preserve"> </w:t>
      </w:r>
      <w:r>
        <w:rPr>
          <w:rFonts w:hint="eastAsia"/>
        </w:rPr>
        <w:t xml:space="preserve">stream、Engine和全部下游处理均保持不变。实现上使用</w:t>
      </w:r>
      <w:r>
        <w:rPr>
          <w:rStyle w:val="VerbatimChar"/>
        </w:rPr>
        <w:t xml:space="preserve">cudaHostAlloc</w:t>
      </w:r>
      <w:r>
        <w:rPr>
          <w:rFonts w:hint="eastAsia"/>
        </w:rPr>
        <w:t xml:space="preserve">建立跨帧复用的pinned暂存；其分配方式只是</w:t>
      </w:r>
      <ns2:oMath>
        <ns2:r>
          <ns2:t>M</ns2:t>
        </ns2:r>
      </ns2:oMath>
      <w:r>
        <w:rPr>
          <w:rFonts w:hint="eastAsia"/>
        </w:rPr>
        <w:t xml:space="preserve">的实现映射，不改变复制内容和每帧有效几何。</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P / R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p>
      <w:pPr>
        <w:pStyle w:val="BodyText"/>
        <w:keepNext/>
        <w:spacing w:before="0" w:after="0" w:line="320" w:lineRule="atLeast"/>
        <w:ind w:firstLine="0"/>
        <w:jc w:val="center"/>
      </w:pPr>
      <w:r>
        <w:drawing>
          <ns3:inline>
            <ns3:extent cx="5759999" cy="2212571"/>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5759999" cy="2212571"/>
                    </ns4:xfrm>
                    <ns4:prstGeom prst="rect">
                      <ns4:avLst/>
                    </ns4:prstGeom>
                    <ns4:noFill/>
                    <ns4:ln w="9525">
                      <ns4:noFill/>
                      <ns4:headEnd/>
                      <ns4:tailEnd/>
                    </ns4:ln>
                  </ns5:spPr>
                </ns5:pic>
              </ns4:graphicData>
            </ns4:graphic>
          </ns3: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p>
      <w:pPr>
        <w:pStyle w:val="HFUTBody"/>
        <w:spacing w:before="0" w:after="0" w:line="360" w:lineRule="atLeast"/>
      </w:pPr>
      <w:r>
        <w:rPr>
          <w:rFonts w:hint="eastAsia"/>
        </w:rPr>
        <w:t xml:space="preserve">这项观测对应完整路径级干预：跨边界表示由FP32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保持不变。式（2）给出的名义输入复制载荷由4.9152</w:t>
      </w:r>
      <w:r>
        <w:t xml:space="preserve"> </w:t>
      </w:r>
      <w:r>
        <w:rPr>
          <w:rFonts w:hint="eastAsia"/>
        </w:rPr>
        <w:t xml:space="preserve">MB/frame降至0.1200</w:t>
      </w:r>
      <w:r>
        <w:t xml:space="preserve"> </w:t>
      </w:r>
      <w:r>
        <w:rPr>
          <w:rFonts w:hint="eastAsia"/>
        </w:rPr>
        <w:t xml:space="preserve">MB/frame，形成40.96×结构对比；它是重构路径的一项派生属性，而非独立控制变量。由于未进行阶段插桩或总线/DRAM流量测量，2.24×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路径，不能归因于某个组件，也不能解释为40.96×传输加速。</w:t>
      </w:r>
    </w:p>
    <w:p>
      <w:pPr>
        <w:pStyle w:val="HFUTHeading2"/>
      </w:pPr>
      <w:r>
        <w:t xml:space="preserve">4.3 </w:t>
      </w:r>
      <w:r>
        <w:rPr>
          <w:rFonts w:hint="eastAsia"/>
        </w:rPr>
        <w:t xml:space="preserve">暂存策略的增量响应</w:t>
      </w:r>
    </w:p>
    <w:p>
      <w:pPr>
        <w:pStyle w:val="HFUTBody"/>
        <w:spacing w:before="0" w:after="0" w:line="360" w:lineRule="atLeast"/>
      </w:pPr>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、GPU预处理语义、Engine、stream和下游结构固定时，V3R只把</w:t>
      </w:r>
      <ns2:oMath>
        <ns2:r>
          <ns2:t>M</ns2:t>
        </ns2:r>
      </ns2:oMath>
      <w:r>
        <w:rPr>
          <w:rFonts w:hint="eastAsia"/>
        </w:rPr>
        <w:t xml:space="preserve">由pageable改为pinned。V3R平均FPS为127.097，平均E2E延迟为7.812</w:t>
      </w:r>
      <w:r>
        <w:t xml:space="preserve"> </w:t>
      </w:r>
      <w:r>
        <w:rPr>
          <w:rFonts w:hint="eastAsia"/>
        </w:rPr>
        <w:t xml:space="preserve">ms；相对V2R，FPS提高4.0738%（论文值+4.07%），平均延迟降低4.0349%（论文值−4.03%）。与路径级重构相比，这一局部策略干预在受测系统中只形成有限的平均增量。该范围差异描述的是本实验的受控响应，不推出pinned内存在其他平台、模型或负载下的普遍收益。</w:t>
      </w:r>
    </w:p>
    <w:p>
      <w:pPr>
        <w:pStyle w:val="HFUTHeading2"/>
      </w:pPr>
      <w:r>
        <w:t xml:space="preserve">4.4 </w:t>
      </w:r>
      <w:r>
        <w:rPr>
          <w:rFonts w:hint="eastAsia"/>
        </w:rPr>
        <w:t xml:space="preserve">平均性能与尾延迟响应</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ms，分布见图3。上述范围均不重叠，说明平均响应在5个独立进程中重复观察到，而非仅由单一异常进程形成；但不同路径的进程独立且不配对，本文不据此进行显著性推断。</w:t>
      </w:r>
    </w:p>
    <w:p>
      <w:pPr>
        <w:pStyle w:val="BodyText"/>
        <w:keepNext/>
        <w:spacing w:before="0" w:after="0" w:line="320" w:lineRule="atLeast"/>
        <w:ind w:firstLine="0"/>
        <w:jc w:val="center"/>
      </w:pPr>
      <w:r>
        <w:drawing>
          <ns3:inline>
            <ns3:extent cx="5759999" cy="2578285"/>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5759999" cy="2578285"/>
                    </ns4:xfrm>
                    <ns4:prstGeom prst="rect">
                      <ns4:avLst/>
                    </ns4:prstGeom>
                    <ns4:noFill/>
                    <ns4:ln w="9525">
                      <ns4:noFill/>
                      <ns4:headEnd/>
                      <ns4:tailEnd/>
                    </ns4:ln>
                  </ns5:spPr>
                </ns5:pic>
              </ns4:graphicData>
            </ns4:graphic>
          </ns3: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p>
      <w:pPr>
        <w:pStyle w:val="HFUTBody"/>
      </w:pPr>
      <w:r>
        <w:rPr>
          <w:rFonts w:hint="eastAsia"/>
        </w:rPr>
        <w:t xml:space="preserve">V3R相对V2R的合并样本P95变化为+0.1514%（论文值+0.15%），P99变化为−0.1184%（论文值−0.12%）；两个方向相反，未形成一致的尾延迟改善证据。这说明平均响应和尾延迟是不同评价维度：局部策略改变能够在本实验中改善均值，并不意味着P95与P99同步改善。该结果不支持“pinned改善稳定性”或统计显著性结论。</w:t>
      </w:r>
    </w:p>
    <w:p>
      <w:pPr>
        <w:pStyle w:val="HFUTHeading2"/>
      </w:pPr>
      <w:r>
        <w:t xml:space="preserve">4.5 </w:t>
      </w:r>
      <w:r>
        <w:rPr>
          <w:rFonts w:hint="eastAsia"/>
        </w:rPr>
        <w:t xml:space="preserve">解释边界与局限性</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本文以固定推理对象下的输入数据路径为研究对象，将跨边界表示、输入张量形成位置、额外打包原始图像暂存策略和执行拓扑作为结构变量。在冻结180幅测试图像且三条路径任务级评价一致的条件下，包含</w:t>
      </w:r>
      <ns2:oMath>
        <ns2:r>
          <ns2:t>R</ns2:t>
        </ns2:r>
        <ns2:r>
          <ns2:rPr>
            <ns2:sty ns2:val="p"/>
          </ns2:rPr>
          <ns2:t>,</ns2:t>
        </ns2:r>
        <ns2:r>
          <ns2:t>F</ns2:t>
        </ns2:r>
        <ns2:r>
          <ns2:rPr>
            <ns2:sty ns2:val="p"/>
          </ns2:rPr>
          <ns2:t>,</ns2:t>
        </ns2:r>
        <ns2:r>
          <ns2:t>M</ns2:t>
        </ns2:r>
      </ns2:oMath>
      <w:r>
        <w:rPr>
          <w:rFonts w:hint="eastAsia"/>
        </w:rPr>
        <w:t xml:space="preserve">变化且</w:t>
      </w:r>
      <ns2:oMath>
        <ns2:r>
          <ns2:t>E</ns2:t>
        </ns2:r>
      </ns2:oMath>
      <w:r>
        <w:rPr>
          <w:rFonts w:hint="eastAsia"/>
        </w:rPr>
        <w:t xml:space="preserve">保持不变的路径级</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使FPS达到2.24×、平均E2E延迟降低55.45%；仅改变</w:t>
      </w:r>
      <ns2:oMath>
        <ns2:r>
          <ns2:t>M</ns2:t>
        </ns2:r>
      </ns2:oMath>
      <w:r>
        <w:rPr>
          <w:rFonts w:hint="eastAsia"/>
        </w:rPr>
        <w:t xml:space="preserve">的局部</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w:t>
      </w:r>
    </w:p>
    <w:p>
      <w:pPr>
        <w:pStyle w:val="HFUTBody"/>
      </w:pPr>
      <w:r>
        <w:rPr>
          <w:rFonts w:hint="eastAsia"/>
        </w:rPr>
        <w:t xml:space="preserve">结果说明，包含表示、张量形成位置及相应暂存组织变化的路径级干预，与仅改变主机暂存策略的局部干预属于不同层级，其完整E2E响应不能由单个API或名义载荷直接解释。对于本文这类固定推理对象的数据路径评价，应区分跨边界表示、张量形成位置和主机暂存策略，并将平均性能与尾延迟作为独立响应维度。该认识仅适用于本文单一Jetson平台、检测器/Engine、数据集、离线回放与单帧顺序配置，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J，等.</w:t>
      </w:r>
      <w:r>
        <w:t xml:space="preserve"> Deep Metallic Surface Defect Detection: The New Benchmark and Detection Network[J]. </w:t>
      </w:r>
      <w:r>
        <w:rPr>
          <w:rFonts w:hint="eastAsia"/>
        </w:rPr>
        <w:t xml:space="preserve">Sensors，2020，20（6）：1562.</w:t>
      </w:r>
      <w:r>
        <w:t xml:space="preserve"> DOI:</w:t>
      </w:r>
      <w:hyperlink ns1:id="rId22">
        <w:r>
          <w:rPr>
            <w:rStyle w:val="Hyperlink"/>
          </w:rPr>
          <w:t xml:space="preserve">10.3390/s20061562</w:t>
        </w:r>
      </w:hyperlink>
      <w:r>
        <w:t xml:space="preserve">.</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 A noise robust method based on completed local binary patterns for hot-rolled steel strip surface defects[J]. Applied Surface </w:t>
      </w:r>
      <w:r>
        <w:rPr>
          <w:rFonts w:hint="eastAsia"/>
        </w:rPr>
        <w:t xml:space="preserve">Science，2013，285：858-864.</w:t>
      </w:r>
      <w:r>
        <w:t xml:space="preserve"> DOI:</w:t>
      </w:r>
      <w:hyperlink ns1:id="rId24">
        <w:r>
          <w:rPr>
            <w:rStyle w:val="Hyperlink"/>
          </w:rPr>
          <w:t xml:space="preserve">10.1016/j.apsusc.2013.09.002</w:t>
        </w:r>
      </w:hyperlink>
      <w:r>
        <w:t xml:space="preserve">.</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M，等.</w:t>
      </w:r>
      <w:r>
        <w:t xml:space="preserve"> TD-Net: tiny defect detection network for industrial products[J]. Complex &amp; Intelligent </w:t>
      </w:r>
      <w:r>
        <w:rPr>
          <w:rFonts w:hint="eastAsia"/>
        </w:rPr>
        <w:t xml:space="preserve">Systems，2024，10：3943-3954.</w:t>
      </w:r>
      <w:r>
        <w:t xml:space="preserve"> DOI:</w:t>
      </w:r>
      <w:hyperlink ns1:id="rId26">
        <w:r>
          <w:rPr>
            <w:rStyle w:val="Hyperlink"/>
          </w:rPr>
          <w:t xml:space="preserve">10.1007/s40747-024-01362-x</w:t>
        </w:r>
      </w:hyperlink>
      <w:r>
        <w:t xml:space="preserve">.</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 A Lightweight Strip Steel Surface Defect Detection Network Based on Improved YOLOv8[J]. </w:t>
      </w:r>
      <w:r>
        <w:rPr>
          <w:rFonts w:hint="eastAsia"/>
        </w:rPr>
        <w:t xml:space="preserve">Sensors，2024，24（19）：6495.</w:t>
      </w:r>
      <w:r>
        <w:t xml:space="preserve"> DOI:</w:t>
      </w:r>
      <w:hyperlink ns1:id="rId28">
        <w:r>
          <w:rPr>
            <w:rStyle w:val="Hyperlink"/>
          </w:rPr>
          <w:t xml:space="preserve">10.3390/s24196495</w:t>
        </w:r>
      </w:hyperlink>
      <w:r>
        <w:t xml:space="preserve">.</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 GDM-YOLO: A Model for Steel Surface Defect Detection Based on YOLOv8s[J]. IEEE </w:t>
      </w:r>
      <w:r>
        <w:rPr>
          <w:rFonts w:hint="eastAsia"/>
        </w:rPr>
        <w:t xml:space="preserve">Access，2024，12：148817-148825.</w:t>
      </w:r>
      <w:r>
        <w:t xml:space="preserve"> DOI:</w:t>
      </w:r>
      <w:hyperlink ns1:id="rId30">
        <w:r>
          <w:rPr>
            <w:rStyle w:val="Hyperlink"/>
          </w:rPr>
          <w:t xml:space="preserve">10.1109/ACCESS.2024.3476908</w:t>
        </w:r>
      </w:hyperlink>
      <w:r>
        <w:t xml:space="preserve">.</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P，等.</w:t>
      </w:r>
      <w:r>
        <w:t xml:space="preserve"> Deployment of Deep Neural Networks for Object Detection on Edge AI Devices With Runtime Optimization[C]//2021 IEEE/CVF International Conference on Computer Vision Workshops (ICCVW). </w:t>
      </w:r>
      <w:r>
        <w:rPr>
          <w:rFonts w:hint="eastAsia"/>
        </w:rPr>
        <w:t xml:space="preserve">IEEE，2021：1015-1022.</w:t>
      </w:r>
      <w:r>
        <w:t xml:space="preserve"> DOI:</w:t>
      </w:r>
      <w:hyperlink ns1:id="rId34">
        <w:r>
          <w:rPr>
            <w:rStyle w:val="Hyperlink"/>
          </w:rPr>
          <w:t xml:space="preserve">10.1109/ICCVW54120.2021.00118</w:t>
        </w:r>
      </w:hyperlink>
      <w:r>
        <w:t xml:space="preserve">.</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 PRESTO: Hybrid CPU-GPU Preprocessing Framework for Video-based AI Inference System[C]//Proceedings of the 23rd Annual International Conference on Mobile Systems, Applications and Services. </w:t>
      </w:r>
      <w:r>
        <w:rPr>
          <w:rFonts w:hint="eastAsia"/>
        </w:rPr>
        <w:t xml:space="preserve">ACM，2025：735-740.</w:t>
      </w:r>
      <w:r>
        <w:t xml:space="preserve"> DOI:</w:t>
      </w:r>
      <w:hyperlink ns1:id="rId36">
        <w:r>
          <w:rPr>
            <w:rStyle w:val="Hyperlink"/>
          </w:rPr>
          <w:t xml:space="preserve">10.1145/3711875.3736688</w:t>
        </w:r>
      </w:hyperlink>
      <w:r>
        <w:t xml:space="preserve">.</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K，等.</w:t>
      </w:r>
      <w:r>
        <w:t xml:space="preserve"> Real-Time Defect Detection in Electronic Components during Assembly through Deep Learning[J]. </w:t>
      </w:r>
      <w:r>
        <w:rPr>
          <w:rFonts w:hint="eastAsia"/>
        </w:rPr>
        <w:t xml:space="preserve">Electronics，2024，13（8）：1551.</w:t>
      </w:r>
      <w:r>
        <w:t xml:space="preserve"> DOI:</w:t>
      </w:r>
      <w:hyperlink ns1:id="rId38">
        <w:r>
          <w:rPr>
            <w:rStyle w:val="Hyperlink"/>
          </w:rPr>
          <w:t xml:space="preserve">10.3390/electronics13081551</w:t>
        </w:r>
      </w:hyperlink>
      <w:r>
        <w:t xml:space="preserve">.</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B，等.</w:t>
      </w:r>
      <w:r>
        <w:t xml:space="preserve"> Quantization and Training of Neural Networks for Efficient Integer-Arithmetic-Only Inference[C]//Proceedings of the IEEE Conference on Computer Vision and Pattern Recognition (CVPR). </w:t>
      </w:r>
      <w:r>
        <w:rPr>
          <w:rFonts w:hint="eastAsia"/>
        </w:rPr>
        <w:t xml:space="preserv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M，等.</w:t>
      </w:r>
      <w:r>
        <w:t xml:space="preserve"> Up or Down? Adaptive Rounding for Post-Training Quantization[C]//Proceedings of the 37th International Conference on Machine </w:t>
      </w:r>
      <w:r>
        <w:rPr>
          <w:rFonts w:hint="eastAsia"/>
        </w:rPr>
        <w:t xml:space="preserve">Learning：卷119.</w:t>
      </w:r>
      <w:r>
        <w:t xml:space="preserve"> </w:t>
      </w:r>
      <w:r>
        <w:rPr>
          <w:rFonts w:hint="eastAsia"/>
        </w:rPr>
        <w:t xml:space="preserve">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 HyQ: Hardware-Friendly Post-Training Quantization for CNN-Transformer Hybrid Networks[C]//Proceedings of the Thirty-Third International Joint Conference on Artificial Intelligence, IJCAI-24. International Joint Conferences on Artificial Intelligence </w:t>
      </w:r>
      <w:r>
        <w:rPr>
          <w:rFonts w:hint="eastAsia"/>
        </w:rPr>
        <w:t xml:space="preserve">Organization，2024：4291-4299.</w:t>
      </w:r>
      <w:r>
        <w:t xml:space="preserve"> DOI:</w:t>
      </w:r>
      <w:hyperlink ns1:id="rId44">
        <w:r>
          <w:rPr>
            <w:rStyle w:val="Hyperlink"/>
          </w:rPr>
          <w:t xml:space="preserve">10.24963/ijcai.2024/474</w:t>
        </w:r>
      </w:hyperlink>
      <w:r>
        <w:t xml:space="preserve">.</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 High-speed railway track components inspection framework based on YOLOv8 with high-performance model deployment[J]. High-speed </w:t>
      </w:r>
      <w:r>
        <w:rPr>
          <w:rFonts w:hint="eastAsia"/>
        </w:rPr>
        <w:t xml:space="preserve">Railway，2024，2：42-50.</w:t>
      </w:r>
      <w:r>
        <w:t xml:space="preserve"> DOI:</w:t>
      </w:r>
      <w:hyperlink ns1:id="rId46">
        <w:r>
          <w:rPr>
            <w:rStyle w:val="Hyperlink"/>
          </w:rPr>
          <w:t xml:space="preserve">10.1016/j.hspr.2024.02.001</w:t>
        </w:r>
      </w:hyperlink>
      <w:r>
        <w:t xml:space="preserve">.</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Y，等.</w:t>
      </w:r>
      <w:r>
        <w:t xml:space="preserve"> Co-Optimizing Performance and Memory Footprint Via Integrated CPU/GPU Memory Management, an Implementation on Autonomous Driving Platform[C]//2020 IEEE Real-Time and Embedded Technology and Applications Symposium (RTAS). </w:t>
      </w:r>
      <w:r>
        <w:rPr>
          <w:rFonts w:hint="eastAsia"/>
        </w:rPr>
        <w:t xml:space="preserve">IEEE，2020：310-323.</w:t>
      </w:r>
      <w:r>
        <w:t xml:space="preserve"> DOI:</w:t>
      </w:r>
      <w:hyperlink ns1:id="rId50">
        <w:r>
          <w:rPr>
            <w:rStyle w:val="Hyperlink"/>
          </w:rPr>
          <w:t xml:space="preserve">10.1109/RTAS48715.2020.00007</w:t>
        </w:r>
      </w:hyperlink>
      <w:r>
        <w:t xml:space="preserve">.</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L，等.</w:t>
      </w:r>
      <w:r>
        <w:t xml:space="preserve"> Analysis of GPU Memory Allocation Characteristics[C]//16th Workshop on Parallel Programming and Run-Time Management Techniques for Many-Core Architectures and 14th Workshop on Design Tools and Architectures for Multicore Embedded Computing Platforms (PARMA-DITAM </w:t>
      </w:r>
      <w:r>
        <w:rPr>
          <w:rFonts w:hint="eastAsia"/>
        </w:rPr>
        <w:t xml:space="preserve">2025)：卷127.</w:t>
      </w:r>
      <w:r>
        <w:t xml:space="preserve"> Schloss Dagstuhl – Leibniz-Zentrum f</w:t>
      </w:r>
      <w:r>
        <w:t xml:space="preserve">ü</w:t>
      </w:r>
      <w:r>
        <w:t xml:space="preserve">r </w:t>
      </w:r>
      <w:r>
        <w:rPr>
          <w:rFonts w:hint="eastAsia"/>
        </w:rPr>
        <w:t xml:space="preserve">Informatik，2025：1:1-1:15.</w:t>
      </w:r>
      <w:r>
        <w:t xml:space="preserve"> DOI:</w:t>
      </w:r>
      <w:hyperlink ns1:id="rId52">
        <w:r>
          <w:rPr>
            <w:rStyle w:val="Hyperlink"/>
          </w:rPr>
          <w:t xml:space="preserve">10.4230/OASIcs.PARMA-DITAM.2025.1</w:t>
        </w:r>
      </w:hyperlink>
      <w:r>
        <w:t xml:space="preserve">.</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 Improving Performance of Real-Time Object Detection in Edge Device Through Concurrent Multi-Frame Processing[J]. IEEE </w:t>
      </w:r>
      <w:r>
        <w:rPr>
          <w:rFonts w:hint="eastAsia"/>
        </w:rPr>
        <w:t xml:space="preserve">Access，2025，13：1522-1533.</w:t>
      </w:r>
      <w:r>
        <w:t xml:space="preserve"> DOI:</w:t>
      </w:r>
      <w:hyperlink ns1:id="rId56">
        <w:r>
          <w:rPr>
            <w:rStyle w:val="Hyperlink"/>
          </w:rPr>
          <w:t xml:space="preserve">10.1109/ACCESS.2024.3520240</w:t>
        </w:r>
      </w:hyperlink>
      <w:r>
        <w:t xml:space="preserve">.</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 The Tail at Scale[J]. Communications of the </w:t>
      </w:r>
      <w:r>
        <w:rPr>
          <w:rFonts w:hint="eastAsia"/>
        </w:rPr>
        <w:t xml:space="preserve">ACM，2013，56（2）：74-80.</w:t>
      </w:r>
      <w:r>
        <w:t xml:space="preserve"> DOI:</w:t>
      </w:r>
      <w:hyperlink ns1:id="rId58">
        <w:r>
          <w:rPr>
            <w:rStyle w:val="Hyperlink"/>
          </w:rPr>
          <w:t xml:space="preserve">10.1145/2408776.2408794</w:t>
        </w:r>
      </w:hyperlink>
      <w:r>
        <w:t xml:space="preserve">.</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 A Deep Learning Framework Performance Evaluation to Use YOLO in Nvidia Jetson Platform[J]. Applied </w:t>
      </w:r>
      <w:r>
        <w:rPr>
          <w:rFonts w:hint="eastAsia"/>
        </w:rPr>
        <w:t xml:space="preserve">Sciences，2022，12（8）：3734.</w:t>
      </w:r>
      <w:r>
        <w:t xml:space="preserve"> DOI:</w:t>
      </w:r>
      <w:hyperlink ns1:id="rId60">
        <w:r>
          <w:rPr>
            <w:rStyle w:val="Hyperlink"/>
          </w:rPr>
          <w:t xml:space="preserve">10.3390/app12083734</w:t>
        </w:r>
      </w:hyperlink>
      <w:r>
        <w:t xml:space="preserve">.</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R，等</w:t>
      </w:r>
      <w:r>
        <w:t xml:space="preserve">. Benchmarking deep learning models for surface defect detection: a reproducible and statistically-rigorous approach[J/OL]. Journal of Intelligent </w:t>
      </w:r>
      <w:r>
        <w:rPr>
          <w:rFonts w:hint="eastAsia"/>
        </w:rPr>
        <w:t xml:space="preserve">Manufacturing，2025.</w:t>
      </w:r>
      <w:r>
        <w:t xml:space="preserve"> DOI:</w:t>
      </w:r>
      <w:hyperlink ns1:id="rId62">
        <w:r>
          <w:rPr>
            <w:rStyle w:val="Hyperlink"/>
          </w:rPr>
          <w:t xml:space="preserve">10.1007/s10845-025-02672-8</w:t>
        </w:r>
      </w:hyperlink>
      <w:r>
        <w:t xml:space="preserve">.</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HFUTAuthorBiography"/>
    </w:pPr>
    <w:r>
      <w:t>王凯伦（1999—），男，山东潍坊人，工学学士，硕士研究生，主要研究方向为端侧人工智能推理部署与优化。</w:t>
    </w:r>
  </w:p>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Python standard library deterministic OOXML builder</Application>
  <DocSecurity>0</DocSecurity>
  <ScaleCrop>false</ScaleCrop>
  <Company>Project-owned candidate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2026-08-17T14:33:53Z</dcterms:created>
  <dcterms:modified xsi:type="dcterms:W3CDTF">2026-08-17T14:33:53Z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ffiliation-cn">
    <ns1:lpwstr>合肥工业大学数学学院，安徽 合肥 230601</ns1:lpwstr>
  </ns0:property>
  <ns0:property fmtid="{D5CDD505-2E9C-101B-9397-08002B2CF9AE}" pid="3" name="affiliation-en">
    <ns1:lpwstr>School of Mathematics, Hefei University of Technology, Hefei 230601, China</ns1:lpwstr>
  </ns0:property>
  <ns0:property fmtid="{D5CDD505-2E9C-101B-9397-08002B2CF9AE}" pid="5" name="authors-cn">
    <ns1:lpwstr>王凯伦，王琦</ns1:lpwstr>
  </ns0:property>
  <ns0:property fmtid="{D5CDD505-2E9C-101B-9397-08002B2CF9AE}" pid="6" name="authors-en">
    <ns1:lpwstr>WANG Kailun, WANG Qi</ns1:lpwstr>
  </ns0:property>
  <ns0:property fmtid="{D5CDD505-2E9C-101B-9397-08002B2CF9AE}" pid="7" name="bibliography">
    <ns1:lpwstr/>
  </ns0:property>
  <ns0:property fmtid="{D5CDD505-2E9C-101B-9397-08002B2CF9AE}" pid="8" name="classification">
    <ns1:lpwstr>TP391.41</ns1:lpwstr>
  </ns0:property>
  <ns0:property fmtid="{D5CDD505-2E9C-101B-9397-08002B2CF9AE}" pid="9" name="corresponding-author-cn">
    <ns1:lpwstr>王琦</ns1:lpwstr>
  </ns0:property>
  <ns0:property fmtid="{D5CDD505-2E9C-101B-9397-08002B2CF9AE}" pid="10" name="corresponding-author-email">
    <ns1:lpwstr/>
  </ns0:property>
  <ns0:property fmtid="{D5CDD505-2E9C-101B-9397-08002B2CF9AE}" pid="11" name="corresponding-author-en">
    <ns1:lpwstr>WANG Qi</ns1:lpwstr>
  </ns0:property>
  <ns0:property fmtid="{D5CDD505-2E9C-101B-9397-08002B2CF9AE}" pid="12" name="csl">
    <ns1:lpwstr>docs/paper/manuscript/csl/hfut_gbt7714_2025_numeric_v1.0.csl</ns1:lpwstr>
  </ns0:property>
</ns0:Properties>
</file>