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16.png" ContentType="image/png"/>
  <Override PartName="/word/media/rId19.png" ContentType="image/png"/>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officeDocument/2006/math" xmlns:ns3="http://schemas.openxmlformats.org/drawingml/2006/wordprocessingDrawing" xmlns:ns4="http://schemas.openxmlformats.org/drawingml/2006/main" xmlns:ns5="http://schemas.openxmlformats.org/drawingml/2006/picture" xmlns:w="http://schemas.openxmlformats.org/wordprocessingml/2006/main">
  <w:body>
    <w:p>
      <w:pPr>
        <w:pStyle w:val="HFUTTitleCN"/>
      </w:pPr>
      <w:r>
        <w:rPr>
          <w:rFonts w:hint="eastAsia"/>
        </w:rPr>
        <w:t xml:space="preserve">Jetson端工业缺陷检测的输入数据路径重构</w:t>
      </w:r>
    </w:p>
    <w:p>
      <w:pPr>
        <w:pStyle w:val="HFUTAuthorsCN"/>
      </w:pPr>
      <w:r>
        <w:rPr>
          <w:rFonts w:hint="eastAsia"/>
        </w:rPr>
        <w:t xml:space="preserve">王凯伦，王琦</w:t>
      </w:r>
    </w:p>
    <w:p>
      <w:pPr>
        <w:pStyle w:val="HFUTAffiliationCN"/>
      </w:pPr>
      <w:r>
        <w:rPr>
          <w:rFonts w:hint="eastAsia"/>
        </w:rPr>
        <w:t xml:space="preserve">合肥工业大学数学学院，安徽</w:t>
      </w:r>
      <w:r>
        <w:t xml:space="preserve"> </w:t>
      </w:r>
      <w:r>
        <w:rPr>
          <w:rFonts w:hint="eastAsia"/>
        </w:rPr>
        <w:t xml:space="preserve">合肥</w:t>
      </w:r>
      <w:r>
        <w:t xml:space="preserve"> 230601</w:t>
      </w:r>
    </w:p>
    <w:p>
      <w:pPr>
        <w:pStyle w:val="HFUTBody"/>
      </w:pPr>
      <w:r>
        <w:rPr>
          <w:rFonts w:hint="eastAsia"/>
        </w:rPr>
        <w:t xml:space="preserve">通信作者：王琦</w:t>
      </w:r>
    </w:p>
    <w:p>
      <w:pPr>
        <w:pStyle w:val="HFUTAbstractBodyCN"/>
      </w:pPr>
      <w:r>
        <w:rPr>
          <w:rStyle w:val="HFUTAbstractLabelCNChar"/>
          <w:rFonts w:hint="eastAsia"/>
        </w:rPr>
        <w:t xml:space="preserve">摘要：</w:t>
      </w:r>
      <w:r>
        <w:rPr>
          <w:rFonts w:hint="eastAsia"/>
        </w:rPr>
        <w:t xml:space="preserve">针对边缘工业缺陷检测中网络低精度化不能直接消除输入形成与主机—设备数据移动开销的问题，本文将固定推理对象下的输入数据路径抽象为跨边界表示、输入张量形成位置、额外打包原始图像暂存策略和执行拓扑四类结构变量。在固定YOLOv8n、TensorRT</w:t>
      </w:r>
      <w:r>
        <w:t xml:space="preserve"> </w:t>
      </w:r>
      <w:r>
        <w:rPr>
          <w:rFonts w:hint="eastAsia"/>
        </w:rPr>
        <w:t xml:space="preserve">INT8混合精度Engine和单帧顺序拓扑的条件下，构造包含跨边界表示、张量形成位置及相应暂存组织变化的V0→V2R路径级重构，以及V2R→V3R暂存策略级细化两级受控干预，并以任务正确性保持为性能比较约束。冻结的180幅图像离线回放实验表明，三条路径的任务级指标一致；V2R相对V0达到2.24×</w:t>
      </w:r>
      <w:r>
        <w:t xml:space="preserve"> </w:t>
      </w:r>
      <w:r>
        <w:rPr>
          <w:rFonts w:hint="eastAsia"/>
        </w:rPr>
        <w:t xml:space="preserve">FPS，平均端到端延迟降低55.45%；V3R相对V2R的FPS提高4.07%，平均延迟降低4.03%，而P95增加0.15%、P99降低0.12%，尾延迟变化方向相反。结果说明，在受测平台与配置下，完整路径级重构对应较大的平均响应，局部暂存策略变化仅产生有限平均增量，且未形成一致的尾延迟改善证据。对于本文这类固定推理对象的数据路径评价，应区分输入表示、张量形成位置和主机暂存策略，并分别考察平均与尾部响应。</w:t>
      </w:r>
    </w:p>
    <w:p>
      <w:pPr>
        <w:pStyle w:val="HFUTKeywordsBodyCN"/>
      </w:pPr>
      <w:r>
        <w:rPr>
          <w:rStyle w:val="HFUTKeywordsLabelCNChar"/>
          <w:rFonts w:hint="eastAsia"/>
        </w:rPr>
        <w:t xml:space="preserve">关键词：</w:t>
      </w:r>
      <w:r>
        <w:rPr>
          <w:rFonts w:hint="eastAsia"/>
        </w:rPr>
        <w:t xml:space="preserve">Jetson；工业缺陷检测；输入数据路径；端到端推理；受控比较</w:t>
      </w:r>
    </w:p>
    <w:p>
      <w:pPr>
        <w:pStyle w:val="HFUTTitleEN"/>
      </w:pPr>
      <w:r>
        <w:t xml:space="preserve">Input Data-Path Reconstruction for Industrial Defect Detection on Jetson</w:t>
      </w:r>
    </w:p>
    <w:p>
      <w:pPr>
        <w:pStyle w:val="HFUTAuthorsEN"/>
      </w:pPr>
      <w:r>
        <w:t xml:space="preserve">WANG Kailun, WANG Qi</w:t>
      </w:r>
    </w:p>
    <w:p>
      <w:pPr>
        <w:pStyle w:val="HFUTAffiliationEN"/>
      </w:pPr>
      <w:r>
        <w:t xml:space="preserve">School of Mathematics, Hefei University of Technology, Hefei 230601, China</w:t>
      </w:r>
    </w:p>
    <w:p>
      <w:pPr>
        <w:pStyle w:val="HFUTBody"/>
      </w:pPr>
      <w:r>
        <w:t xml:space="preserve">Corresponding author: WANG Qi</w:t>
      </w:r>
    </w:p>
    <w:p>
      <w:pPr>
        <w:pStyle w:val="HFUTAbstractBodyEN"/>
      </w:pPr>
      <w:r>
        <w:rPr>
          <w:rStyle w:val="HFUTAbstractLabelENChar"/>
        </w:rPr>
        <w:t xml:space="preserve">Abstract:</w:t>
      </w:r>
      <w:r>
        <w:t xml:space="preserve"> </w:t>
      </w:r>
      <w:r>
        <w:t xml:space="preserve">For edge-based industrial defect detection, reducing network precision does not by itself eliminate input formation and host-device data-movement costs. This study abstracts the input data path of a fixed inference object by four structural variables: the representation crossing the host-device boundary, the location where the input tensor is formed, the policy for additional packed raw-image host staging, and the execution topology. With a fixed YOLOv8n detector, TensorRT INT8 mixed-precision Engine, and sequential single-frame topology, two hierarchical controlled interventions are constructed: the V0-to-V2R path-level reconstruction, which changes the representation, tensor-formation location, and corresponding staging organization, and the V2R-to-V3R staging-policy refinement. Performance comparisons are admitted only under preserved task correctness. Offline replay of the frozen 180-image workload yields identical task-level metrics for all three paths. Relative to V0, V2R achieves 2.24× FPS and 55.45% lower mean end-to-end latency. Relative to V2R, V3R improves FPS by 4.07% and lowers mean latency by 4.03%, whereas P95 increases by 0.15% and P99 decreases by 0.12%, giving opposite tail-latency directions. Under the tested platform and configuration, the complete path-level reconstruction corresponds to a substantial mean response, while the local staging-policy change yields only a limited mean increment and no consistent tail-latency improvement. For fixed-inference-object data-path evaluations of this type, input representation, tensor-formation location, and host staging policy should be distinguished, with mean and tail responses considered separately.</w:t>
      </w:r>
    </w:p>
    <w:p>
      <w:pPr>
        <w:pStyle w:val="HFUTKeywordsBodyEN"/>
      </w:pPr>
      <w:r>
        <w:rPr>
          <w:rStyle w:val="HFUTKeywordsLabelENChar"/>
        </w:rPr>
        <w:t xml:space="preserve">Keywords:</w:t>
      </w:r>
      <w:r>
        <w:t xml:space="preserve"> </w:t>
      </w:r>
      <w:r>
        <w:t xml:space="preserve">Jetson; industrial defect detection; input data path; end-to-end inference; controlled comparison</w:t>
      </w:r>
    </w:p>
    <w:p>
      <w:pPr>
        <w:pStyle w:val="HFUTClassification"/>
      </w:pPr>
      <w:r>
        <w:rPr>
          <w:rFonts w:hint="eastAsia"/>
        </w:rPr>
        <w:t xml:space="preserve">中图分类号：TP391.41</w:t>
      </w:r>
    </w:p>
    <w:p>
      <w:pPr>
        <w:pStyle w:val="HFUTSpecimenNotice"/>
        <w:sectPr>
          <w:footerReference ns1:id="rId4" w:type="default"/>
          <w:footerReference w:type="first" ns1:id="rId63"/>
          <w:type w:val="continuous"/>
          <w:pgSz w:h="16838" w:orient="portrait" w:w="11906"/>
          <w:pgMar w:bottom="1134" w:footer="907" w:gutter="0" w:header="720" w:left="1304" w:right="1304" w:top="1361"/>
          <w:cols w:num="1" w:space="425"/>
          <w:titlePg/>
          <w:docGrid w:linePitch="360"/>
        </w:sectPr>
      </w:pPr>
    </w:p>
    <w:p>
      <w:pPr>
        <w:pStyle w:val="HFUTHeading1"/>
      </w:pPr>
      <w:r>
        <w:t xml:space="preserve">0 </w:t>
      </w:r>
      <w:r>
        <w:rPr>
          <w:rFonts w:hint="eastAsia"/>
        </w:rPr>
        <w:t xml:space="preserve">引言</w:t>
      </w:r>
    </w:p>
    <w:p>
      <w:pPr>
        <w:pStyle w:val="HFUTBody"/>
      </w:pPr>
      <w:r>
        <w:rPr>
          <w:rFonts w:hint="eastAsia"/>
        </w:rPr>
        <w:t xml:space="preserve">金属表面缺陷会影响产品质量与后续制造过程，因而需要在生产现场及时完成视觉检测。NEU-DET覆盖开裂、夹杂、斑块、点蚀表面、轧制氧化皮和划痕等典型热轧钢带缺陷，为这一任务提供了公开研究对象</w:t>
      </w:r>
      <w:r>
        <w:rPr>
          <w:vertAlign w:val="superscript"/>
        </w:rPr>
        <w:t xml:space="preserve">[1,2]</w:t>
      </w:r>
      <w:r>
        <w:rPr>
          <w:rFonts w:hint="eastAsia"/>
        </w:rPr>
        <w:t xml:space="preserve">。当检测过程部署到靠近数据源的边缘设备时，评价目标不仅是模型精度，还包括固定任务语义下的完整处理响应。</w:t>
      </w:r>
    </w:p>
    <w:p>
      <w:pPr>
        <w:pStyle w:val="HFUTBody"/>
      </w:pPr>
      <w:r>
        <w:rPr>
          <w:rFonts w:hint="eastAsia"/>
        </w:rPr>
        <w:t xml:space="preserve">围绕检测模型本身，已有研究通过轻量化骨干、注意力机制和多尺度特征融合改善精度与复杂度权衡</w:t>
      </w:r>
      <w:r>
        <w:rPr>
          <w:vertAlign w:val="superscript"/>
        </w:rPr>
        <w:t xml:space="preserve">[3–5]</w:t>
      </w:r>
      <w:r>
        <w:rPr>
          <w:rFonts w:hint="eastAsia"/>
        </w:rPr>
        <w:t xml:space="preserve">，YOLOv8则提供多尺度检测模型及训练、推理和导出链路</w:t>
      </w:r>
      <w:r>
        <w:rPr>
          <w:vertAlign w:val="superscript"/>
        </w:rPr>
        <w:t xml:space="preserve">[6]</w:t>
      </w:r>
      <w:r>
        <w:rPr>
          <w:rFonts w:hint="eastAsia"/>
        </w:rPr>
        <w:t xml:space="preserve">。这类工作主要回答“采用何种检测器及网络结构”，为边缘部署提供模型基础，但不能单独描述模型执行前后的系统数据组织。</w:t>
      </w:r>
    </w:p>
    <w:p>
      <w:pPr>
        <w:pStyle w:val="HFUTBody"/>
      </w:pPr>
      <w:r>
        <w:rPr>
          <w:rFonts w:hint="eastAsia"/>
        </w:rPr>
        <w:t xml:space="preserve">另一类工作把研究范围扩展到边缘推理运行时。完整检测链通常同时包含数据获取、预处理、模型执行、后处理与数据管理</w:t>
      </w:r>
      <w:r>
        <w:rPr>
          <w:vertAlign w:val="superscript"/>
        </w:rPr>
        <w:t xml:space="preserve">[7]</w:t>
      </w:r>
      <w:r>
        <w:rPr>
          <w:rFonts w:hint="eastAsia"/>
        </w:rPr>
        <w:t xml:space="preserve">；CPU与GPU之间的预处理调度会改变运行时路径</w:t>
      </w:r>
      <w:r>
        <w:rPr>
          <w:vertAlign w:val="superscript"/>
        </w:rPr>
        <w:t xml:space="preserve">[8]</w:t>
      </w:r>
      <w:r>
        <w:rPr>
          <w:rFonts w:hint="eastAsia"/>
        </w:rPr>
        <w:t xml:space="preserve">，工业现场应用也要求在设备附近完成端到端处理</w:t>
      </w:r>
      <w:r>
        <w:rPr>
          <w:vertAlign w:val="superscript"/>
        </w:rPr>
        <w:t xml:space="preserve">[9]</w:t>
      </w:r>
      <w:r>
        <w:rPr>
          <w:rFonts w:hint="eastAsia"/>
        </w:rPr>
        <w:t xml:space="preserve">。因此，仅报告网络推理时间不足以刻画输入形成方式变化对完整系统响应的影响。</w:t>
      </w:r>
    </w:p>
    <w:p>
      <w:pPr>
        <w:pStyle w:val="HFUTBody"/>
      </w:pPr>
      <w:r>
        <w:rPr>
          <w:rFonts w:hint="eastAsia"/>
        </w:rPr>
        <w:t xml:space="preserve">模型低精度化进一步降低网络侧计算与存储开销，但量化误差仍须受到任务正确性约束</w:t>
      </w:r>
      <w:r>
        <w:rPr>
          <w:vertAlign w:val="superscript"/>
        </w:rPr>
        <w:t xml:space="preserve">[10,11]</w:t>
      </w:r>
      <w:r>
        <w:rPr>
          <w:rFonts w:hint="eastAsia"/>
        </w:rPr>
        <w:t xml:space="preserve">。本文固定采用TensorRT</w:t>
      </w:r>
      <w:r>
        <w:t xml:space="preserve"> </w:t>
      </w:r>
      <w:r>
        <w:rPr>
          <w:rFonts w:hint="eastAsia"/>
        </w:rPr>
        <w:t xml:space="preserve">10.3校准式INT8混合精度Engine；该版本的传统隐式INT8量化与calibrator接口具有明确的软件版本边界</w:t>
      </w:r>
      <w:r>
        <w:rPr>
          <w:vertAlign w:val="superscript"/>
        </w:rPr>
        <w:t xml:space="preserve">[12]</w:t>
      </w:r>
      <w:r>
        <w:rPr>
          <w:rFonts w:hint="eastAsia"/>
        </w:rPr>
        <w:t xml:space="preserve">。量化部署研究同样表明，性能比较需要同时维持任务行为</w:t>
      </w:r>
      <w:r>
        <w:rPr>
          <w:vertAlign w:val="superscript"/>
        </w:rPr>
        <w:t xml:space="preserve">[13]</w:t>
      </w:r>
      <w:r>
        <w:rPr>
          <w:rFonts w:hint="eastAsia"/>
        </w:rPr>
        <w:t xml:space="preserve">。然而，网络精度降低并不会自动决定图像以何种表示跨越主机—设备边界，也不会决定输入张量在主机还是设备侧形成。</w:t>
      </w:r>
    </w:p>
    <w:p>
      <w:pPr>
        <w:pStyle w:val="HFUTBody"/>
      </w:pPr>
      <w:r>
        <w:rPr>
          <w:rFonts w:hint="eastAsia"/>
        </w:rPr>
        <w:t xml:space="preserve">在Jetson检测部署中，预处理、推理与后处理可形成不同的端到端组织</w:t>
      </w:r>
      <w:r>
        <w:rPr>
          <w:vertAlign w:val="superscript"/>
        </w:rPr>
        <w:t xml:space="preserve">[14]</w:t>
      </w:r>
      <w:r>
        <w:rPr>
          <w:rFonts w:hint="eastAsia"/>
        </w:rPr>
        <w:t xml:space="preserve">。CUDA文档指出主机内存类型与异步复制具有特定适用条件</w:t>
      </w:r>
      <w:r>
        <w:rPr>
          <w:vertAlign w:val="superscript"/>
        </w:rPr>
        <w:t xml:space="preserve">[15]</w:t>
      </w:r>
      <w:r>
        <w:rPr>
          <w:rFonts w:hint="eastAsia"/>
        </w:rPr>
        <w:t xml:space="preserve">；集成CPU-GPU系统和GPU内存分配研究也说明内存策略的响应依赖平台、工作负载与访问方式</w:t>
      </w:r>
      <w:r>
        <w:rPr>
          <w:vertAlign w:val="superscript"/>
        </w:rPr>
        <w:t xml:space="preserve">[16,17]</w:t>
      </w:r>
      <w:r>
        <w:rPr>
          <w:rFonts w:hint="eastAsia"/>
        </w:rPr>
        <w:t xml:space="preserve">，其执行语义还受流与复制规则约束</w:t>
      </w:r>
      <w:r>
        <w:rPr>
          <w:vertAlign w:val="superscript"/>
        </w:rPr>
        <w:t xml:space="preserve">[18]</w:t>
      </w:r>
      <w:r>
        <w:rPr>
          <w:rFonts w:hint="eastAsia"/>
        </w:rPr>
        <w:t xml:space="preserve">。已有完整边缘处理研究关注并发或流水化组织</w:t>
      </w:r>
      <w:r>
        <w:rPr>
          <w:vertAlign w:val="superscript"/>
        </w:rPr>
        <w:t xml:space="preserve">[19]</w:t>
      </w:r>
      <w:r>
        <w:rPr>
          <w:rFonts w:hint="eastAsia"/>
        </w:rPr>
        <w:t xml:space="preserve">。在本文考察的相关边缘部署研究中，现有工作多分别关注模型优化、预处理或主机—设备内存行为，对跨边界表示、输入张量形成位置和主机暂存策略在统一E2E路径中的联合组织关系讨论相对有限。</w:t>
      </w:r>
    </w:p>
    <w:p>
      <w:pPr>
        <w:pStyle w:val="HFUTBody"/>
      </w:pPr>
      <w:r>
        <w:rPr>
          <w:rFonts w:hint="eastAsia"/>
        </w:rPr>
        <w:t xml:space="preserve">为此，本文将输入数据路径定义为固定推理对象下的结构描述，并以任务正确性保持为比较准入条件。考虑到平均响应与尾部响应反映不同性能维度</w:t>
      </w:r>
      <w:r>
        <w:rPr>
          <w:vertAlign w:val="superscript"/>
        </w:rPr>
        <w:t xml:space="preserve">[20]</w:t>
      </w:r>
      <w:r>
        <w:rPr>
          <w:rFonts w:hint="eastAsia"/>
        </w:rPr>
        <w:t xml:space="preserve">，同时结合Jetson平台比较的配置依赖性</w:t>
      </w:r>
      <w:r>
        <w:rPr>
          <w:vertAlign w:val="superscript"/>
        </w:rPr>
        <w:t xml:space="preserve">[21]</w:t>
      </w:r>
      <w:r>
        <w:rPr>
          <w:rFonts w:hint="eastAsia"/>
        </w:rPr>
        <w:t xml:space="preserve">及缺陷检测基准对数据和评价边界的要求</w:t>
      </w:r>
      <w:r>
        <w:rPr>
          <w:vertAlign w:val="superscript"/>
        </w:rPr>
        <w:t xml:space="preserve">[22]</w:t>
      </w:r>
      <w:r>
        <w:rPr>
          <w:rFonts w:hint="eastAsia"/>
        </w:rPr>
        <w:t xml:space="preserve">，本文提出两个研究问题：路径级重构对完整端到端平均响应有何影响；在其余结构变量固定时，暂存策略变化是否产生额外平均响应并带来同方向的P95/P99变化。</w:t>
      </w:r>
    </w:p>
    <w:p>
      <w:pPr>
        <w:pStyle w:val="HFUTBody"/>
      </w:pPr>
      <w:r>
        <w:rPr>
          <w:rFonts w:hint="eastAsia"/>
        </w:rPr>
        <w:t xml:space="preserve">本文的主要贡献包括两点：1）面向固定推理对象，建立由跨主机—设备边界表示、输入张量形成位置、额外打包原始图像暂存策略和执行拓扑构成的输入数据路径抽象，并据此形成V0、V2R和V3R的层级受控重构关系；2）在任务正确性保持条件下，分别评价路径级重构和暂存策略级细化，联合给出E2E均值、吞吐率及P95/P99响应，并在受测平台与配置边界内解释两级干预的不同响应。</w:t>
      </w:r>
    </w:p>
    <w:p>
      <w:pPr>
        <w:pStyle w:val="HFUTHeading1"/>
      </w:pPr>
      <w:r>
        <w:t xml:space="preserve">1 </w:t>
      </w:r>
      <w:r>
        <w:rPr>
          <w:rFonts w:hint="eastAsia"/>
        </w:rPr>
        <w:t xml:space="preserve">输入数据路径模型与问题表述</w:t>
      </w:r>
    </w:p>
    <w:p>
      <w:pPr>
        <w:pStyle w:val="HFUTHeading2"/>
      </w:pPr>
      <w:r>
        <w:t xml:space="preserve">1.1 </w:t>
      </w:r>
      <w:r>
        <w:rPr>
          <w:rFonts w:hint="eastAsia"/>
        </w:rPr>
        <w:t xml:space="preserve">固定推理对象与系统边界</w:t>
      </w:r>
    </w:p>
    <w:p>
      <w:pPr>
        <w:pStyle w:val="HFUTBody"/>
      </w:pPr>
      <w:r>
        <w:rPr>
          <w:rFonts w:hint="eastAsia"/>
        </w:rPr>
        <w:t xml:space="preserve">本文将检测器、Engine、输入尺寸、工作负载与后处理语义的组合记为固定推理对象。具体对象为YOLOv8n、640×640输入、batch</w:t>
      </w:r>
      <w:r>
        <w:t xml:space="preserve"> size </w:t>
      </w:r>
      <w:r>
        <w:rPr>
          <w:rFonts w:hint="eastAsia"/>
        </w:rPr>
        <w:t xml:space="preserve">1和同一TensorRT</w:t>
      </w:r>
      <w:r>
        <w:t xml:space="preserve"> </w:t>
      </w:r>
      <w:r>
        <w:rPr>
          <w:rFonts w:hint="eastAsia"/>
        </w:rPr>
        <w:t xml:space="preserve">INT8混合精度Engine；该Engine启用INT8与FP16</w:t>
      </w:r>
      <w:r>
        <w:t xml:space="preserve"> </w:t>
      </w:r>
      <w:r>
        <w:rPr>
          <w:rFonts w:hint="eastAsia"/>
        </w:rPr>
        <w:t xml:space="preserve">fallback并保持FP32</w:t>
      </w:r>
      <w:r>
        <w:t xml:space="preserve"> </w:t>
      </w:r>
      <w:r>
        <w:rPr>
          <w:rFonts w:hint="eastAsia"/>
        </w:rPr>
        <w:t xml:space="preserve">I/O。工作负载固定为NEU-DET</w:t>
      </w:r>
      <w:r>
        <w:t xml:space="preserve"> </w:t>
      </w:r>
      <w:r>
        <w:rPr>
          <w:rFonts w:hint="eastAsia"/>
        </w:rPr>
        <w:t xml:space="preserve">split-v2的180幅测试图像，置信度阈值、IoU阈值、候选框上限和class-aware单标签后处理在全部路径中不变。平台与软件版本属于实验条件，列于表2，不作为路径结构变量。</w:t>
      </w:r>
    </w:p>
    <w:p>
      <w:pPr>
        <w:pStyle w:val="HFUTBody"/>
      </w:pPr>
      <w:r>
        <w:rPr>
          <w:rFonts w:hint="eastAsia"/>
        </w:rPr>
        <w:t xml:space="preserve">系统边界采用单帧顺序执行：从获取数据源帧前开始，经图像解码、输入形成、主机—设备数据移动、Engine推理与同步、输出回传、CPU后处理和结果构造，至结果序列化及写文件前结束。该边界不包含跨帧流水线、显式传输/计算重叠、多流执行、zero-copy或GPU</w:t>
      </w:r>
      <w:r>
        <w:t xml:space="preserve"> NMS。</w:t>
      </w:r>
    </w:p>
    <w:p>
      <w:pPr>
        <w:pStyle w:val="HFUTHeading2"/>
      </w:pPr>
      <w:r>
        <w:t xml:space="preserve">1.2 </w:t>
      </w:r>
      <w:r>
        <w:rPr>
          <w:rFonts w:hint="eastAsia"/>
        </w:rPr>
        <w:t xml:space="preserve">路径描述符与名义复制载荷</w:t>
      </w:r>
    </w:p>
    <w:p>
      <w:pPr>
        <w:pStyle w:val="HFUTBody"/>
      </w:pPr>
      <w:r>
        <w:rPr>
          <w:rFonts w:hint="eastAsia"/>
        </w:rPr>
        <w:t xml:space="preserve">在固定推理对象内，将一条输入数据路径表示为</w:t>
      </w:r>
    </w:p>
    <w:p>
      <w:pPr>
        <w:pStyle w:val="HFUTEquation"/>
      </w:pPr>
      <ns2:oMathPara>
        <ns2:oMathParaPr>
          <ns2:jc ns2:val="center"/>
        </ns2:oMathParaPr>
        <ns2:oMath>
          <ns2:r>
            <ns2:t>P</ns2:t>
          </ns2:r>
          <ns2:r>
            <ns2:rPr>
              <ns2:sty ns2:val="p"/>
            </ns2:rPr>
            <ns2:t>=</ns2:t>
          </ns2:r>
          <ns2:r>
            <ns2:rPr>
              <ns2:sty ns2:val="p"/>
            </ns2:rPr>
            <ns2:t>(</ns2:t>
          </ns2:r>
          <ns2:r>
            <ns2:t>R</ns2:t>
          </ns2:r>
          <ns2:r>
            <ns2:rPr>
              <ns2:sty ns2:val="p"/>
            </ns2:rPr>
            <ns2:t>,</ns2:t>
          </ns2:r>
          <ns2:r>
            <ns2:t>F</ns2:t>
          </ns2:r>
          <ns2:r>
            <ns2:rPr>
              <ns2:sty ns2:val="p"/>
            </ns2:rPr>
            <ns2:t>,</ns2:t>
          </ns2:r>
          <ns2:r>
            <ns2:t>M</ns2:t>
          </ns2:r>
          <ns2:r>
            <ns2:rPr>
              <ns2:sty ns2:val="p"/>
            </ns2:rPr>
            <ns2:t>,</ns2:t>
          </ns2:r>
          <ns2:r>
            <ns2:t>E</ns2:t>
          </ns2:r>
          <ns2:r>
            <ns2:rPr>
              <ns2:sty ns2:val="p"/>
            </ns2:rPr>
            <ns2:t>)</ns2:t>
          </ns2:r>
          <ns2:r>
            <ns2:rPr>
              <ns2:sty ns2:val="p"/>
            </ns2:rPr>
            <ns2:t>,</ns2:t>
          </ns2:r>
        </ns2:oMath>
      </ns2:oMathPara>
    </w:p>
    <w:p>
      <w:pPr>
        <w:pStyle w:val="HFUTBody"/>
        <w:spacing w:before="0" w:after="0" w:line="360" w:lineRule="atLeast"/>
      </w:pPr>
      <w:r>
        <w:rPr>
          <w:rFonts w:hint="eastAsia"/>
        </w:rPr>
        <w:t xml:space="preserve">式中，</w:t>
      </w:r>
      <ns2:oMath>
        <ns2:r>
          <ns2:t>R</ns2:t>
        </ns2:r>
      </ns2:oMath>
      <w:r>
        <w:rPr>
          <w:rFonts w:hint="eastAsia"/>
        </w:rPr>
        <w:t xml:space="preserve">表示跨越主机—设备边界的数据表示，</w:t>
      </w:r>
      <ns2:oMath>
        <ns2:r>
          <ns2:t>F</ns2:t>
        </ns2:r>
      </ns2:oMath>
      <w:r>
        <w:rPr>
          <w:rFonts w:hint="eastAsia"/>
        </w:rPr>
        <w:t xml:space="preserve">表示TensorRT输入张量的形成位置，</w:t>
      </w:r>
      <ns2:oMath>
        <ns2:r>
          <ns2:t>M</ns2:t>
        </ns2:r>
      </ns2:oMath>
      <w:r>
        <w:rPr>
          <w:rFonts w:hint="eastAsia"/>
        </w:rPr>
        <w:t xml:space="preserve">表示额外打包原始图像的主机暂存策略，</w:t>
      </w:r>
      <ns2:oMath>
        <ns2:r>
          <ns2:t>E</ns2:t>
        </ns2:r>
      </ns2:oMath>
      <w:r>
        <w:rPr>
          <w:rFonts w:hint="eastAsia"/>
        </w:rPr>
        <w:t xml:space="preserve">表示执行拓扑。预处理位于CPU或GPU是</w:t>
      </w:r>
      <ns2:oMath>
        <ns2:r>
          <ns2:t>F</ns2:t>
        </ns2:r>
      </ns2:oMath>
      <w:r>
        <w:rPr>
          <w:rFonts w:hint="eastAsia"/>
        </w:rPr>
        <w:t xml:space="preserve">的实现映射，而非额外引入的独立控制变量。描述符用于检查各次比较中哪些结构变量发生变化，不用于分解各变量的延迟贡献。</w:t>
      </w:r>
    </w:p>
    <w:p>
      <w:pPr>
        <w:pStyle w:val="HFUTBody"/>
        <w:spacing w:before="0" w:after="0" w:line="360" w:lineRule="atLeast"/>
      </w:pPr>
      <w:r>
        <w:rPr>
          <w:rFonts w:hint="eastAsia"/>
        </w:rPr>
        <w:t xml:space="preserve">由</w:t>
      </w:r>
      <ns2:oMath>
        <ns2:r>
          <ns2:t>R</ns2:t>
        </ns2:r>
      </ns2:oMath>
      <w:r>
        <w:rPr>
          <w:rFonts w:hint="eastAsia"/>
        </w:rPr>
        <w:t xml:space="preserve">可推导每帧名义输入复制载荷</w:t>
      </w:r>
    </w:p>
    <w:p>
      <w:pPr>
        <w:pStyle w:val="HFUTEquation"/>
      </w:pPr>
      <ns2:oMathPara>
        <ns2:oMathParaPr>
          <ns2:jc ns2:val="center"/>
        </ns2:oMathParaPr>
        <ns2:oMath>
          <ns2:r>
            <ns2:t>B</ns2:t>
          </ns2:r>
          <ns2:r>
            <ns2:rPr>
              <ns2:sty ns2:val="p"/>
            </ns2:rPr>
            <ns2:t>(</ns2:t>
          </ns2:r>
          <ns2:r>
            <ns2:t>P</ns2:t>
          </ns2:r>
          <ns2:r>
            <ns2:rPr>
              <ns2:sty ns2:val="p"/>
            </ns2:rPr>
            <ns2:t>)</ns2:t>
          </ns2:r>
          <ns2:r>
            <ns2:rPr>
              <ns2:sty ns2:val="p"/>
            </ns2:rPr>
            <ns2:t>=</ns2:t>
          </ns2:r>
          <ns2:sSub>
            <ns2:e>
              <ns2:r>
                <ns2:t>H</ns2:t>
              </ns2:r>
            </ns2:e>
            <ns2:sub>
              <ns2:r>
                <ns2:t>R</ns2:t>
              </ns2:r>
            </ns2:sub>
          </ns2:sSub>
          <ns2:r>
            <ns2:rPr>
              <ns2:sty ns2:val="p"/>
            </ns2:rPr>
            <ns2:t>(</ns2:t>
          </ns2:r>
          <ns2:r>
            <ns2:t>P</ns2:t>
          </ns2:r>
          <ns2:r>
            <ns2:rPr>
              <ns2:sty ns2:val="p"/>
            </ns2:rPr>
            <ns2:t>)</ns2:t>
          </ns2:r>
          <ns2:sSub>
            <ns2:e>
              <ns2:r>
                <ns2:t>W</ns2:t>
              </ns2:r>
            </ns2:e>
            <ns2:sub>
              <ns2:r>
                <ns2:t>R</ns2:t>
              </ns2:r>
            </ns2:sub>
          </ns2:sSub>
          <ns2:r>
            <ns2:rPr>
              <ns2:sty ns2:val="p"/>
            </ns2:rPr>
            <ns2:t>(</ns2:t>
          </ns2:r>
          <ns2:r>
            <ns2:t>P</ns2:t>
          </ns2:r>
          <ns2:r>
            <ns2:rPr>
              <ns2:sty ns2:val="p"/>
            </ns2:rPr>
            <ns2:t>)</ns2:t>
          </ns2:r>
          <ns2:sSub>
            <ns2:e>
              <ns2:r>
                <ns2:t>C</ns2:t>
              </ns2:r>
            </ns2:e>
            <ns2:sub>
              <ns2:r>
                <ns2:t>R</ns2:t>
              </ns2:r>
            </ns2:sub>
          </ns2:sSub>
          <ns2:r>
            <ns2:rPr>
              <ns2:sty ns2:val="p"/>
            </ns2:rPr>
            <ns2:t>(</ns2:t>
          </ns2:r>
          <ns2:r>
            <ns2:t>P</ns2:t>
          </ns2:r>
          <ns2:r>
            <ns2:rPr>
              <ns2:sty ns2:val="p"/>
            </ns2:rPr>
            <ns2:t>)</ns2:t>
          </ns2:r>
          <ns2:sSub>
            <ns2:e>
              <ns2:r>
                <ns2:t>s</ns2:t>
              </ns2:r>
            </ns2:e>
            <ns2:sub>
              <ns2:r>
                <ns2:t>R</ns2:t>
              </ns2:r>
            </ns2:sub>
          </ns2:sSub>
          <ns2:r>
            <ns2:rPr>
              <ns2:sty ns2:val="p"/>
            </ns2:rPr>
            <ns2:t>(</ns2:t>
          </ns2:r>
          <ns2:r>
            <ns2:t>P</ns2:t>
          </ns2:r>
          <ns2:r>
            <ns2:rPr>
              <ns2:sty ns2:val="p"/>
            </ns2:rPr>
            <ns2:t>)</ns2:t>
          </ns2:r>
          <ns2:r>
            <ns2:rPr>
              <ns2:sty ns2:val="p"/>
            </ns2:rPr>
            <ns2:t>.</ns2:t>
          </ns2:r>
        </ns2:oMath>
      </ns2:oMathPara>
    </w:p>
    <w:p>
      <w:pPr>
        <w:pStyle w:val="HFUTBody"/>
        <w:spacing w:before="0" w:after="0" w:line="360" w:lineRule="atLeast"/>
      </w:pPr>
      <w:r>
        <w:rPr>
          <w:rFonts w:hint="eastAsia"/>
        </w:rPr>
        <w:t xml:space="preserve">其中，</w:t>
      </w:r>
      <ns2:oMath>
        <ns2:sSub>
          <ns2:e>
            <ns2:r>
              <ns2:t>H</ns2:t>
            </ns2:r>
          </ns2:e>
          <ns2:sub>
            <ns2:r>
              <ns2:t>R</ns2:t>
            </ns2:r>
          </ns2:sub>
        </ns2:sSub>
        <ns2:r>
          <ns2:rPr>
            <ns2:sty ns2:val="p"/>
          </ns2:rPr>
          <ns2:t>,</ns2:t>
        </ns2:r>
        <ns2:sSub>
          <ns2:e>
            <ns2:r>
              <ns2:t>W</ns2:t>
            </ns2:r>
          </ns2:e>
          <ns2:sub>
            <ns2:r>
              <ns2:t>R</ns2:t>
            </ns2:r>
          </ns2:sub>
        </ns2:sSub>
        <ns2:r>
          <ns2:rPr>
            <ns2:sty ns2:val="p"/>
          </ns2:rPr>
          <ns2:t>,</ns2:t>
        </ns2:r>
        <ns2:sSub>
          <ns2:e>
            <ns2:r>
              <ns2:t>C</ns2:t>
            </ns2:r>
          </ns2:e>
          <ns2:sub>
            <ns2:r>
              <ns2:t>R</ns2:t>
            </ns2:r>
          </ns2:sub>
        </ns2:sSub>
        <ns2:r>
          <ns2:rPr>
            <ns2:sty ns2:val="p"/>
          </ns2:rPr>
          <ns2:t>,</ns2:t>
        </ns2:r>
        <ns2:sSub>
          <ns2:e>
            <ns2:r>
              <ns2:t>s</ns2:t>
            </ns2:r>
          </ns2:e>
          <ns2:sub>
            <ns2:r>
              <ns2:t>R</ns2:t>
            </ns2:r>
          </ns2:sub>
        </ns2:sSub>
      </ns2:oMath>
      <w:r>
        <w:rPr>
          <w:rFonts w:hint="eastAsia"/>
        </w:rPr>
        <w:t xml:space="preserve">分别为跨边界表示的高、宽、通道数与单元素字节数。实例化后，</w:t>
      </w:r>
      <ns2:oMath>
        <ns2:r>
          <ns2:t>B</ns2:t>
        </ns2:r>
        <ns2:r>
          <ns2:rPr>
            <ns2:sty ns2:val="p"/>
          </ns2:rPr>
          <ns2:t>(</ns2:t>
        </ns2:r>
        <ns2:sSub>
          <ns2:e>
            <ns2:r>
              <ns2:t>P</ns2:t>
            </ns2:r>
          </ns2:e>
          <ns2:sub>
            <ns2:r>
              <ns2:t>0</ns2:t>
            </ns2:r>
          </ns2:sub>
        </ns2:sSub>
        <ns2:r>
          <ns2:rPr>
            <ns2:sty ns2:val="p"/>
          </ns2:rPr>
          <ns2:t>)</ns2:t>
        </ns2:r>
        <ns2:r>
          <ns2:rPr>
            <ns2:sty ns2:val="p"/>
          </ns2:rPr>
          <ns2:t>=</ns2:t>
        </ns2:r>
        <ns2:r>
          <ns2:t>640</ns2:t>
        </ns2:r>
        <ns2:r>
          <ns2:rPr>
            <ns2:sty ns2:val="p"/>
          </ns2:rPr>
          <ns2:t>×</ns2:t>
        </ns2:r>
        <ns2:r>
          <ns2:t>640</ns2:t>
        </ns2:r>
        <ns2:r>
          <ns2:rPr>
            <ns2:sty ns2:val="p"/>
          </ns2:rPr>
          <ns2:t>×</ns2:t>
        </ns2:r>
        <ns2:r>
          <ns2:t>3</ns2:t>
        </ns2:r>
        <ns2:r>
          <ns2:rPr>
            <ns2:sty ns2:val="p"/>
          </ns2:rPr>
          <ns2:t>×</ns2:t>
        </ns2:r>
        <ns2:r>
          <ns2:t>4</ns2:t>
        </ns2:r>
        <ns2:r>
          <ns2:rPr>
            <ns2:sty ns2:val="p"/>
          </ns2:rPr>
          <ns2:t>=</ns2:t>
        </ns2:r>
        <ns2:r>
          <ns2:t>4.9152</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w:t>
      </w:r>
      <ns2:oMath>
        <ns2:r>
          <ns2:t>B</ns2:t>
        </ns2:r>
        <ns2:r>
          <ns2:rPr>
            <ns2:sty ns2:val="p"/>
          </ns2:rPr>
          <ns2:t>(</ns2:t>
        </ns2:r>
        <ns2:sSub>
          <ns2:e>
            <ns2:r>
              <ns2:t>P</ns2:t>
            </ns2:r>
          </ns2:e>
          <ns2:sub>
            <ns2:r>
              <ns2:t>2</ns2:t>
            </ns2:r>
          </ns2:sub>
        </ns2:sSub>
        <ns2:r>
          <ns2:rPr>
            <ns2:sty ns2:val="p"/>
          </ns2:rPr>
          <ns2:t>)</ns2:t>
        </ns2:r>
        <ns2:r>
          <ns2:rPr>
            <ns2:sty ns2:val="p"/>
          </ns2:rPr>
          <ns2:t>=</ns2:t>
        </ns2:r>
        <ns2:r>
          <ns2:t>B</ns2:t>
        </ns2:r>
        <ns2:r>
          <ns2:rPr>
            <ns2:sty ns2:val="p"/>
          </ns2:rPr>
          <ns2:t>(</ns2:t>
        </ns2:r>
        <ns2:sSub>
          <ns2:e>
            <ns2:r>
              <ns2:t>P</ns2:t>
            </ns2:r>
          </ns2:e>
          <ns2:sub>
            <ns2:r>
              <ns2:t>3</ns2:t>
            </ns2:r>
          </ns2:sub>
        </ns2:sSub>
        <ns2:r>
          <ns2:rPr>
            <ns2:sty ns2:val="p"/>
          </ns2:rPr>
          <ns2:t>)</ns2:t>
        </ns2:r>
        <ns2:r>
          <ns2:rPr>
            <ns2:sty ns2:val="p"/>
          </ns2:rPr>
          <ns2:t>=</ns2:t>
        </ns2:r>
        <ns2:r>
          <ns2:t>200</ns2:t>
        </ns2:r>
        <ns2:r>
          <ns2:rPr>
            <ns2:sty ns2:val="p"/>
          </ns2:rPr>
          <ns2:t>×</ns2:t>
        </ns2:r>
        <ns2:r>
          <ns2:t>200</ns2:t>
        </ns2:r>
        <ns2:r>
          <ns2:rPr>
            <ns2:sty ns2:val="p"/>
          </ns2:rPr>
          <ns2:t>×</ns2:t>
        </ns2:r>
        <ns2:r>
          <ns2:t>3</ns2:t>
        </ns2:r>
        <ns2:r>
          <ns2:rPr>
            <ns2:sty ns2:val="p"/>
          </ns2:rPr>
          <ns2:t>×</ns2:t>
        </ns2:r>
        <ns2:r>
          <ns2:t>1</ns2:t>
        </ns2:r>
        <ns2:r>
          <ns2:rPr>
            <ns2:sty ns2:val="p"/>
          </ns2:rPr>
          <ns2:t>=</ns2:t>
        </ns2:r>
        <ns2:r>
          <ns2:t>0.1200</ns2:t>
        </ns2:r>
        <ns2:r>
          <ns2:t> </ns2:t>
        </ns2:r>
        <ns2:r>
          <ns2:rPr>
            <ns2:sty ns2:val="p"/>
          </ns2:rPr>
          <ns2:t>M</ns2:t>
        </ns2:r>
        <ns2:r>
          <ns2:rPr>
            <ns2:sty ns2:val="p"/>
          </ns2:rPr>
          <ns2:t>B</ns2:t>
        </ns2:r>
        <ns2:r>
          <ns2:rPr>
            <ns2:sty ns2:val="p"/>
          </ns2:rPr>
          <ns2:t>/</ns2:t>
        </ns2:r>
        <ns2:r>
          <ns2:rPr>
            <ns2:sty ns2:val="p"/>
          </ns2:rPr>
          <ns2:t>f</ns2:t>
        </ns2:r>
        <ns2:r>
          <ns2:rPr>
            <ns2:sty ns2:val="p"/>
          </ns2:rPr>
          <ns2:t>r</ns2:t>
        </ns2:r>
        <ns2:r>
          <ns2:rPr>
            <ns2:sty ns2:val="p"/>
          </ns2:rPr>
          <ns2:t>a</ns2:t>
        </ns2:r>
        <ns2:r>
          <ns2:rPr>
            <ns2:sty ns2:val="p"/>
          </ns2:rPr>
          <ns2:t>m</ns2:t>
        </ns2:r>
        <ns2:r>
          <ns2:rPr>
            <ns2:sty ns2:val="p"/>
          </ns2:rPr>
          <ns2:t>e</ns2:t>
        </ns2:r>
      </ns2:oMath>
      <w:r>
        <w:rPr>
          <w:rFonts w:hint="eastAsia"/>
        </w:rPr>
        <w:t xml:space="preserve">，因而</w:t>
      </w:r>
      <ns2:oMath>
        <ns2:r>
          <ns2:t>B</ns2:t>
        </ns2:r>
        <ns2:r>
          <ns2:rPr>
            <ns2:sty ns2:val="p"/>
          </ns2:rPr>
          <ns2:t>(</ns2:t>
        </ns2:r>
        <ns2:sSub>
          <ns2:e>
            <ns2:r>
              <ns2:t>P</ns2:t>
            </ns2:r>
          </ns2:e>
          <ns2:sub>
            <ns2:r>
              <ns2:t>0</ns2:t>
            </ns2:r>
          </ns2:sub>
        </ns2:sSub>
        <ns2:r>
          <ns2:rPr>
            <ns2:sty ns2:val="p"/>
          </ns2:rPr>
          <ns2:t>)</ns2:t>
        </ns2:r>
        <ns2:r>
          <ns2:rPr>
            <ns2:sty ns2:val="p"/>
          </ns2:rPr>
          <ns2:t>/</ns2:t>
        </ns2:r>
        <ns2:r>
          <ns2:t>B</ns2:t>
        </ns2:r>
        <ns2:r>
          <ns2:rPr>
            <ns2:sty ns2:val="p"/>
          </ns2:rPr>
          <ns2:t>(</ns2:t>
        </ns2:r>
        <ns2:sSub>
          <ns2:e>
            <ns2:r>
              <ns2:t>P</ns2:t>
            </ns2:r>
          </ns2:e>
          <ns2:sub>
            <ns2:r>
              <ns2:t>2</ns2:t>
            </ns2:r>
          </ns2:sub>
        </ns2:sSub>
        <ns2:r>
          <ns2:rPr>
            <ns2:sty ns2:val="p"/>
          </ns2:rPr>
          <ns2:t>)</ns2:t>
        </ns2:r>
        <ns2:r>
          <ns2:rPr>
            <ns2:sty ns2:val="p"/>
          </ns2:rPr>
          <ns2:t>=</ns2:t>
        </ns2:r>
        <ns2:r>
          <ns2:t>40.96</ns2:t>
        </ns2:r>
      </ns2:oMath>
      <w:r>
        <w:rPr>
          <w:rFonts w:hint="eastAsia"/>
        </w:rPr>
        <w:t xml:space="preserve">。该比值是由表示结构得到的名义载荷对比，不是实测总线或DRAM流量、带宽、H2D时间或传输加速比。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表1将描述符实例化。</w:t>
      </w:r>
      <ns2:oMath>
        <ns2:sSub>
          <ns2:e>
            <ns2:r>
              <ns2:t>P</ns2:t>
            </ns2:r>
          </ns2:e>
          <ns2:sub>
            <ns2:r>
              <ns2:t>0</ns2:t>
            </ns2:r>
          </ns2:sub>
        </ns2:sSub>
      </ns2:oMath>
      <w:r>
        <w:rPr>
          <w:rFonts w:hint="eastAsia"/>
        </w:rPr>
        <w:t xml:space="preserve">对应V0：</w:t>
      </w:r>
      <ns2:oMath>
        <ns2:r>
          <ns2:t>R</ns2:t>
        </ns2:r>
      </ns2:oMath>
      <w:r>
        <w:rPr>
          <w:rFonts w:hint="eastAsia"/>
        </w:rPr>
        <w:t xml:space="preserve">为FP32</w:t>
      </w:r>
      <w:r>
        <w:t xml:space="preserve"> </w:t>
      </w:r>
      <w:r>
        <w:rPr>
          <w:rFonts w:hint="eastAsia"/>
        </w:rPr>
        <w:t xml:space="preserve">NCHW张量，</w:t>
      </w:r>
      <ns2:oMath>
        <ns2:r>
          <ns2:t>F</ns2:t>
        </ns2:r>
      </ns2:oMath>
      <w:r>
        <w:rPr>
          <w:rFonts w:hint="eastAsia"/>
        </w:rPr>
        <w:t xml:space="preserve">在主机侧，</w:t>
      </w:r>
      <ns2:oMath>
        <ns2:r>
          <ns2:t>M</ns2:t>
        </ns2:r>
      </ns2:oMath>
      <w:r>
        <w:rPr>
          <w:rFonts w:hint="eastAsia"/>
        </w:rPr>
        <w:t xml:space="preserve">无额外打包原始图像暂存；</w:t>
      </w:r>
      <ns2:oMath>
        <ns2:sSub>
          <ns2:e>
            <ns2:r>
              <ns2:t>P</ns2:t>
            </ns2:r>
          </ns2:e>
          <ns2:sub>
            <ns2:r>
              <ns2:t>2</ns2:t>
            </ns2:r>
          </ns2:sub>
        </ns2:sSub>
      </ns2:oMath>
      <w:r>
        <w:rPr>
          <w:rFonts w:hint="eastAsia"/>
        </w:rPr>
        <w:t xml:space="preserve">对应V2R：</w:t>
      </w:r>
      <ns2:oMath>
        <ns2:r>
          <ns2:t>R</ns2:t>
        </ns2:r>
      </ns2:oMath>
      <w:r>
        <w:rPr>
          <w:rFonts w:hint="eastAsia"/>
        </w:rPr>
        <w:t xml:space="preserve">为packed</w:t>
      </w:r>
      <w:r>
        <w:t xml:space="preserve"> BGR </w:t>
      </w:r>
      <w:r>
        <w:rPr>
          <w:rFonts w:hint="eastAsia"/>
        </w:rPr>
        <w:t xml:space="preserve">uint8，</w:t>
      </w:r>
      <ns2:oMath>
        <ns2:r>
          <ns2:t>F</ns2:t>
        </ns2:r>
      </ns2:oMath>
      <w:r>
        <w:rPr>
          <w:rFonts w:hint="eastAsia"/>
        </w:rPr>
        <w:t xml:space="preserve">在设备侧，</w:t>
      </w:r>
      <ns2:oMath>
        <ns2:r>
          <ns2:t>M</ns2:t>
        </ns2:r>
      </ns2:oMath>
      <w:r>
        <w:rPr>
          <w:rFonts w:hint="eastAsia"/>
        </w:rPr>
        <w:t xml:space="preserve">为pageable；</w:t>
      </w:r>
      <ns2:oMath>
        <ns2:sSub>
          <ns2:e>
            <ns2:r>
              <ns2:t>P</ns2:t>
            </ns2:r>
          </ns2:e>
          <ns2:sub>
            <ns2:r>
              <ns2:t>3</ns2:t>
            </ns2:r>
          </ns2:sub>
        </ns2:sSub>
      </ns2:oMath>
      <w:r>
        <w:rPr>
          <w:rFonts w:hint="eastAsia"/>
        </w:rPr>
        <w:t xml:space="preserve">对应V3R，其余变量与</w:t>
      </w:r>
      <ns2:oMath>
        <ns2:sSub>
          <ns2:e>
            <ns2:r>
              <ns2:t>P</ns2:t>
            </ns2:r>
          </ns2:e>
          <ns2:sub>
            <ns2:r>
              <ns2:t>2</ns2:t>
            </ns2:r>
          </ns2:sub>
        </ns2:sSub>
      </ns2:oMath>
      <w:r>
        <w:rPr>
          <w:rFonts w:hint="eastAsia"/>
        </w:rPr>
        <w:t xml:space="preserve">相同，仅</w:t>
      </w:r>
      <ns2:oMath>
        <ns2:r>
          <ns2:t>M</ns2:t>
        </ns2:r>
      </ns2:oMath>
      <w:r>
        <w:rPr>
          <w:rFonts w:hint="eastAsia"/>
        </w:rPr>
        <w:t xml:space="preserve">改为pinned。三者的</w:t>
      </w:r>
      <ns2:oMath>
        <ns2:r>
          <ns2:t>E</ns2:t>
        </ns2:r>
      </ns2:oMath>
      <w:r>
        <w:rPr>
          <w:rFonts w:hint="eastAsia"/>
        </w:rPr>
        <w:t xml:space="preserve">均为单帧顺序执行。</w:t>
      </w:r>
    </w:p>
    <w:p>
      <w:pPr>
        <w:pStyle w:val="HFUTTableCaption"/>
        <w:jc w:val="center"/>
      </w:pPr>
      <w:r>
        <w:rPr>
          <w:rFonts w:hint="eastAsia"/>
          <w:b/>
          <w:bCs/>
        </w:rPr>
        <w:t xml:space="preserve">表1</w:t>
      </w:r>
      <w:r>
        <w:rPr>
          <w:b/>
          <w:bCs/>
        </w:rPr>
        <w:t xml:space="preserve">　</w:t>
      </w:r>
      <w:r>
        <w:rPr>
          <w:rFonts w:hint="eastAsia"/>
          <w:b/>
          <w:bCs/>
        </w:rPr>
        <w:t xml:space="preserve">三条输入数据路径的结构描述与派生量。名义输入复制载荷由跨边界表示推导，非实测流量。</w:t>
      </w:r>
    </w:p>
    <w:tbl>
      <w:tblPr>
        <w:tblStyle w:val="HFUTThreeLineTable"/>
        <w:tblW w:type="dxa" w:w="9072"/>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3200"/>
        <w:gridCol w:w="1957"/>
        <w:gridCol w:w="1957"/>
        <w:gridCol w:w="1958"/>
      </w:tblGrid>
      <w:tr>
        <w:trPr>
          <w:tblHeader w:val="on"/>
          <w:cantSplit/>
        </w:trPr>
        <w:tc>
          <w:tcPr>
            <w:tcW w:w="32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路径描述项</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V0（</w:t>
            </w:r>
            <ns2:oMath>
              <ns2:sSub>
                <ns2:e>
                  <ns2:r>
                    <ns2:t>P</ns2:t>
                  </ns2:r>
                </ns2:e>
                <ns2:sub>
                  <ns2:r>
                    <ns2:t>0</ns2:t>
                  </ns2:r>
                </ns2:sub>
              </ns2:sSub>
            </ns2:oMath>
            <w:r>
              <w:rPr>
                <w:rFonts w:hint="eastAsia"/>
              </w:rPr>
              <w:t xml:space="preserve">）</w:t>
            </w:r>
          </w:p>
        </w:tc>
        <w:tc>
          <w:tcPr>
            <w:tcW w:w="1957"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V2R（</w:t>
            </w:r>
            <ns2:oMath>
              <ns2:sSub>
                <ns2:e>
                  <ns2:r>
                    <ns2:t>P</ns2:t>
                  </ns2:r>
                </ns2:e>
                <ns2:sub>
                  <ns2:r>
                    <ns2:t>2</ns2:t>
                  </ns2:r>
                </ns2:sub>
              </ns2:sSub>
            </ns2:oMath>
            <w:r>
              <w:rPr>
                <w:rFonts w:hint="eastAsia"/>
              </w:rPr>
              <w:t xml:space="preserve">）</w:t>
            </w:r>
          </w:p>
        </w:tc>
        <w:tc>
          <w:tcPr>
            <w:tcW w:w="1958"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V3R（</w:t>
            </w:r>
            <ns2:oMath>
              <ns2:sSub>
                <ns2:e>
                  <ns2:r>
                    <ns2:t>P</ns2:t>
                  </ns2:r>
                </ns2:e>
                <ns2:sub>
                  <ns2:r>
                    <ns2:t>3</ns2:t>
                  </ns2:r>
                </ns2:sub>
              </ns2:sSub>
            </ns2:oMath>
            <w:r>
              <w:rPr>
                <w:rFonts w:hint="eastAsia"/>
              </w:rPr>
              <w:t xml:space="preserve">）</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H2D数据表示</w:t>
            </w:r>
            <w:r>
              <w:t xml:space="preserve"> </w:t>
            </w:r>
            <ns2:oMath>
              <ns2:r>
                <ns2:t>R</ns2:t>
              </ns2:r>
            </ns2:oMath>
          </w:p>
        </w:tc>
        <w:tc>
          <w:tcPr>
            <w:tcW w:w="1957" w:type="dxa"/>
            <w:tcBorders>
              <w:top w:val="nil"/>
              <w:left w:val="nil"/>
              <w:bottom w:val="nil"/>
              <w:right w:val="nil"/>
            </w:tcBorders>
          </w:tcPr>
          <w:p>
            <w:pPr>
              <w:pStyle w:val="HFUTTableContent"/>
              <w:ind w:left="0" w:right="0" w:firstLine="0"/>
              <w:jc w:val="center"/>
            </w:pPr>
            <w:r>
              <w:t xml:space="preserve">FP32 </w:t>
            </w:r>
            <w:r>
              <w:rPr>
                <w:rFonts w:hint="eastAsia"/>
              </w:rPr>
              <w:t xml:space="preserve">NCHW张量</w:t>
            </w:r>
          </w:p>
        </w:tc>
        <w:tc>
          <w:tcPr>
            <w:tcW w:w="1957" w:type="dxa"/>
            <w:tcBorders>
              <w:top w:val="nil"/>
              <w:left w:val="nil"/>
              <w:bottom w:val="nil"/>
              <w:right w:val="nil"/>
            </w:tcBorders>
          </w:tcPr>
          <w:p>
            <w:pPr>
              <w:pStyle w:val="HFUTTableContent"/>
              <w:ind w:left="0" w:right="0" w:firstLine="0"/>
              <w:jc w:val="center"/>
            </w:pPr>
            <w:r>
              <w:t xml:space="preserve">packed BGR uint8</w:t>
            </w:r>
          </w:p>
        </w:tc>
        <w:tc>
          <w:tcPr>
            <w:tcW w:w="1958" w:type="dxa"/>
            <w:tcBorders>
              <w:top w:val="nil"/>
              <w:left w:val="nil"/>
              <w:bottom w:val="nil"/>
              <w:right w:val="nil"/>
            </w:tcBorders>
          </w:tcPr>
          <w:p>
            <w:pPr>
              <w:pStyle w:val="HFUTTableContent"/>
              <w:ind w:left="0" w:right="0" w:firstLine="0"/>
              <w:jc w:val="center"/>
            </w:pPr>
            <w:r>
              <w:t xml:space="preserve">packed BGR uint8</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输入张量形成位置</w:t>
            </w:r>
            <w:r>
              <w:t xml:space="preserve"> </w:t>
            </w:r>
            <ns2:oMath>
              <ns2:r>
                <ns2:t>F</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主机</w:t>
            </w:r>
          </w:p>
        </w:tc>
        <w:tc>
          <w:tcPr>
            <w:tcW w:w="1957" w:type="dxa"/>
            <w:tcBorders>
              <w:top w:val="nil"/>
              <w:left w:val="nil"/>
              <w:bottom w:val="nil"/>
              <w:right w:val="nil"/>
            </w:tcBorders>
          </w:tcPr>
          <w:p>
            <w:pPr>
              <w:pStyle w:val="HFUTTableContent"/>
              <w:ind w:left="0" w:right="0" w:firstLine="0"/>
              <w:jc w:val="center"/>
            </w:pPr>
            <w:r>
              <w:rPr>
                <w:rFonts w:hint="eastAsia"/>
              </w:rPr>
              <w:t xml:space="preserve">设备</w:t>
            </w:r>
          </w:p>
        </w:tc>
        <w:tc>
          <w:tcPr>
            <w:tcW w:w="1958" w:type="dxa"/>
            <w:tcBorders>
              <w:top w:val="nil"/>
              <w:left w:val="nil"/>
              <w:bottom w:val="nil"/>
              <w:right w:val="nil"/>
            </w:tcBorders>
          </w:tcPr>
          <w:p>
            <w:pPr>
              <w:pStyle w:val="HFUTTableContent"/>
              <w:ind w:left="0" w:right="0" w:firstLine="0"/>
              <w:jc w:val="center"/>
            </w:pPr>
            <w:r>
              <w:rPr>
                <w:rFonts w:hint="eastAsia"/>
              </w:rPr>
              <w:t xml:space="preserve">设备</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预处理位置</w:t>
            </w:r>
          </w:p>
        </w:tc>
        <w:tc>
          <w:tcPr>
            <w:tcW w:w="1957" w:type="dxa"/>
            <w:tcBorders>
              <w:top w:val="nil"/>
              <w:left w:val="nil"/>
              <w:bottom w:val="nil"/>
              <w:right w:val="nil"/>
            </w:tcBorders>
          </w:tcPr>
          <w:p>
            <w:pPr>
              <w:pStyle w:val="HFUTTableContent"/>
              <w:ind w:left="0" w:right="0" w:firstLine="0"/>
              <w:jc w:val="center"/>
            </w:pPr>
            <w:r>
              <w:t xml:space="preserve">CPU</w:t>
            </w:r>
          </w:p>
        </w:tc>
        <w:tc>
          <w:tcPr>
            <w:tcW w:w="1957" w:type="dxa"/>
            <w:tcBorders>
              <w:top w:val="nil"/>
              <w:left w:val="nil"/>
              <w:bottom w:val="nil"/>
              <w:right w:val="nil"/>
            </w:tcBorders>
          </w:tcPr>
          <w:p>
            <w:pPr>
              <w:pStyle w:val="HFUTTableContent"/>
              <w:ind w:left="0" w:right="0" w:firstLine="0"/>
              <w:jc w:val="center"/>
            </w:pPr>
            <w:r>
              <w:rPr>
                <w:rFonts w:hint="eastAsia"/>
              </w:rPr>
              <w:t xml:space="preserve">GPU融合处理</w:t>
            </w:r>
          </w:p>
        </w:tc>
        <w:tc>
          <w:tcPr>
            <w:tcW w:w="1958" w:type="dxa"/>
            <w:tcBorders>
              <w:top w:val="nil"/>
              <w:left w:val="nil"/>
              <w:bottom w:val="nil"/>
              <w:right w:val="nil"/>
            </w:tcBorders>
          </w:tcPr>
          <w:p>
            <w:pPr>
              <w:pStyle w:val="HFUTTableContent"/>
              <w:ind w:left="0" w:right="0" w:firstLine="0"/>
              <w:jc w:val="center"/>
            </w:pPr>
            <w:r>
              <w:rPr>
                <w:rFonts w:hint="eastAsia"/>
              </w:rPr>
              <w:t xml:space="preserve">GPU融合处理</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额外打包原始图像暂存策略</w:t>
            </w:r>
            <w:r>
              <w:t xml:space="preserve"> </w:t>
            </w:r>
            <ns2:oMath>
              <ns2:r>
                <ns2:t>M</ns2:t>
              </ns2:r>
            </ns2:oMath>
          </w:p>
        </w:tc>
        <w:tc>
          <w:tcPr>
            <w:tcW w:w="1957" w:type="dxa"/>
            <w:tcBorders>
              <w:top w:val="nil"/>
              <w:left w:val="nil"/>
              <w:bottom w:val="nil"/>
              <w:right w:val="nil"/>
            </w:tcBorders>
          </w:tcPr>
          <w:p>
            <w:pPr>
              <w:pStyle w:val="HFUTTableContent"/>
              <w:ind w:left="0" w:right="0" w:firstLine="0"/>
              <w:jc w:val="center"/>
            </w:pPr>
            <w:r>
              <w:rPr>
                <w:rFonts w:hint="eastAsia"/>
              </w:rPr>
              <w:t xml:space="preserve">无</w:t>
            </w:r>
          </w:p>
        </w:tc>
        <w:tc>
          <w:tcPr>
            <w:tcW w:w="1957" w:type="dxa"/>
            <w:tcBorders>
              <w:top w:val="nil"/>
              <w:left w:val="nil"/>
              <w:bottom w:val="nil"/>
              <w:right w:val="nil"/>
            </w:tcBorders>
          </w:tcPr>
          <w:p>
            <w:pPr>
              <w:pStyle w:val="HFUTTableContent"/>
              <w:ind w:left="0" w:right="0" w:firstLine="0"/>
              <w:jc w:val="center"/>
            </w:pPr>
            <w:r>
              <w:t xml:space="preserve">Pageable</w:t>
            </w:r>
          </w:p>
        </w:tc>
        <w:tc>
          <w:tcPr>
            <w:tcW w:w="1958" w:type="dxa"/>
            <w:tcBorders>
              <w:top w:val="nil"/>
              <w:left w:val="nil"/>
              <w:bottom w:val="nil"/>
              <w:right w:val="nil"/>
            </w:tcBorders>
          </w:tcPr>
          <w:p>
            <w:pPr>
              <w:pStyle w:val="HFUTTableContent"/>
              <w:ind w:left="0" w:right="0" w:firstLine="0"/>
              <w:jc w:val="center"/>
            </w:pPr>
            <w:r>
              <w:t xml:space="preserve">Pinned</w:t>
            </w:r>
          </w:p>
        </w:tc>
      </w:tr>
      <w:tr>
        <w:trPr>
          <w:cantSplit/>
        </w:trPr>
        <w:tc>
          <w:tcPr>
            <w:tcW w:w="3200" w:type="dxa"/>
            <w:tcBorders>
              <w:top w:val="nil"/>
              <w:left w:val="nil"/>
              <w:bottom w:val="nil"/>
              <w:right w:val="nil"/>
            </w:tcBorders>
          </w:tcPr>
          <w:p>
            <w:pPr>
              <w:pStyle w:val="HFUTTableContent"/>
              <w:ind w:left="0" w:right="0" w:firstLine="0"/>
              <w:jc w:val="left"/>
            </w:pPr>
            <w:r>
              <w:rPr>
                <w:rFonts w:hint="eastAsia"/>
              </w:rPr>
              <w:t xml:space="preserve">名义输入复制载荷</w:t>
            </w:r>
            <w:r>
              <w:t xml:space="preserve"> </w:t>
            </w:r>
            <ns2:oMath>
              <ns2:r>
                <ns2:t>B</ns2:t>
              </ns2:r>
              <ns2:r>
                <ns2:rPr>
                  <ns2:sty ns2:val="p"/>
                </ns2:rPr>
                <ns2:t>(</ns2:t>
              </ns2:r>
              <ns2:r>
                <ns2:t>P</ns2:t>
              </ns2:r>
              <ns2:r>
                <ns2:rPr>
                  <ns2:sty ns2:val="p"/>
                </ns2:rPr>
                <ns2:t>)</ns2:t>
              </ns2:r>
            </ns2:oMath>
          </w:p>
        </w:tc>
        <w:tc>
          <w:tcPr>
            <w:tcW w:w="1957" w:type="dxa"/>
            <w:tcBorders>
              <w:top w:val="nil"/>
              <w:left w:val="nil"/>
              <w:bottom w:val="nil"/>
              <w:right w:val="nil"/>
            </w:tcBorders>
          </w:tcPr>
          <w:p>
            <w:pPr>
              <w:pStyle w:val="HFUTTableContent"/>
              <w:ind w:left="0" w:right="0" w:firstLine="0"/>
              <w:jc w:val="center"/>
            </w:pPr>
            <w:r>
              <w:t xml:space="preserve">4.9152 MB/frame</w:t>
            </w:r>
          </w:p>
        </w:tc>
        <w:tc>
          <w:tcPr>
            <w:tcW w:w="1957" w:type="dxa"/>
            <w:tcBorders>
              <w:top w:val="nil"/>
              <w:left w:val="nil"/>
              <w:bottom w:val="nil"/>
              <w:right w:val="nil"/>
            </w:tcBorders>
          </w:tcPr>
          <w:p>
            <w:pPr>
              <w:pStyle w:val="HFUTTableContent"/>
              <w:ind w:left="0" w:right="0" w:firstLine="0"/>
              <w:jc w:val="center"/>
            </w:pPr>
            <w:r>
              <w:t xml:space="preserve">0.1200 MB/frame</w:t>
            </w:r>
          </w:p>
        </w:tc>
        <w:tc>
          <w:tcPr>
            <w:tcW w:w="1958" w:type="dxa"/>
            <w:tcBorders>
              <w:top w:val="nil"/>
              <w:left w:val="nil"/>
              <w:bottom w:val="nil"/>
              <w:right w:val="nil"/>
            </w:tcBorders>
          </w:tcPr>
          <w:p>
            <w:pPr>
              <w:pStyle w:val="HFUTTableContent"/>
              <w:ind w:left="0" w:right="0" w:firstLine="0"/>
              <w:jc w:val="center"/>
            </w:pPr>
            <w:r>
              <w:t xml:space="preserve">0.1200 MB/frame</w:t>
            </w:r>
          </w:p>
        </w:tc>
      </w:tr>
      <w:tr>
        <w:trPr>
          <w:cantSplit/>
        </w:trPr>
        <w:tc>
          <w:tcPr>
            <w:tcW w:w="3200" w:type="dxa"/>
            <w:tcBorders>
              <w:top w:val="nil"/>
              <w:left w:val="nil"/>
              <w:bottom w:val="single" w:sz="8" w:space="0" w:color="000000"/>
              <w:right w:val="nil"/>
            </w:tcBorders>
          </w:tcPr>
          <w:p>
            <w:pPr>
              <w:pStyle w:val="HFUTTableContent"/>
              <w:ind w:left="0" w:right="0" w:firstLine="0"/>
              <w:jc w:val="left"/>
            </w:pPr>
            <w:r>
              <w:rPr>
                <w:rFonts w:hint="eastAsia"/>
              </w:rPr>
              <w:t xml:space="preserve">执行拓扑</w:t>
            </w:r>
            <w:r>
              <w:t xml:space="preserve"> </w:t>
            </w:r>
            <ns2:oMath>
              <ns2:r>
                <ns2:t>E</ns2:t>
              </ns2:r>
            </ns2:oMath>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7"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c>
          <w:tcPr>
            <w:tcW w:w="1958" w:type="dxa"/>
            <w:tcBorders>
              <w:top w:val="nil"/>
              <w:left w:val="nil"/>
              <w:bottom w:val="single" w:sz="8" w:space="0" w:color="000000"/>
              <w:right w:val="nil"/>
            </w:tcBorders>
          </w:tcPr>
          <w:p>
            <w:pPr>
              <w:pStyle w:val="HFUTTableContent"/>
              <w:ind w:left="0" w:right="0" w:firstLine="0"/>
              <w:jc w:val="center"/>
            </w:pPr>
            <w:r>
              <w:rPr>
                <w:rFonts w:hint="eastAsia"/>
              </w:rPr>
              <w:t xml:space="preserve">单帧顺序</w:t>
            </w:r>
          </w:p>
        </w:tc>
      </w:tr>
    </w:tbl>
    <w:p>
      <w:pPr>
        <w:spacing w:before="0" w:after="0" w:line="1" w:lineRule="exact"/>
        <w:sectPr>
          <w:footerReference ns1:id="rId4" w:type="default"/>
          <w:type w:val="continuous"/>
          <w:pgSz w:h="16838" w:orient="portrait" w:w="11906"/>
          <w:pgMar w:bottom="1134" w:footer="907" w:gutter="0" w:header="720" w:left="1304" w:right="1304" w:top="1361"/>
          <w:cols w:num="1" w:space="425"/>
          <w:docGrid w:linePitch="360"/>
        </w:sectPr>
      </w:pPr>
    </w:p>
    <w:p>
      <w:pPr>
        <w:pStyle w:val="HFUTHeading2"/>
      </w:pPr>
      <w:r>
        <w:t xml:space="preserve">1.3 </w:t>
      </w:r>
      <w:r>
        <w:rPr>
          <w:rFonts w:hint="eastAsia"/>
        </w:rPr>
        <w:t xml:space="preserve">层级受控比较、正确性条件与评价问题</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如图1所示，</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同时改变跨边界表示和张量形成位置，并引入相应的原始图像暂存，即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保持不变，属于路径级重构；</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w:t>
      </w:r>
      <ns2:oMath>
        <ns2:r>
          <ns2:t>M</ns2:t>
        </ns2:r>
      </ns2:oMath>
      <w:r>
        <w:rPr>
          <w:rFonts w:hint="eastAsia"/>
        </w:rPr>
        <w:t xml:space="preserve">，属于局部暂存策略细化。这里的层级仅表示受控变量范围不同，不预设收益大小，也不构成阶段级因果分解。</w:t>
      </w:r>
    </w:p>
    <w:p>
      <w:pPr>
        <w:pStyle w:val="BodyText"/>
        <w:keepNext/>
        <w:spacing w:before="0" w:after="0" w:line="320" w:lineRule="atLeast"/>
        <w:ind w:firstLine="0"/>
        <w:jc w:val="center"/>
      </w:pPr>
      <w:r>
        <w:drawing>
          <ns3:inline>
            <ns3:extent cx="5759999" cy="2851093"/>
            <ns3:effectExtent b="0" l="0" r="0" t="0"/>
            <ns3:docPr descr="" title="" id="14" name="Picture"/>
            <ns4:graphic>
              <ns4:graphicData uri="http://schemas.openxmlformats.org/drawingml/2006/picture">
                <ns5:pic>
                  <ns5:nvPicPr>
                    <ns5:cNvPr descr="fig1_input_data_path_model_phase59c.png" id="15" name="Picture"/>
                    <ns5:cNvPicPr>
                      <ns4:picLocks noChangeArrowheads="1" noChangeAspect="1"/>
                    </ns5:cNvPicPr>
                  </ns5:nvPicPr>
                  <ns5:blipFill>
                    <ns4:blip ns1:embed="rId13"/>
                    <ns4:stretch>
                      <ns4:fillRect/>
                    </ns4:stretch>
                  </ns5:blipFill>
                  <ns5:spPr bwMode="auto">
                    <ns4:xfrm>
                      <ns4:off x="0" y="0"/>
                      <ns4:ext cx="5759999" cy="2851093"/>
                    </ns4:xfrm>
                    <ns4:prstGeom prst="rect">
                      <ns4:avLst/>
                    </ns4:prstGeom>
                    <ns4:noFill/>
                    <ns4:ln w="9525">
                      <ns4:noFill/>
                      <ns4:headEnd/>
                      <ns4:tailEnd/>
                    </ns4:ln>
                  </ns5:spPr>
                </ns5:pic>
              </ns4:graphicData>
            </ns4:graphic>
          </ns3: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图1</w:t>
      </w:r>
      <w:r>
        <w:rPr>
          <w:b/>
          <w:bCs/>
        </w:rPr>
        <w:t xml:space="preserve">　</w:t>
      </w:r>
      <w:r>
        <w:rPr>
          <w:rFonts w:hint="eastAsia"/>
          <w:b/>
          <w:bCs/>
        </w:rPr>
        <w:t xml:space="preserve">输入数据路径抽象及层级受控比较。图中层级表示结构变量的干预范围，不表示收益大小或组件级因果关系。</w:t>
      </w:r>
    </w:p>
    <w:p>
      <w:pPr>
        <w:pStyle w:val="HFUTBody"/>
      </w:pPr>
      <w:r>
        <w:rPr>
          <w:rFonts w:hint="eastAsia"/>
        </w:rPr>
        <w:t xml:space="preserve">性能比较还必须满足正确性条件：三条路径使用同一工作负载、评价器、模型/Engine、输入和后处理语义；V2R通过预定义的任务级核验，V3R由同一评价器确定性重算；汇总任务指标一致，类别级AP50与Recall最大路径间差异为0。该条件只保证冻结工作负载和评价口径内的可比性，不表示逐位相等或对未来输入普适等价。</w:t>
      </w:r>
    </w:p>
    <w:p>
      <w:pPr>
        <w:pStyle w:val="HFUTBody"/>
      </w:pPr>
      <w:r>
        <w:rPr>
          <w:rFonts w:hint="eastAsia"/>
        </w:rPr>
        <w:t xml:space="preserve">完整路径的直接测量响应定义为</w:t>
      </w:r>
    </w:p>
    <w:p>
      <w:pPr>
        <w:pStyle w:val="HFUTEquation"/>
      </w:pPr>
      <ns2:oMathPara>
        <ns2:oMathParaPr>
          <ns2:jc ns2:val="center"/>
        </ns2:oMathParaPr>
        <ns2:oMath>
          <ns2:sSub>
            <ns2:e>
              <ns2:r>
                <ns2:t>T</ns2:t>
              </ns2:r>
            </ns2:e>
            <ns2:sub>
              <ns2:r>
                <ns2:rPr>
                  <ns2:sty ns2:val="p"/>
                </ns2:rPr>
                <ns2:t>E</ns2:t>
              </ns2:r>
              <ns2:r>
                <ns2:rPr>
                  <ns2:sty ns2:val="p"/>
                </ns2:rPr>
                <ns2:t>2</ns2:t>
              </ns2:r>
              <ns2:r>
                <ns2:rPr>
                  <ns2:sty ns2:val="p"/>
                </ns2:rPr>
                <ns2:t>E</ns2:t>
              </ns2:r>
            </ns2:sub>
          </ns2:sSub>
          <ns2:r>
            <ns2:rPr>
              <ns2:sty ns2:val="p"/>
            </ns2:rPr>
            <ns2:t>(</ns2:t>
          </ns2:r>
          <ns2:r>
            <ns2:t>P</ns2:t>
          </ns2:r>
          <ns2:r>
            <ns2:rPr>
              <ns2:sty ns2:val="p"/>
            </ns2:rPr>
            <ns2:t>)</ns2:t>
          </ns2:r>
          <ns2:r>
            <ns2:rPr>
              <ns2:sty ns2:val="p"/>
            </ns2:rPr>
            <ns2:t>=</ns2:t>
          </ns2:r>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r>
            <ns2:rPr>
              <ns2:sty ns2:val="p"/>
            </ns2:rPr>
            <ns2:t>(</ns2:t>
          </ns2:r>
          <ns2:r>
            <ns2:t>P</ns2:t>
          </ns2:r>
          <ns2:r>
            <ns2:rPr>
              <ns2:sty ns2:val="p"/>
            </ns2:rPr>
            <ns2:t>)</ns2:t>
          </ns2:r>
          <ns2:r>
            <ns2:rPr>
              <ns2:sty ns2:val="p"/>
            </ns2:rPr>
            <ns2:t>−</ns2:t>
          </ns2:r>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r>
            <ns2:rPr>
              <ns2:sty ns2:val="p"/>
            </ns2:rPr>
            <ns2:t>(</ns2:t>
          </ns2:r>
          <ns2:r>
            <ns2:t>P</ns2:t>
          </ns2:r>
          <ns2:r>
            <ns2:rPr>
              <ns2:sty ns2:val="p"/>
            </ns2:rPr>
            <ns2:t>)</ns2:t>
          </ns2:r>
          <ns2:r>
            <ns2:rPr>
              <ns2:sty ns2:val="p"/>
            </ns2:rPr>
            <ns2:t>,</ns2:t>
          </ns2:r>
        </ns2:oMath>
      </ns2:oMathPara>
    </w:p>
    <w:p>
      <w:pPr>
        <w:pStyle w:val="HFUTBody"/>
        <w:spacing w:before="0" w:after="0" w:line="360" w:lineRule="atLeast"/>
      </w:pPr>
      <w:r>
        <w:rPr>
          <w:rFonts w:hint="eastAsia"/>
        </w:rPr>
        <w:t xml:space="preserve">其中，</w:t>
      </w:r>
      <ns2:oMath>
        <ns2:sSub>
          <ns2:e>
            <ns2:r>
              <ns2:t>t</ns2:t>
            </ns2:r>
          </ns2:e>
          <ns2:sub>
            <ns2:r>
              <ns2:rPr>
                <ns2:sty ns2:val="p"/>
              </ns2:rPr>
              <ns2:t>s</ns2:t>
            </ns2:r>
            <ns2:r>
              <ns2:rPr>
                <ns2:sty ns2:val="p"/>
              </ns2:rPr>
              <ns2:t>o</ns2:t>
            </ns2:r>
            <ns2:r>
              <ns2:rPr>
                <ns2:sty ns2:val="p"/>
              </ns2:rPr>
              <ns2:t>u</ns2:t>
            </ns2:r>
            <ns2:r>
              <ns2:rPr>
                <ns2:sty ns2:val="p"/>
              </ns2:rPr>
              <ns2:t>r</ns2:t>
            </ns2:r>
            <ns2:r>
              <ns2:rPr>
                <ns2:sty ns2:val="p"/>
              </ns2:rPr>
              <ns2:t>c</ns2:t>
            </ns2:r>
            <ns2:r>
              <ns2:rPr>
                <ns2:sty ns2:val="p"/>
              </ns2:rPr>
              <ns2:t>e</ns2:t>
            </ns2:r>
          </ns2:sub>
        </ns2:sSub>
      </ns2:oMath>
      <w:r>
        <w:rPr>
          <w:rFonts w:hint="eastAsia"/>
        </w:rPr>
        <w:t xml:space="preserve">位于获取数据源帧前，</w:t>
      </w:r>
      <ns2:oMath>
        <ns2:sSub>
          <ns2:e>
            <ns2:r>
              <ns2:t>t</ns2:t>
            </ns2:r>
          </ns2:e>
          <ns2:sub>
            <ns2:r>
              <ns2:rPr>
                <ns2:sty ns2:val="p"/>
              </ns2:rPr>
              <ns2:t>p</ns2:t>
            </ns2:r>
            <ns2:r>
              <ns2:rPr>
                <ns2:sty ns2:val="p"/>
              </ns2:rPr>
              <ns2:t>r</ns2:t>
            </ns2:r>
            <ns2:r>
              <ns2:rPr>
                <ns2:sty ns2:val="p"/>
              </ns2:rPr>
              <ns2:t>e</ns2:t>
            </ns2:r>
            <ns2:r>
              <ns2:rPr>
                <ns2:nor/>
                <ns2:sty ns2:val="p"/>
              </ns2:rPr>
              <ns2:t>-</ns2:t>
            </ns2:r>
            <ns2:r>
              <ns2:rPr>
                <ns2:sty ns2:val="p"/>
              </ns2:rPr>
              <ns2:t>s</ns2:t>
            </ns2:r>
            <ns2:r>
              <ns2:rPr>
                <ns2:sty ns2:val="p"/>
              </ns2:rPr>
              <ns2:t>i</ns2:t>
            </ns2:r>
            <ns2:r>
              <ns2:rPr>
                <ns2:sty ns2:val="p"/>
              </ns2:rPr>
              <ns2:t>n</ns2:t>
            </ns2:r>
            <ns2:r>
              <ns2:rPr>
                <ns2:sty ns2:val="p"/>
              </ns2:rPr>
              <ns2:t>k</ns2:t>
            </ns2:r>
          </ns2:sub>
        </ns2:sSub>
      </ns2:oMath>
      <w:r>
        <w:rPr>
          <w:rFonts w:hint="eastAsia"/>
        </w:rPr>
        <w:t xml:space="preserve">位于结果构造完成且序列化和写文件前。本文评价完整路径</w:t>
      </w:r>
      <ns2:oMath>
        <ns2:r>
          <ns2:t>P</ns2:t>
        </ns2:r>
      </ns2:oMath>
      <w:r>
        <w:rPr>
          <w:rFonts w:hint="eastAsia"/>
        </w:rPr>
        <w:t xml:space="preserve">的E2E响应，不独立测量H2D、预处理或CUDA核函数时间。</w:t>
      </w:r>
    </w:p>
    <w:p>
      <w:pPr>
        <w:pStyle w:val="HFUTBody"/>
        <w:spacing w:before="0" w:after="0" w:line="360" w:lineRule="atLeast"/>
      </w:pPr>
      <w:r>
        <w:rPr>
          <w:rFonts w:hint="eastAsia"/>
        </w:rPr>
        <w:t xml:space="preserve">据此提出：RQ1，在固定推理对象、工作负载和任务语义时，</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路径级重构对完整E2E平均响应产生何种影响？RQ2，在</w:t>
      </w:r>
      <ns2:oMath>
        <ns2:r>
          <ns2:t>R</ns2:t>
        </ns2:r>
        <ns2:r>
          <ns2:rPr>
            <ns2:sty ns2:val="p"/>
          </ns2:rPr>
          <ns2:t>,</ns2:t>
        </ns2:r>
        <ns2:r>
          <ns2:t>F</ns2:t>
        </ns2:r>
        <ns2:r>
          <ns2:rPr>
            <ns2:sty ns2:val="p"/>
          </ns2:rPr>
          <ns2:t>,</ns2:t>
        </ns2:r>
        <ns2:r>
          <ns2:t>E</ns2:t>
        </ns2:r>
      </ns2:oMath>
      <w:r>
        <w:rPr>
          <w:rFonts w:hint="eastAsia"/>
        </w:rPr>
        <w:t xml:space="preserve">、GPU预处理语义及下游结构保持不变时，</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只改变主机暂存策略，是否产生额外平均响应，以及P95/P99是否呈现一致改善？RQ1由4.2节回答，RQ2由4.3和4.4节回答。</w:t>
      </w:r>
    </w:p>
    <w:p>
      <w:pPr>
        <w:pStyle w:val="HFUTHeading1"/>
      </w:pPr>
      <w:r>
        <w:t xml:space="preserve">2 </w:t>
      </w:r>
      <w:r>
        <w:rPr>
          <w:rFonts w:hint="eastAsia"/>
        </w:rPr>
        <w:t xml:space="preserve">受控输入数据路径重构</w:t>
      </w:r>
    </w:p>
    <w:p>
      <w:pPr>
        <w:pStyle w:val="HFUTHeading2"/>
      </w:pPr>
      <w:r>
        <w:t xml:space="preserve">2.1 </w:t>
      </w:r>
      <w:r>
        <w:rPr>
          <w:rFonts w:hint="eastAsia"/>
        </w:rPr>
        <w:t xml:space="preserve">V0基线路径</w:t>
      </w:r>
    </w:p>
    <w:p>
      <w:pPr>
        <w:pStyle w:val="HFUTBody"/>
        <w:spacing w:before="0" w:after="0" w:line="360" w:lineRule="atLeast"/>
      </w:pPr>
      <w:r>
        <w:rPr>
          <w:rFonts w:hint="eastAsia"/>
        </w:rPr>
        <w:t xml:space="preserve">V0实现</w:t>
      </w:r>
      <ns2:oMath>
        <ns2:sSub>
          <ns2:e>
            <ns2:r>
              <ns2:t>P</ns2:t>
            </ns2:r>
          </ns2:e>
          <ns2:sub>
            <ns2:r>
              <ns2:t>0</ns2:t>
            </ns2:r>
          </ns2:sub>
        </ns2:sSub>
      </ns2:oMath>
      <w:r>
        <w:rPr>
          <w:rFonts w:hint="eastAsia"/>
        </w:rPr>
        <w:t xml:space="preserve">的主机张量路径。数据源解码为BGR图像后，CPU/OpenCV采用</w:t>
      </w:r>
      <w:r>
        <w:rPr>
          <w:rStyle w:val="VerbatimChar"/>
        </w:rPr>
        <w:t xml:space="preserve">INTER_LINEAR</w:t>
      </w:r>
      <w:r>
        <w:rPr>
          <w:rFonts w:hint="eastAsia"/>
        </w:rPr>
        <w:t xml:space="preserve">完成640×640</w:t>
      </w:r>
      <w:r>
        <w:t xml:space="preserve"> </w:t>
      </w:r>
      <w:r>
        <w:rPr>
          <w:rFonts w:hint="eastAsia"/>
        </w:rPr>
        <w:t xml:space="preserve">letterbox与常数114填充，并完成BGR→RGB、HWC→CHW及</w:t>
      </w:r>
      <ns2:oMath>
        <ns2:r>
          <ns2:t>1</ns2:t>
        </ns2:r>
        <ns2:r>
          <ns2:rPr>
            <ns2:sty ns2:val="p"/>
          </ns2:rPr>
          <ns2:t>/</ns2:t>
        </ns2:r>
        <ns2:r>
          <ns2:t>255</ns2:t>
        </ns2:r>
      </ns2:oMath>
      <w:r>
        <w:rPr>
          <w:rFonts w:hint="eastAsia"/>
        </w:rPr>
        <w:t xml:space="preserve">归一化，在主机侧形成</w:t>
      </w:r>
      <w:r>
        <w:rPr>
          <w:rStyle w:val="VerbatimChar"/>
        </w:rPr>
        <w:t xml:space="preserve">1×3×640×640</w:t>
      </w:r>
      <w:r>
        <w:t xml:space="preserve"> </w:t>
      </w:r>
      <w:r>
        <w:t xml:space="preserve">FP32 </w:t>
      </w:r>
      <w:r>
        <w:rPr>
          <w:rFonts w:hint="eastAsia"/>
        </w:rPr>
        <w:t xml:space="preserve">NCHW张量后执行FP32</w:t>
      </w:r>
      <w:r>
        <w:t xml:space="preserve"> </w:t>
      </w:r>
      <w:r>
        <w:rPr>
          <w:rFonts w:hint="eastAsia"/>
        </w:rPr>
        <w:t xml:space="preserve">H2D复制。其科学语义是“主机形成模型输入、张量表示跨越边界”，具体操作仅用于复现该路径实例。</w:t>
      </w:r>
    </w:p>
    <w:p>
      <w:pPr>
        <w:pStyle w:val="HFUTHeading2"/>
      </w:pPr>
      <w:r>
        <w:t xml:space="preserve">2.2 </w:t>
      </w:r>
      <w:r>
        <w:rPr>
          <w:rFonts w:hint="eastAsia"/>
        </w:rPr>
        <w:t xml:space="preserve">V2R路径级重构</w:t>
      </w:r>
    </w:p>
    <w:p>
      <w:pPr>
        <w:pStyle w:val="HFUTBody"/>
        <w:spacing w:before="0" w:after="0" w:line="360" w:lineRule="atLeast"/>
      </w:pPr>
      <w:r>
        <w:rPr>
          <w:rFonts w:hint="eastAsia"/>
        </w:rPr>
        <w:t xml:space="preserve">V2R实现</w:t>
      </w:r>
      <ns2:oMath>
        <ns2:sSub>
          <ns2:e>
            <ns2:r>
              <ns2:t>P</ns2:t>
            </ns2:r>
          </ns2:e>
          <ns2:sub>
            <ns2:r>
              <ns2:t>2</ns2:t>
            </ns2:r>
          </ns2:sub>
        </ns2:sSub>
      </ns2:oMath>
      <w:r>
        <w:rPr>
          <w:rFonts w:hint="eastAsia"/>
        </w:rPr>
        <w:t xml:space="preserve">，将跨边界表示由FP32</w:t>
      </w:r>
      <w:r>
        <w:t xml:space="preserve"> </w:t>
      </w:r>
      <w:r>
        <w:rPr>
          <w:rFonts w:hint="eastAsia"/>
        </w:rPr>
        <w:t xml:space="preserve">NCHW张量改为packed</w:t>
      </w:r>
      <w:r>
        <w:t xml:space="preserve"> BGR </w:t>
      </w:r>
      <w:r>
        <w:rPr>
          <w:rFonts w:hint="eastAsia"/>
        </w:rPr>
        <w:t xml:space="preserve">uint8，并将输入张量形成位置由主机移至设备。冻结工作负载的源图像为200×200，因此主机侧只额外形成连续的600</w:t>
      </w:r>
      <w:r>
        <w:t xml:space="preserve"> </w:t>
      </w:r>
      <w:r>
        <w:rPr>
          <w:rFonts w:hint="eastAsia"/>
        </w:rPr>
        <w:t xml:space="preserve">B行宽packed</w:t>
      </w:r>
      <w:r>
        <w:t xml:space="preserve"> BGR </w:t>
      </w:r>
      <w:r>
        <w:rPr>
          <w:rFonts w:hint="eastAsia"/>
        </w:rPr>
        <w:t xml:space="preserve">pageable暂存；该表示经二维H2D复制后，由设备侧融合预处理直接写入TensorRT管理的FP32</w:t>
      </w:r>
      <w:r>
        <w:t xml:space="preserve"> </w:t>
      </w:r>
      <w:r>
        <w:rPr>
          <w:rFonts w:hint="eastAsia"/>
        </w:rPr>
        <w:t xml:space="preserve">NCHW输入。实现中二维复制映射为</w:t>
      </w:r>
      <w:r>
        <w:rPr>
          <w:rStyle w:val="VerbatimChar"/>
        </w:rPr>
        <w:t xml:space="preserve">cudaMemcpy2DAsync</w:t>
      </w:r>
      <w:r>
        <w:rPr>
          <w:rFonts w:hint="eastAsia"/>
        </w:rPr>
        <w:t xml:space="preserve">，融合处理完成resize、padding、BGR→RGB、归一化与布局变换。</w:t>
      </w:r>
    </w:p>
    <w:p>
      <w:pPr>
        <w:pStyle w:val="HFUTBody"/>
      </w:pPr>
      <w:r>
        <w:t xml:space="preserve">GPU </w:t>
      </w:r>
      <w:r>
        <w:rPr>
          <w:rFonts w:hint="eastAsia"/>
        </w:rPr>
        <w:t xml:space="preserve">resize按V0的OpenCV</w:t>
      </w:r>
      <w:r>
        <w:t xml:space="preserve"> 4.5.4</w:t>
      </w:r>
      <w:r>
        <w:t xml:space="preserve"> </w:t>
      </w:r>
      <w:r>
        <w:rPr>
          <w:rStyle w:val="VerbatimChar"/>
        </w:rPr>
        <w:t xml:space="preserve">INTER_LINEAR</w:t>
      </w:r>
      <w:r>
        <w:rPr>
          <w:rFonts w:hint="eastAsia"/>
        </w:rPr>
        <w:t xml:space="preserve">语义建立受控对齐，letterbox几何和填充值保持一致。该约束服务于三条路径的输入语义一致性，不构成通用CUDA/OpenCV等价性声明。相关设备缓冲区和执行上下文在进程内复用，以避免逐帧重复分配或创建。</w:t>
      </w:r>
    </w:p>
    <w:p>
      <w:pPr>
        <w:pStyle w:val="HFUTHeading2"/>
      </w:pPr>
      <w:r>
        <w:t xml:space="preserve">2.3 </w:t>
      </w:r>
      <w:r>
        <w:rPr>
          <w:rFonts w:hint="eastAsia"/>
        </w:rPr>
        <w:t xml:space="preserve">V3R暂存策略细化</w:t>
      </w:r>
    </w:p>
    <w:p>
      <w:pPr>
        <w:pStyle w:val="HFUTBody"/>
        <w:spacing w:before="0" w:after="0" w:line="360" w:lineRule="atLeast"/>
      </w:pPr>
      <w:r>
        <w:rPr>
          <w:rFonts w:hint="eastAsia"/>
        </w:rPr>
        <w:t xml:space="preserve">V3R实现</w:t>
      </w:r>
      <ns2:oMath>
        <ns2:sSub>
          <ns2:e>
            <ns2:r>
              <ns2:t>P</ns2:t>
            </ns2:r>
          </ns2:e>
          <ns2:sub>
            <ns2:r>
              <ns2:t>3</ns2:t>
            </ns2:r>
          </ns2:sub>
        </ns2:sSub>
      </ns2:oMath>
      <w:r>
        <w:rPr>
          <w:rFonts w:hint="eastAsia"/>
        </w:rPr>
        <w:t xml:space="preserve">，在V2R基础上只将额外打包原始图像的主机暂存策略由pageable改为pinned。跨边界表示、设备侧张量形成、GPU融合预处理、二维复制拓扑、CUDA</w:t>
      </w:r>
      <w:r>
        <w:t xml:space="preserve"> </w:t>
      </w:r>
      <w:r>
        <w:rPr>
          <w:rFonts w:hint="eastAsia"/>
        </w:rPr>
        <w:t xml:space="preserve">stream、Engine和全部下游处理均保持不变。实现上使用</w:t>
      </w:r>
      <w:r>
        <w:rPr>
          <w:rStyle w:val="VerbatimChar"/>
        </w:rPr>
        <w:t xml:space="preserve">cudaHostAlloc</w:t>
      </w:r>
      <w:r>
        <w:rPr>
          <w:rFonts w:hint="eastAsia"/>
        </w:rPr>
        <w:t xml:space="preserve">建立跨帧复用的pinned暂存；其分配方式只是</w:t>
      </w:r>
      <ns2:oMath>
        <ns2:r>
          <ns2:t>M</ns2:t>
        </ns2:r>
      </ns2:oMath>
      <w:r>
        <w:rPr>
          <w:rFonts w:hint="eastAsia"/>
        </w:rPr>
        <w:t xml:space="preserve">的实现映射，不改变复制内容和每帧有效几何。</w:t>
      </w:r>
    </w:p>
    <w:p>
      <w:pPr>
        <w:pStyle w:val="HFUTHeading2"/>
      </w:pPr>
      <w:r>
        <w:t xml:space="preserve">2.4 </w:t>
      </w:r>
      <w:r>
        <w:rPr>
          <w:rFonts w:hint="eastAsia"/>
        </w:rPr>
        <w:t xml:space="preserve">共同控制与正确性约束</w:t>
      </w:r>
    </w:p>
    <w:p>
      <w:pPr>
        <w:pStyle w:val="HFUTBody"/>
      </w:pPr>
      <w:r>
        <w:rPr>
          <w:rFonts w:hint="eastAsia"/>
        </w:rPr>
        <w:t xml:space="preserve">三条路径共用同一Engine、CUDA</w:t>
      </w:r>
      <w:r>
        <w:t xml:space="preserve"> </w:t>
      </w:r>
      <w:r>
        <w:rPr>
          <w:rFonts w:hint="eastAsia"/>
        </w:rPr>
        <w:t xml:space="preserve">stream语义、推理同步、输出回传以及CPU检测框解码、置信度筛选和NMS，执行拓扑均为单帧顺序。后处理配置固定为置信度阈值0.25、IoU阈值0.45、</w:t>
      </w:r>
      <w:r>
        <w:rPr>
          <w:rStyle w:val="VerbatimChar"/>
        </w:rPr>
        <w:t xml:space="preserve">max_nms=30000</w:t>
      </w:r>
      <w:r>
        <w:t xml:space="preserve">、</w:t>
      </w:r>
      <w:r>
        <w:rPr>
          <w:rStyle w:val="VerbatimChar"/>
        </w:rPr>
        <w:t xml:space="preserve">max_det=300</w:t>
      </w:r>
      <w:r>
        <w:rPr>
          <w:rFonts w:hint="eastAsia"/>
        </w:rPr>
        <w:t xml:space="preserve">和class-aware单标签语义。V2R通过预定义任务级核验；V3R由相同评价程序对冻结预测结果确定性重算，并通过输入顺序、处理数量、丢帧和EOS检查确保执行完整性及路径间可比性。</w:t>
      </w:r>
    </w:p>
    <w:p>
      <w:pPr>
        <w:pStyle w:val="HFUTHeading1"/>
      </w:pPr>
      <w:r>
        <w:t xml:space="preserve">3 </w:t>
      </w:r>
      <w:r>
        <w:rPr>
          <w:rFonts w:hint="eastAsia"/>
        </w:rPr>
        <w:t xml:space="preserve">实验协议</w:t>
      </w:r>
    </w:p>
    <w:p>
      <w:pPr>
        <w:pStyle w:val="HFUTHeading2"/>
      </w:pPr>
      <w:r>
        <w:t xml:space="preserve">3.1 </w:t>
      </w:r>
      <w:r>
        <w:rPr>
          <w:rFonts w:hint="eastAsia"/>
        </w:rPr>
        <w:t xml:space="preserve">实验平台与模型配置</w:t>
      </w:r>
    </w:p>
    <w:p>
      <w:pPr>
        <w:pStyle w:val="HFUTBody"/>
      </w:pPr>
      <w:r>
        <w:rPr>
          <w:rFonts w:hint="eastAsia"/>
        </w:rPr>
        <w:t xml:space="preserve">平台、固定推理对象和统一协议见表2。软件版本、功耗模式和工作负载是复现实验的条件，不参与路径描述符定义。</w:t>
      </w:r>
    </w:p>
    <w:p>
      <w:pPr>
        <w:pStyle w:val="HFUTTableCaption"/>
        <w:jc w:val="center"/>
      </w:pPr>
      <w:r>
        <w:rPr>
          <w:rFonts w:hint="eastAsia"/>
          <w:b/>
          <w:bCs/>
        </w:rPr>
        <w:t xml:space="preserve">表2</w:t>
      </w:r>
      <w:r>
        <w:rPr>
          <w:b/>
          <w:bCs/>
        </w:rPr>
        <w:t xml:space="preserve">　</w:t>
      </w:r>
      <w:r>
        <w:rPr>
          <w:rFonts w:hint="eastAsia"/>
          <w:b/>
          <w:bCs/>
        </w:rPr>
        <w:t xml:space="preserve">平台、模型与统一基准协议。</w:t>
      </w:r>
    </w:p>
    <w:tbl>
      <w:tblPr>
        <w:tblStyle w:val="HFUTThreeLineTable"/>
        <w:tblW w:type="dxa" w:w="4400"/>
        <w:tblBorders>
          <w:top w:val="single" w:sz="8" w:space="0" w:color="000000"/>
          <w:left w:val="nil"/>
          <w:bottom w:val="single" w:sz="8" w:space="0" w:color="000000"/>
          <w:right w:val="nil"/>
          <w:insideH w:val="nil"/>
          <w:insideV w:val="nil"/>
        </w:tblBorders>
        <w:tblLayout w:type="fixed"/>
        <w:tblLook w:firstRow="1" w:lastRow="0" w:firstColumn="0" w:lastColumn="0" w:noHBand="0" w:noVBand="0" w:val="0020"/>
      </w:tblPr>
      <w:tblGrid>
        <w:gridCol w:w="1500"/>
        <w:gridCol w:w="2900"/>
      </w:tblGrid>
      <w:tr>
        <w:trPr>
          <w:tblHeader w:val="on"/>
          <w:cantSplit/>
        </w:trPr>
        <w:tc>
          <w:tcPr>
            <w:tcW w:w="15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项目</w:t>
            </w:r>
          </w:p>
        </w:tc>
        <w:tc>
          <w:tcPr>
            <w:tcW w:w="2900" w:type="dxa"/>
            <w:tcBorders>
              <w:top w:val="single" w:sz="8" w:space="0" w:color="000000"/>
              <w:left w:val="nil"/>
              <w:bottom w:val="single" w:sz="4" w:space="0" w:color="000000"/>
              <w:right w:val="nil"/>
            </w:tcBorders>
          </w:tcPr>
          <w:p>
            <w:pPr>
              <w:pStyle w:val="HFUTTableContent"/>
              <w:ind w:left="0" w:right="0" w:firstLine="0"/>
              <w:jc w:val="center"/>
            </w:pPr>
            <w:r>
              <w:rPr>
                <w:rFonts w:hint="eastAsia"/>
              </w:rPr>
              <w:t xml:space="preserve">设置</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平台</w:t>
            </w:r>
          </w:p>
        </w:tc>
        <w:tc>
          <w:tcPr>
            <w:tcW w:w="2900" w:type="dxa"/>
            <w:tcBorders>
              <w:top w:val="nil"/>
              <w:left w:val="nil"/>
              <w:bottom w:val="nil"/>
              <w:right w:val="nil"/>
            </w:tcBorders>
          </w:tcPr>
          <w:p>
            <w:pPr>
              <w:pStyle w:val="HFUTTableContent"/>
              <w:ind w:left="0" w:right="0" w:firstLine="0"/>
              <w:jc w:val="left"/>
            </w:pPr>
            <w:r>
              <w:t xml:space="preserve">NVIDIA Jetson Orin Nano Engineering Reference Developer Kit Super</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软件栈</w:t>
            </w:r>
          </w:p>
        </w:tc>
        <w:tc>
          <w:tcPr>
            <w:tcW w:w="2900" w:type="dxa"/>
            <w:tcBorders>
              <w:top w:val="nil"/>
              <w:left w:val="nil"/>
              <w:bottom w:val="nil"/>
              <w:right w:val="nil"/>
            </w:tcBorders>
          </w:tcPr>
          <w:p>
            <w:pPr>
              <w:pStyle w:val="HFUTTableContent"/>
              <w:ind w:left="0" w:right="0" w:firstLine="0"/>
              <w:jc w:val="left"/>
            </w:pPr>
            <w:r>
              <w:t xml:space="preserve">L4T </w:t>
            </w:r>
            <w:r>
              <w:rPr>
                <w:rFonts w:hint="eastAsia"/>
              </w:rPr>
              <w:t xml:space="preserve">R36.5；CUDA</w:t>
            </w:r>
            <w:r>
              <w:t xml:space="preserve"> </w:t>
            </w:r>
            <w:r>
              <w:rPr>
                <w:rFonts w:hint="eastAsia"/>
              </w:rPr>
              <w:t xml:space="preserve">12.6；TensorRT</w:t>
            </w:r>
            <w:r>
              <w:t xml:space="preserve"> </w:t>
            </w:r>
            <w:r>
              <w:rPr>
                <w:rFonts w:hint="eastAsia"/>
              </w:rPr>
              <w:t xml:space="preserve">10.3；OpenCV</w:t>
            </w:r>
            <w:r>
              <w:t xml:space="preserve"> 4.5.4</w:t>
            </w:r>
          </w:p>
        </w:tc>
      </w:tr>
      <w:tr>
        <w:trPr>
          <w:cantSplit/>
        </w:trPr>
        <w:tc>
          <w:tcPr>
            <w:tcW w:w="1500" w:type="dxa"/>
            <w:tcBorders>
              <w:top w:val="nil"/>
              <w:left w:val="nil"/>
              <w:bottom w:val="nil"/>
              <w:right w:val="nil"/>
            </w:tcBorders>
          </w:tcPr>
          <w:p>
            <w:pPr>
              <w:pStyle w:val="HFUTTableContent"/>
              <w:ind w:left="0" w:right="0" w:firstLine="0"/>
              <w:jc w:val="left"/>
            </w:pPr>
            <w:r>
              <w:t xml:space="preserve">Detector / </w:t>
            </w:r>
            <w:r>
              <w:rPr>
                <w:rFonts w:hint="eastAsia"/>
              </w:rPr>
              <w:t xml:space="preserve">输入</w:t>
            </w:r>
          </w:p>
        </w:tc>
        <w:tc>
          <w:tcPr>
            <w:tcW w:w="2900" w:type="dxa"/>
            <w:tcBorders>
              <w:top w:val="nil"/>
              <w:left w:val="nil"/>
              <w:bottom w:val="nil"/>
              <w:right w:val="nil"/>
            </w:tcBorders>
          </w:tcPr>
          <w:p>
            <w:pPr>
              <w:pStyle w:val="HFUTTableContent"/>
              <w:ind w:left="0" w:right="0" w:firstLine="0"/>
              <w:jc w:val="left"/>
            </w:pPr>
            <w:r>
              <w:rPr>
                <w:rFonts w:hint="eastAsia"/>
              </w:rPr>
              <w:t xml:space="preserve">YOLOv8n；640</w:t>
            </w:r>
            <w:r>
              <w:t xml:space="preserve"> × </w:t>
            </w:r>
            <w:r>
              <w:rPr>
                <w:rFonts w:hint="eastAsia"/>
              </w:rPr>
              <w:t xml:space="preserve">640；batch</w:t>
            </w:r>
            <w:r>
              <w:t xml:space="preserve"> 1</w:t>
            </w:r>
          </w:p>
        </w:tc>
      </w:tr>
      <w:tr>
        <w:trPr>
          <w:cantSplit/>
        </w:trPr>
        <w:tc>
          <w:tcPr>
            <w:tcW w:w="1500" w:type="dxa"/>
            <w:tcBorders>
              <w:top w:val="nil"/>
              <w:left w:val="nil"/>
              <w:bottom w:val="nil"/>
              <w:right w:val="nil"/>
            </w:tcBorders>
          </w:tcPr>
          <w:p>
            <w:pPr>
              <w:pStyle w:val="HFUTTableContent"/>
              <w:ind w:left="0" w:right="0" w:firstLine="0"/>
              <w:jc w:val="left"/>
            </w:pPr>
            <w:r>
              <w:t xml:space="preserve">Engine</w:t>
            </w:r>
          </w:p>
        </w:tc>
        <w:tc>
          <w:tcPr>
            <w:tcW w:w="2900" w:type="dxa"/>
            <w:tcBorders>
              <w:top w:val="nil"/>
              <w:left w:val="nil"/>
              <w:bottom w:val="nil"/>
              <w:right w:val="nil"/>
            </w:tcBorders>
          </w:tcPr>
          <w:p>
            <w:pPr>
              <w:pStyle w:val="HFUTTableContent"/>
              <w:ind w:left="0" w:right="0" w:firstLine="0"/>
              <w:jc w:val="left"/>
            </w:pPr>
            <w:r>
              <w:t xml:space="preserve">TensorRT </w:t>
            </w:r>
            <w:r>
              <w:rPr>
                <w:rFonts w:hint="eastAsia"/>
              </w:rPr>
              <w:t xml:space="preserve">INT8混合精度（INT8</w:t>
            </w:r>
            <w:r>
              <w:t xml:space="preserve"> + FP16 </w:t>
            </w:r>
            <w:r>
              <w:rPr>
                <w:rFonts w:hint="eastAsia"/>
              </w:rPr>
              <w:t xml:space="preserve">fallback）；Engine输入张量：FP32</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校准</w:t>
            </w:r>
          </w:p>
        </w:tc>
        <w:tc>
          <w:tcPr>
            <w:tcW w:w="2900" w:type="dxa"/>
            <w:tcBorders>
              <w:top w:val="nil"/>
              <w:left w:val="nil"/>
              <w:bottom w:val="nil"/>
              <w:right w:val="nil"/>
            </w:tcBorders>
          </w:tcPr>
          <w:p>
            <w:pPr>
              <w:pStyle w:val="HFUTTableContent"/>
              <w:ind w:left="0" w:right="0" w:firstLine="0"/>
              <w:jc w:val="left"/>
            </w:pPr>
            <w:r>
              <w:rPr>
                <w:rFonts w:hint="eastAsia"/>
              </w:rPr>
              <w:t xml:space="preserve">1260张去重训练图像；IInt8EntropyCalibrator2；batch</w:t>
            </w:r>
            <w:r>
              <w:t xml:space="preserve"> </w:t>
            </w:r>
            <w:r>
              <w:rPr>
                <w:rFonts w:hint="eastAsia"/>
              </w:rPr>
              <w:t xml:space="preserve">1；排除test</w:t>
            </w:r>
            <w:r>
              <w:t xml:space="preserve"> split</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工作负载</w:t>
            </w:r>
          </w:p>
        </w:tc>
        <w:tc>
          <w:tcPr>
            <w:tcW w:w="2900" w:type="dxa"/>
            <w:tcBorders>
              <w:top w:val="nil"/>
              <w:left w:val="nil"/>
              <w:bottom w:val="nil"/>
              <w:right w:val="nil"/>
            </w:tcBorders>
          </w:tcPr>
          <w:p>
            <w:pPr>
              <w:pStyle w:val="HFUTTableContent"/>
              <w:ind w:left="0" w:right="0" w:firstLine="0"/>
              <w:jc w:val="left"/>
            </w:pPr>
            <w:r>
              <w:rPr>
                <w:rFonts w:hint="eastAsia"/>
              </w:rPr>
              <w:t xml:space="preserve">固定180张test图像</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路径</w:t>
            </w:r>
          </w:p>
        </w:tc>
        <w:tc>
          <w:tcPr>
            <w:tcW w:w="2900" w:type="dxa"/>
            <w:tcBorders>
              <w:top w:val="nil"/>
              <w:left w:val="nil"/>
              <w:bottom w:val="nil"/>
              <w:right w:val="nil"/>
            </w:tcBorders>
          </w:tcPr>
          <w:p>
            <w:pPr>
              <w:pStyle w:val="HFUTTableContent"/>
              <w:ind w:left="0" w:right="0" w:firstLine="0"/>
              <w:jc w:val="left"/>
            </w:pPr>
            <w:r>
              <w:t xml:space="preserve">V0 / V2R / </w:t>
            </w:r>
            <w:r>
              <w:rPr>
                <w:rFonts w:hint="eastAsia"/>
              </w:rPr>
              <w:t xml:space="preserve">V3R；单帧顺序执行</w:t>
            </w:r>
          </w:p>
        </w:tc>
      </w:tr>
      <w:tr>
        <w:trPr>
          <w:cantSplit/>
        </w:trPr>
        <w:tc>
          <w:tcPr>
            <w:tcW w:w="1500" w:type="dxa"/>
            <w:tcBorders>
              <w:top w:val="nil"/>
              <w:left w:val="nil"/>
              <w:bottom w:val="nil"/>
              <w:right w:val="nil"/>
            </w:tcBorders>
          </w:tcPr>
          <w:p>
            <w:pPr>
              <w:pStyle w:val="HFUTTableContent"/>
              <w:ind w:left="0" w:right="0" w:firstLine="0"/>
              <w:jc w:val="left"/>
            </w:pPr>
            <w:r>
              <w:rPr>
                <w:rFonts w:hint="eastAsia"/>
              </w:rPr>
              <w:t xml:space="preserve">计时协议</w:t>
            </w:r>
          </w:p>
        </w:tc>
        <w:tc>
          <w:tcPr>
            <w:tcW w:w="2900" w:type="dxa"/>
            <w:tcBorders>
              <w:top w:val="nil"/>
              <w:left w:val="nil"/>
              <w:bottom w:val="nil"/>
              <w:right w:val="nil"/>
            </w:tcBorders>
          </w:tcPr>
          <w:p>
            <w:pPr>
              <w:pStyle w:val="HFUTTableContent"/>
              <w:ind w:left="0" w:right="0" w:firstLine="0"/>
              <w:jc w:val="left"/>
            </w:pPr>
            <w:r>
              <w:rPr>
                <w:rFonts w:hint="eastAsia"/>
              </w:rPr>
              <w:t xml:space="preserve">60帧预热；每进程1080帧；每路径5个独立进程</w:t>
            </w:r>
          </w:p>
        </w:tc>
      </w:tr>
      <w:tr>
        <w:trPr>
          <w:cantSplit/>
        </w:trPr>
        <w:tc>
          <w:tcPr>
            <w:tcW w:w="1500" w:type="dxa"/>
            <w:tcBorders>
              <w:top w:val="nil"/>
              <w:left w:val="nil"/>
              <w:bottom w:val="single" w:sz="8" w:space="0" w:color="000000"/>
              <w:right w:val="nil"/>
            </w:tcBorders>
          </w:tcPr>
          <w:p>
            <w:pPr>
              <w:pStyle w:val="HFUTTableContent"/>
              <w:ind w:left="0" w:right="0" w:firstLine="0"/>
              <w:jc w:val="left"/>
            </w:pPr>
            <w:r>
              <w:rPr>
                <w:rFonts w:hint="eastAsia"/>
              </w:rPr>
              <w:t xml:space="preserve">正式计时</w:t>
            </w:r>
          </w:p>
        </w:tc>
        <w:tc>
          <w:tcPr>
            <w:tcW w:w="2900" w:type="dxa"/>
            <w:tcBorders>
              <w:top w:val="nil"/>
              <w:left w:val="nil"/>
              <w:bottom w:val="single" w:sz="8" w:space="0" w:color="000000"/>
              <w:right w:val="nil"/>
            </w:tcBorders>
          </w:tcPr>
          <w:p>
            <w:pPr>
              <w:pStyle w:val="HFUTTableContent"/>
              <w:ind w:left="0" w:right="0" w:firstLine="0"/>
              <w:jc w:val="left"/>
            </w:pPr>
            <w:r>
              <w:rPr>
                <w:rFonts w:hint="eastAsia"/>
              </w:rPr>
              <w:t xml:space="preserve">关闭diagnostics与profiling</w:t>
            </w:r>
          </w:p>
        </w:tc>
      </w:tr>
    </w:tbl>
    <w:p>
      <w:pPr>
        <w:pStyle w:val="HFUTBody"/>
      </w:pPr>
      <w:r>
        <w:rPr>
          <w:rFonts w:hint="eastAsia"/>
        </w:rPr>
        <w:t xml:space="preserve">正式运行采用</w:t>
      </w:r>
      <w:r>
        <w:rPr>
          <w:rStyle w:val="VerbatimChar"/>
        </w:rPr>
        <w:t xml:space="preserve">MAXN_SUPER</w:t>
      </w:r>
      <w:r>
        <w:rPr>
          <w:rFonts w:hint="eastAsia"/>
        </w:rPr>
        <w:t xml:space="preserve">电源模式（</w:t>
      </w:r>
      <w:r>
        <w:rPr>
          <w:rStyle w:val="VerbatimChar"/>
        </w:rPr>
        <w:t xml:space="preserve">nvpmodel</w:t>
      </w:r>
      <w:r>
        <w:t xml:space="preserve"> </w:t>
      </w:r>
      <w:r>
        <w:t xml:space="preserve">mode </w:t>
      </w:r>
      <w:r>
        <w:rPr>
          <w:rFonts w:hint="eastAsia"/>
        </w:rPr>
        <w:t xml:space="preserve">2），未调用</w:t>
      </w:r>
      <w:r>
        <w:rPr>
          <w:rStyle w:val="VerbatimChar"/>
        </w:rPr>
        <w:t xml:space="preserve">jetson_clocks</w:t>
      </w:r>
      <w:r>
        <w:rPr>
          <w:rFonts w:hint="eastAsia"/>
        </w:rPr>
        <w:t xml:space="preserve">，频率未独立归档。运行前温度约46.8–47.1</w:t>
      </w:r>
      <w:r>
        <w:t xml:space="preserve"> </w:t>
      </w:r>
      <w:r>
        <w:rPr>
          <w:rFonts w:hint="eastAsia"/>
        </w:rPr>
        <w:t xml:space="preserve">℃，运行后约48.7–49.6</w:t>
      </w:r>
      <w:r>
        <w:t xml:space="preserve"> </w:t>
      </w:r>
      <w:r>
        <w:rPr>
          <w:rFonts w:hint="eastAsia"/>
        </w:rPr>
        <w:t xml:space="preserve">℃；这些非连续观察不用于判断持续温度、运行时降频或功耗状态。</w:t>
      </w:r>
    </w:p>
    <w:p>
      <w:pPr>
        <w:pStyle w:val="HFUTHeading2"/>
      </w:pPr>
      <w:r>
        <w:t xml:space="preserve">3.2 </w:t>
      </w:r>
      <w:r>
        <w:rPr>
          <w:rFonts w:hint="eastAsia"/>
        </w:rPr>
        <w:t xml:space="preserve">运行与正确性协议</w:t>
      </w:r>
    </w:p>
    <w:p>
      <w:pPr>
        <w:pStyle w:val="HFUTBody"/>
      </w:pPr>
      <w:r>
        <w:rPr>
          <w:rFonts w:hint="eastAsia"/>
        </w:rPr>
        <w:t xml:space="preserve">性能实验使用同一manifest限定的split-v2固定180幅测试图像及顺序。每个独立进程预热60帧，同步并重置测量窗口后测量1080帧；每条路径执行5个独立进程，形成5400个逐帧延迟样本，三条路径共15个进程和16200个样本，路径间不构造运行配对。</w:t>
      </w:r>
    </w:p>
    <w:p>
      <w:pPr>
        <w:pStyle w:val="HFUTBody"/>
      </w:pPr>
      <w:r>
        <w:rPr>
          <w:rFonts w:hint="eastAsia"/>
        </w:rPr>
        <w:t xml:space="preserve">15个独立进程按预先设定的交错顺序执行。全部进程均处理1080个测量帧、丢帧为0，且输入顺序与EOS检查通过，确保执行完整性和比较条件一致；逐帧diagnostics与profiling保持关闭。</w:t>
      </w:r>
    </w:p>
    <w:p>
      <w:pPr>
        <w:pStyle w:val="HFUTHeading2"/>
      </w:pPr>
      <w:r>
        <w:t xml:space="preserve">3.3 </w:t>
      </w:r>
      <w:r>
        <w:rPr>
          <w:rFonts w:hint="eastAsia"/>
        </w:rPr>
        <w:t xml:space="preserve">E2E、FPS与尾延迟指标</w:t>
      </w:r>
    </w:p>
    <w:p>
      <w:pPr>
        <w:pStyle w:val="HFUTBody"/>
        <w:spacing w:before="0" w:after="0" w:line="360" w:lineRule="atLeast"/>
      </w:pPr>
      <w:r>
        <w:rPr>
          <w:rFonts w:hint="eastAsia"/>
        </w:rPr>
        <w:t xml:space="preserve">正确性采用冻结测试集和统一评价器，报告Precision、Recall、mAP50、mAP50-95及类别级AP50/Recall。性能指标沿用式（3）的source-to-pre-sink边界；第</w:t>
      </w:r>
      <ns2:oMath>
        <ns2:r>
          <ns2:t>i</ns2:t>
        </ns2:r>
      </ns2:oMath>
      <w:r>
        <w:rPr>
          <w:rFonts w:hint="eastAsia"/>
        </w:rPr>
        <w:t xml:space="preserve">个独立进程的FPS按</w:t>
      </w:r>
      <ns2:oMath>
        <ns2:sSub>
          <ns2:e>
            <ns2:r>
              <ns2:t>f</ns2:t>
            </ns2:r>
          </ns2:e>
          <ns2:sub>
            <ns2:r>
              <ns2:t>i</ns2:t>
            </ns2:r>
          </ns2:sub>
        </ns2:sSub>
        <ns2:r>
          <ns2:rPr>
            <ns2:sty ns2:val="p"/>
          </ns2:rPr>
          <ns2:t>=</ns2:t>
        </ns2:r>
        <ns2:r>
          <ns2:t>N</ns2:t>
        </ns2:r>
        <ns2:r>
          <ns2:rPr>
            <ns2:sty ns2:val="p"/>
          </ns2:rPr>
          <ns2:t>/</ns2:t>
        </ns2:r>
        <ns2:sSub>
          <ns2:e>
            <ns2:r>
              <ns2:t>T</ns2:t>
            </ns2:r>
          </ns2:e>
          <ns2:sub>
            <ns2:r>
              <ns2:t>i</ns2:t>
            </ns2:r>
          </ns2:sub>
        </ns2:sSub>
      </ns2:oMath>
      <w:r>
        <w:rPr>
          <w:rFonts w:hint="eastAsia"/>
        </w:rPr>
        <w:t xml:space="preserve">计算，其中</w:t>
      </w:r>
      <ns2:oMath>
        <ns2:r>
          <ns2:t>N</ns2:t>
        </ns2:r>
        <ns2:r>
          <ns2:rPr>
            <ns2:sty ns2:val="p"/>
          </ns2:rPr>
          <ns2:t>=</ns2:t>
        </ns2:r>
        <ns2:r>
          <ns2:t>1080</ns2:t>
        </ns2:r>
      </ns2:oMath>
      <w:r>
        <w:rPr>
          <w:rFonts w:hint="eastAsia"/>
        </w:rPr>
        <w:t xml:space="preserve">，</w:t>
      </w:r>
      <ns2:oMath>
        <ns2:sSub>
          <ns2:e>
            <ns2:r>
              <ns2:t>T</ns2:t>
            </ns2:r>
          </ns2:e>
          <ns2:sub>
            <ns2:r>
              <ns2:t>i</ns2:t>
            </ns2:r>
          </ns2:sub>
        </ns2:sSub>
      </ns2:oMath>
      <w:r>
        <w:rPr>
          <w:rFonts w:hint="eastAsia"/>
        </w:rPr>
        <w:t xml:space="preserve">为完整测量阶段wall</w:t>
      </w:r>
      <w:r>
        <w:t xml:space="preserve"> </w:t>
      </w:r>
      <w:r>
        <w:rPr>
          <w:rFonts w:hint="eastAsia"/>
        </w:rPr>
        <w:t xml:space="preserve">time，故FPS不是逐帧延迟的倒数。每条路径报告5个进程级FPS的均值与样本标准差，并合并5400个逐帧样本计算平均延迟、P95和P99；百分位采用Type-7线性插值。所有统计均为描述性结果，不进行置信区间、假设检验或统计显著性推断。</w:t>
      </w:r>
    </w:p>
    <w:p>
      <w:pPr>
        <w:pStyle w:val="HFUTHeading1"/>
      </w:pPr>
      <w:r>
        <w:t xml:space="preserve">4 </w:t>
      </w:r>
      <w:r>
        <w:rPr>
          <w:rFonts w:hint="eastAsia"/>
        </w:rPr>
        <w:t xml:space="preserve">结果与分析</w:t>
      </w:r>
    </w:p>
    <w:p>
      <w:pPr>
        <w:pStyle w:val="HFUTHeading2"/>
      </w:pPr>
      <w:r>
        <w:t xml:space="preserve">4.1 </w:t>
      </w:r>
      <w:r>
        <w:rPr>
          <w:rFonts w:hint="eastAsia"/>
        </w:rPr>
        <w:t xml:space="preserve">正确性约束验证</w:t>
      </w:r>
    </w:p>
    <w:p>
      <w:pPr>
        <w:pStyle w:val="HFUTBody"/>
      </w:pPr>
      <w:r>
        <w:rPr>
          <w:rFonts w:hint="eastAsia"/>
        </w:rPr>
        <w:t xml:space="preserve">性能响应只有在任务行为保持时才具有路径比较意义。三条路径在冻结180幅测试图像和统一评价程序下获得相同的汇总任务指标，类别级最大AP50与Recall路径间差异均为0，结果见表3。V2R通过预定义任务级核验，V3R由同一评价器对冻结预测结果确定性重算；因此后续比较处于同一冻结任务行为约束内，但不扩展为逐位相等或未来输入上的普适结论。</w:t>
      </w:r>
    </w:p>
    <w:p>
      <w:pPr>
        <w:pStyle w:val="HFUTTableCaption"/>
        <w:jc w:val="center"/>
      </w:pPr>
      <w:r>
        <w:rPr>
          <w:rFonts w:hint="eastAsia"/>
          <w:b/>
          <w:bCs/>
        </w:rPr>
        <w:t xml:space="preserve">表3</w:t>
      </w:r>
      <w:r>
        <w:rPr>
          <w:b/>
          <w:bCs/>
        </w:rPr>
        <w:t xml:space="preserve">　</w:t>
      </w:r>
      <w:r>
        <w:rPr>
          <w:rFonts w:hint="eastAsia"/>
          <w:b/>
          <w:bCs/>
        </w:rPr>
        <w:t xml:space="preserve">三条路径在冻结工作负载和统一评价程序下的任务级正确性。</w:t>
      </w:r>
    </w:p>
    <w:tbl>
      <w:tblPr>
        <w:tblStyle w:val="HFUTThreeLineTable"/>
        <w:tblW w:type="dxa" w:w="4400"/>
        <w:tblBorders>
          <w:top w:val="single" w:sz="8" w:space="0" w:color="000000"/>
          <w:left w:val="nil"/>
          <w:bottom w:val="single" w:sz="8" w:space="0" w:color="000000"/>
          <w:right w:val="nil"/>
          <w:insideH w:val="nil"/>
          <w:insideV w:val="nil"/>
        </w:tblBorders>
        <w:tblLook w:firstRow="1" w:lastRow="0" w:firstColumn="0" w:lastColumn="0" w:noHBand="0" w:noVBand="0" w:val="0020"/>
      </w:tblPr>
      <w:tblGrid>
        <w:gridCol w:w="1000"/>
        <w:gridCol w:w="3400"/>
      </w:tblGrid>
      <w:tr>
        <w:trPr>
          <w:tblHeader w:val="on"/>
          <w:cantSplit/>
        </w:trPr>
        <w:tc>
          <w:tcPr>
            <w:tcW w:w="10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Path</w:t>
            </w:r>
          </w:p>
        </w:tc>
        <w:tc>
          <w:tcPr>
            <w:tcW w:w="3400" w:type="dxa"/>
            <w:tcBorders>
              <w:top w:val="single" w:sz="8" w:space="0" w:color="000000"/>
              <w:left w:val="nil"/>
              <w:bottom w:val="single" w:sz="4" w:space="0" w:color="000000"/>
              <w:right w:val="nil"/>
            </w:tcBorders>
            <w:tcMar>
              <w:top w:w="0" w:type="dxa"/>
              <w:left w:w="108" w:type="dxa"/>
              <w:bottom w:w="0" w:type="dxa"/>
              <w:right w:w="108" w:type="dxa"/>
            </w:tcMar>
          </w:tcPr>
          <w:p>
            <w:pPr>
              <w:pStyle w:val="HFUTTableContent"/>
              <w:jc w:val="center"/>
            </w:pPr>
            <w:r>
              <w:t xml:space="preserve">Precision / Recall / mAP50 / mAP50-95</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jc w:val="left"/>
            </w:pPr>
            <w:r>
              <w:t xml:space="preserve">V0</w:t>
            </w:r>
          </w:p>
        </w:tc>
        <w:tc>
          <w:tcPr>
            <w:tcW w:w="3400" w:type="dxa"/>
            <w:tcBorders>
              <w:top w:val="nil"/>
              <w:left w:val="nil"/>
              <w:bottom w:val="nil"/>
              <w:right w:val="nil"/>
            </w:tcBorders>
            <w:tcMar>
              <w:top w:w="0" w:type="dxa"/>
              <w:left w:w="108" w:type="dxa"/>
              <w:bottom w:w="0" w:type="dxa"/>
              <w:right w:w="108" w:type="dxa"/>
            </w:tcMar>
          </w:tcPr>
          <w:p>
            <w:pPr>
              <w:pStyle w:val="HFUTTableContent"/>
              <w:jc w:val="center"/>
            </w:pPr>
            <w:r>
              <w:t xml:space="preserve">0.6913 / 0.6991 / 0.6476 / 0.3523</w:t>
            </w:r>
          </w:p>
        </w:tc>
      </w:tr>
      <w:tr>
        <w:trPr>
          <w:cantSplit/>
        </w:trPr>
        <w:tc>
          <w:tcPr>
            <w:tcW w:w="1000" w:type="dxa"/>
            <w:tcBorders>
              <w:top w:val="nil"/>
              <w:left w:val="nil"/>
              <w:bottom w:val="nil"/>
              <w:right w:val="nil"/>
            </w:tcBorders>
            <w:tcMar>
              <w:top w:w="0" w:type="dxa"/>
              <w:left w:w="108" w:type="dxa"/>
              <w:bottom w:w="0" w:type="dxa"/>
              <w:right w:w="108" w:type="dxa"/>
            </w:tcMar>
          </w:tcPr>
          <w:p>
            <w:pPr>
              <w:pStyle w:val="HFUTTableContent"/>
              <w:jc w:val="left"/>
            </w:pPr>
            <w:r>
              <w:t xml:space="preserve">V2R</w:t>
            </w:r>
          </w:p>
        </w:tc>
        <w:tc>
          <w:tcPr>
            <w:tcW w:w="3400" w:type="dxa"/>
            <w:tcBorders>
              <w:top w:val="nil"/>
              <w:left w:val="nil"/>
              <w:bottom w:val="nil"/>
              <w:right w:val="nil"/>
            </w:tcBorders>
            <w:tcMar>
              <w:top w:w="0" w:type="dxa"/>
              <w:left w:w="108" w:type="dxa"/>
              <w:bottom w:w="0" w:type="dxa"/>
              <w:right w:w="108" w:type="dxa"/>
            </w:tcMar>
          </w:tcPr>
          <w:p>
            <w:pPr>
              <w:pStyle w:val="HFUTTableContent"/>
              <w:jc w:val="center"/>
            </w:pPr>
            <w:r>
              <w:t xml:space="preserve">0.6913 / 0.6991 / 0.6476 / 0.3523</w:t>
            </w:r>
          </w:p>
        </w:tc>
      </w:tr>
      <w:tr>
        <w:trPr>
          <w:cantSplit/>
        </w:trPr>
        <w:tc>
          <w:tcPr>
            <w:tcW w:w="1000" w:type="dxa"/>
            <w:tcBorders>
              <w:top w:val="nil"/>
              <w:left w:val="nil"/>
              <w:bottom w:val="single" w:sz="8" w:space="0" w:color="000000"/>
              <w:right w:val="nil"/>
            </w:tcBorders>
            <w:tcMar>
              <w:top w:w="0" w:type="dxa"/>
              <w:left w:w="108" w:type="dxa"/>
              <w:bottom w:w="0" w:type="dxa"/>
              <w:right w:w="108" w:type="dxa"/>
            </w:tcMar>
          </w:tcPr>
          <w:p>
            <w:pPr>
              <w:pStyle w:val="HFUTTableContent"/>
              <w:jc w:val="left"/>
            </w:pPr>
            <w:r>
              <w:t xml:space="preserve">V3R</w:t>
            </w:r>
          </w:p>
        </w:tc>
        <w:tc>
          <w:tcPr>
            <w:tcW w:w="3400" w:type="dxa"/>
            <w:tcBorders>
              <w:top w:val="nil"/>
              <w:left w:val="nil"/>
              <w:bottom w:val="single" w:sz="8" w:space="0" w:color="000000"/>
              <w:right w:val="nil"/>
            </w:tcBorders>
            <w:tcMar>
              <w:top w:w="0" w:type="dxa"/>
              <w:left w:w="108" w:type="dxa"/>
              <w:bottom w:w="0" w:type="dxa"/>
              <w:right w:w="108" w:type="dxa"/>
            </w:tcMar>
          </w:tcPr>
          <w:p>
            <w:pPr>
              <w:pStyle w:val="HFUTTableContent"/>
              <w:jc w:val="center"/>
            </w:pPr>
            <w:r>
              <w:t xml:space="preserve">0.6913 / 0.6991 / 0.6476 / 0.3523</w:t>
            </w:r>
          </w:p>
        </w:tc>
      </w:tr>
    </w:tbl>
    <w:p>
      <w:pPr>
        <w:pStyle w:val="HFUTHeading2"/>
      </w:pPr>
      <w:r>
        <w:t xml:space="preserve">4.2 </w:t>
      </w:r>
      <w:r>
        <w:rPr>
          <w:rFonts w:hint="eastAsia"/>
        </w:rPr>
        <w:t xml:space="preserve">路径级重构的E2E响应</w:t>
      </w:r>
    </w:p>
    <w:p>
      <w:pPr>
        <w:pStyle w:val="HFUTBody"/>
        <w:spacing w:before="0" w:after="0" w:line="360" w:lineRule="atLeast"/>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V0和V2R的平均FPS分别为54.600和122.122，合并样本平均E2E延迟分别为18.273</w:t>
      </w:r>
      <w:r>
        <w:t xml:space="preserve"> </w:t>
      </w:r>
      <w:r>
        <w:rPr>
          <w:rFonts w:hint="eastAsia"/>
        </w:rPr>
        <w:t xml:space="preserve">ms和8.140</w:t>
      </w:r>
      <w:r>
        <w:t xml:space="preserve"> </w:t>
      </w:r>
      <w:r>
        <w:rPr>
          <w:rFonts w:hint="eastAsia"/>
        </w:rPr>
        <w:t xml:space="preserve">ms。由此，</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达到2.236671×原始FPS比，按论文精度为2.24×；平均延迟降低55.4519%，按论文精度为55.45%。整体结果见图2。</w:t>
      </w:r>
    </w:p>
    <w:p>
      <w:pPr>
        <w:pStyle w:val="BodyText"/>
        <w:keepNext/>
        <w:spacing w:before="0" w:after="0" w:line="320" w:lineRule="atLeast"/>
        <w:ind w:firstLine="0"/>
        <w:jc w:val="center"/>
      </w:pPr>
      <w:r>
        <w:drawing>
          <ns3:inline>
            <ns3:extent cx="5759999" cy="2212571"/>
            <ns3:effectExtent b="0" l="0" r="0" t="0"/>
            <ns3:docPr descr="" title="" id="17" name="Picture"/>
            <ns4:graphic>
              <ns4:graphicData uri="http://schemas.openxmlformats.org/drawingml/2006/picture">
                <ns5:pic>
                  <ns5:nvPicPr>
                    <ns5:cNvPr descr="fig3_main_e2e_phase56.png" id="18" name="Picture"/>
                    <ns5:cNvPicPr>
                      <ns4:picLocks noChangeArrowheads="1" noChangeAspect="1"/>
                    </ns5:cNvPicPr>
                  </ns5:nvPicPr>
                  <ns5:blipFill>
                    <ns4:blip ns1:embed="rId16"/>
                    <ns4:stretch>
                      <ns4:fillRect/>
                    </ns4:stretch>
                  </ns5:blipFill>
                  <ns5:spPr bwMode="auto">
                    <ns4:xfrm>
                      <ns4:off x="0" y="0"/>
                      <ns4:ext cx="5759999" cy="2212571"/>
                    </ns4:xfrm>
                    <ns4:prstGeom prst="rect">
                      <ns4:avLst/>
                    </ns4:prstGeom>
                    <ns4:noFill/>
                    <ns4:ln w="9525">
                      <ns4:noFill/>
                      <ns4:headEnd/>
                      <ns4:tailEnd/>
                    </ns4:ln>
                  </ns5:spPr>
                </ns5:pic>
              </ns4:graphicData>
            </ns4:graphic>
          </ns3: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图2</w:t>
      </w:r>
      <w:r>
        <w:rPr>
          <w:b/>
          <w:bCs/>
        </w:rPr>
        <w:t xml:space="preserve">　</w:t>
      </w:r>
      <w:r>
        <w:rPr>
          <w:rFonts w:hint="eastAsia"/>
          <w:b/>
          <w:bCs/>
        </w:rPr>
        <w:t xml:space="preserve">三条路径的端到端性能。(a)</w:t>
      </w:r>
      <w:r>
        <w:rPr>
          <w:b/>
          <w:bCs/>
        </w:rPr>
        <w:t xml:space="preserve"> </w:t>
      </w:r>
      <w:r>
        <w:rPr>
          <w:rFonts w:hint="eastAsia"/>
          <w:b/>
          <w:bCs/>
        </w:rPr>
        <w:t xml:space="preserve">为5个独立进程FPS的均值±样本标准差；(b)(c)</w:t>
      </w:r>
      <w:r>
        <w:rPr>
          <w:b/>
          <w:bCs/>
        </w:rPr>
        <w:t xml:space="preserve"> </w:t>
      </w:r>
      <w:r>
        <w:rPr>
          <w:rFonts w:hint="eastAsia"/>
          <w:b/>
          <w:bCs/>
        </w:rPr>
        <w:t xml:space="preserve">为每条路径合并5400个延迟样本的均值、P95和P99。</w:t>
      </w:r>
    </w:p>
    <w:p>
      <w:pPr>
        <w:pStyle w:val="HFUTBody"/>
        <w:spacing w:before="0" w:after="0" w:line="360" w:lineRule="atLeast"/>
      </w:pPr>
      <w:r>
        <w:rPr>
          <w:rFonts w:hint="eastAsia"/>
        </w:rPr>
        <w:t xml:space="preserve">这项观测对应完整路径级干预：跨边界表示由FP32</w:t>
      </w:r>
      <w:r>
        <w:t xml:space="preserve"> </w:t>
      </w:r>
      <w:r>
        <w:rPr>
          <w:rFonts w:hint="eastAsia"/>
        </w:rPr>
        <w:t xml:space="preserve">NCHW张量变为packed</w:t>
      </w:r>
      <w:r>
        <w:t xml:space="preserve"> BGR </w:t>
      </w:r>
      <w:r>
        <w:rPr>
          <w:rFonts w:hint="eastAsia"/>
        </w:rPr>
        <w:t xml:space="preserve">uint8，输入张量形成位置由主机移至设备，并引入相应的pageable原始图像暂存组织，即</w:t>
      </w:r>
      <ns2:oMath>
        <ns2:r>
          <ns2:t>R</ns2:t>
        </ns2:r>
        <ns2:r>
          <ns2:rPr>
            <ns2:sty ns2:val="p"/>
          </ns2:rPr>
          <ns2:t>,</ns2:t>
        </ns2:r>
        <ns2:r>
          <ns2:t>F</ns2:t>
        </ns2:r>
        <ns2:r>
          <ns2:rPr>
            <ns2:sty ns2:val="p"/>
          </ns2:rPr>
          <ns2:t>,</ns2:t>
        </ns2:r>
        <ns2:r>
          <ns2:t>M</ns2:t>
        </ns2:r>
      </ns2:oMath>
      <w:r>
        <w:rPr>
          <w:rFonts w:hint="eastAsia"/>
        </w:rPr>
        <w:t xml:space="preserve">发生变化而</w:t>
      </w:r>
      <ns2:oMath>
        <ns2:r>
          <ns2:t>E</ns2:t>
        </ns2:r>
      </ns2:oMath>
      <w:r>
        <w:rPr>
          <w:rFonts w:hint="eastAsia"/>
        </w:rPr>
        <w:t xml:space="preserve">保持不变。式（2）给出的名义输入复制载荷由4.9152</w:t>
      </w:r>
      <w:r>
        <w:t xml:space="preserve"> </w:t>
      </w:r>
      <w:r>
        <w:rPr>
          <w:rFonts w:hint="eastAsia"/>
        </w:rPr>
        <w:t xml:space="preserve">MB/frame降至0.1200</w:t>
      </w:r>
      <w:r>
        <w:t xml:space="preserve"> </w:t>
      </w:r>
      <w:r>
        <w:rPr>
          <w:rFonts w:hint="eastAsia"/>
        </w:rPr>
        <w:t xml:space="preserve">MB/frame，形成40.96×结构对比；它是重构路径的一项派生属性，而非独立控制变量。由于未进行阶段插桩或总线/DRAM流量测量，2.24×</w:t>
      </w:r>
      <w:r>
        <w:t xml:space="preserve"> </w:t>
      </w:r>
      <w:r>
        <w:rPr>
          <w:rFonts w:hint="eastAsia"/>
        </w:rPr>
        <w:t xml:space="preserve">E2E响应只能归属于完整</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路径，不能归因于某个组件，也不能解释为40.96×传输加速。</w:t>
      </w:r>
    </w:p>
    <w:p>
      <w:pPr>
        <w:pStyle w:val="HFUTHeading2"/>
      </w:pPr>
      <w:r>
        <w:t xml:space="preserve">4.3 </w:t>
      </w:r>
      <w:r>
        <w:rPr>
          <w:rFonts w:hint="eastAsia"/>
        </w:rPr>
        <w:t xml:space="preserve">暂存策略的增量响应</w:t>
      </w:r>
    </w:p>
    <w:p>
      <w:pPr>
        <w:pStyle w:val="HFUTBody"/>
        <w:spacing w:before="0" w:after="0" w:line="360" w:lineRule="atLeast"/>
      </w:pPr>
      <w:r>
        <w:rPr>
          <w:rFonts w:hint="eastAsia"/>
        </w:rPr>
        <w:t xml:space="preserve">在</w:t>
      </w:r>
      <ns2:oMath>
        <ns2:r>
          <ns2:t>R</ns2:t>
        </ns2:r>
        <ns2:r>
          <ns2:rPr>
            <ns2:sty ns2:val="p"/>
          </ns2:rPr>
          <ns2:t>,</ns2:t>
        </ns2:r>
        <ns2:r>
          <ns2:t>F</ns2:t>
        </ns2:r>
        <ns2:r>
          <ns2:rPr>
            <ns2:sty ns2:val="p"/>
          </ns2:rPr>
          <ns2:t>,</ns2:t>
        </ns2:r>
        <ns2:r>
          <ns2:t>E</ns2:t>
        </ns2:r>
      </ns2:oMath>
      <w:r>
        <w:rPr>
          <w:rFonts w:hint="eastAsia"/>
        </w:rPr>
        <w:t xml:space="preserve">、GPU预处理语义、Engine、stream和下游结构固定时，V3R只把</w:t>
      </w:r>
      <ns2:oMath>
        <ns2:r>
          <ns2:t>M</ns2:t>
        </ns2:r>
      </ns2:oMath>
      <w:r>
        <w:rPr>
          <w:rFonts w:hint="eastAsia"/>
        </w:rPr>
        <w:t xml:space="preserve">由pageable改为pinned。V3R平均FPS为127.097，平均E2E延迟为7.812</w:t>
      </w:r>
      <w:r>
        <w:t xml:space="preserve"> </w:t>
      </w:r>
      <w:r>
        <w:rPr>
          <w:rFonts w:hint="eastAsia"/>
        </w:rPr>
        <w:t xml:space="preserve">ms；相对V2R，FPS提高4.0738%（论文值+4.07%），平均延迟降低4.0349%（论文值−4.03%）。与路径级重构相比，这一局部策略干预在受测系统中只形成有限的平均增量。该范围差异描述的是本实验的受控响应，不推出pinned内存在其他平台、模型或负载下的普遍收益。</w:t>
      </w:r>
    </w:p>
    <w:p>
      <w:pPr>
        <w:pStyle w:val="HFUTHeading2"/>
      </w:pPr>
      <w:r>
        <w:t xml:space="preserve">4.4 </w:t>
      </w:r>
      <w:r>
        <w:rPr>
          <w:rFonts w:hint="eastAsia"/>
        </w:rPr>
        <w:t xml:space="preserve">平均性能与尾延迟响应</w:t>
      </w:r>
    </w:p>
    <w:p>
      <w:pPr>
        <w:pStyle w:val="HFUTBody"/>
        <w:sectPr>
          <w:footerReference ns1:id="rId4" w:type="default"/>
          <w:type w:val="continuous"/>
          <w:pgSz w:h="16838" w:orient="portrait" w:w="11906"/>
          <w:pgMar w:bottom="1134" w:footer="907" w:gutter="0" w:header="720" w:left="1304" w:right="1304" w:top="1361"/>
          <w:cols w:num="2" w:space="425"/>
          <w:docGrid w:linePitch="360"/>
        </w:sectPr>
      </w:pPr>
      <w:r>
        <w:rPr>
          <w:rFonts w:hint="eastAsia"/>
        </w:rPr>
        <w:t xml:space="preserve">5个独立进程中，V2R与V3R的进程级FPS范围分别为121.443–122.759和125.595–128.301，进程平均延迟范围分别为8.098–8.185</w:t>
      </w:r>
      <w:r>
        <w:t xml:space="preserve"> </w:t>
      </w:r>
      <w:r>
        <w:rPr>
          <w:rFonts w:hint="eastAsia"/>
        </w:rPr>
        <w:t xml:space="preserve">ms和7.740–7.894</w:t>
      </w:r>
      <w:r>
        <w:t xml:space="preserve"> </w:t>
      </w:r>
      <w:r>
        <w:rPr>
          <w:rFonts w:hint="eastAsia"/>
        </w:rPr>
        <w:t xml:space="preserve">ms，分布见图3。上述范围均不重叠，说明平均响应在5个独立进程中重复观察到，而非仅由单一异常进程形成；但不同路径的进程独立且不配对，本文不据此进行显著性推断。</w:t>
      </w:r>
    </w:p>
    <w:p>
      <w:pPr>
        <w:pStyle w:val="BodyText"/>
        <w:keepNext/>
        <w:spacing w:before="0" w:after="0" w:line="320" w:lineRule="atLeast"/>
        <w:ind w:firstLine="0"/>
        <w:jc w:val="center"/>
      </w:pPr>
      <w:r>
        <w:drawing>
          <ns3:inline>
            <ns3:extent cx="5759999" cy="2578285"/>
            <ns3:effectExtent b="0" l="0" r="0" t="0"/>
            <ns3:docPr descr="" title="" id="20" name="Picture"/>
            <ns4:graphic>
              <ns4:graphicData uri="http://schemas.openxmlformats.org/drawingml/2006/picture">
                <ns5:pic>
                  <ns5:nvPicPr>
                    <ns5:cNvPr descr="fig4_run_level_distribution_phase56.png" id="21" name="Picture"/>
                    <ns5:cNvPicPr>
                      <ns4:picLocks noChangeArrowheads="1" noChangeAspect="1"/>
                    </ns5:cNvPicPr>
                  </ns5:nvPicPr>
                  <ns5:blipFill>
                    <ns4:blip ns1:embed="rId19"/>
                    <ns4:stretch>
                      <ns4:fillRect/>
                    </ns4:stretch>
                  </ns5:blipFill>
                  <ns5:spPr bwMode="auto">
                    <ns4:xfrm>
                      <ns4:off x="0" y="0"/>
                      <ns4:ext cx="5759999" cy="2578285"/>
                    </ns4:xfrm>
                    <ns4:prstGeom prst="rect">
                      <ns4:avLst/>
                    </ns4:prstGeom>
                    <ns4:noFill/>
                    <ns4:ln w="9525">
                      <ns4:noFill/>
                      <ns4:headEnd/>
                      <ns4:tailEnd/>
                    </ns4:ln>
                  </ns5:spPr>
                </ns5:pic>
              </ns4:graphicData>
            </ns4:graphic>
          </ns3:inline>
        </w:drawing>
      </w:r>
    </w:p>
    <w:p>
      <w:pPr>
        <w:pStyle w:val="HFUTFigureCaption"/>
        <w:sectPr>
          <w:footerReference ns1:id="rId4" w:type="default"/>
          <w:type w:val="continuous"/>
          <w:pgSz w:h="16838" w:orient="portrait" w:w="11906"/>
          <w:pgMar w:bottom="1134" w:footer="907" w:gutter="0" w:header="720" w:left="1304" w:right="1304" w:top="1361"/>
          <w:cols w:num="1" w:space="425"/>
          <w:docGrid w:linePitch="360"/>
        </w:sectPr>
      </w:pPr>
      <w:r>
        <w:rPr>
          <w:rFonts w:hint="eastAsia"/>
          <w:b/>
          <w:bCs/>
        </w:rPr>
        <w:t xml:space="preserve">图3</w:t>
      </w:r>
      <w:r>
        <w:rPr>
          <w:b/>
          <w:bCs/>
        </w:rPr>
        <w:t xml:space="preserve">　</w:t>
      </w:r>
      <w:r>
        <w:rPr>
          <w:rFonts w:hint="eastAsia"/>
          <w:b/>
          <w:bCs/>
        </w:rPr>
        <w:t xml:space="preserve">运行级分布与尾延迟。各点为独立进程级描述量，横向偏移仅用于区分，不表示运行配对。</w:t>
      </w:r>
    </w:p>
    <w:p>
      <w:pPr>
        <w:pStyle w:val="HFUTBody"/>
      </w:pPr>
      <w:r>
        <w:rPr>
          <w:rFonts w:hint="eastAsia"/>
        </w:rPr>
        <w:t xml:space="preserve">V3R相对V2R的合并样本P95变化为+0.1514%（论文值+0.15%），P99变化为−0.1184%（论文值−0.12%）；两个方向相反，未形成一致的尾延迟改善证据。这说明平均响应和尾延迟是不同评价维度：局部策略改变能够在本实验中改善均值，并不意味着P95与P99同步改善。该结果不支持“pinned改善稳定性”或统计显著性结论。</w:t>
      </w:r>
    </w:p>
    <w:p>
      <w:pPr>
        <w:pStyle w:val="HFUTHeading2"/>
      </w:pPr>
      <w:r>
        <w:t xml:space="preserve">4.5 </w:t>
      </w:r>
      <w:r>
        <w:rPr>
          <w:rFonts w:hint="eastAsia"/>
        </w:rPr>
        <w:t xml:space="preserve">解释边界与局限性</w:t>
      </w:r>
    </w:p>
    <w:p>
      <w:pPr>
        <w:pStyle w:val="HFUTBody"/>
      </w:pPr>
      <w:r>
        <w:rPr>
          <w:rFonts w:hint="eastAsia"/>
        </w:rPr>
        <w:t xml:space="preserve">本文只评价单一Jetson平台、YOLOv8n</w:t>
      </w:r>
      <w:r>
        <w:t xml:space="preserve"> TensorRT </w:t>
      </w:r>
      <w:r>
        <w:rPr>
          <w:rFonts w:hint="eastAsia"/>
        </w:rPr>
        <w:t xml:space="preserve">INT8混合精度Engine、NEU-DET固定180幅离线回放工作负载和单帧顺序拓扑，未覆盖真实相机、跨平台、跨模型或跨数据集泛化。运行状态只有非连续温度观察，没有连续遥测、功耗或能耗测量，也没有独立归档的频率证据。实验未测量阶段级H2D、预处理或CUDA核函数时间，也未测量实际总线或DRAM流量，因而不能进行组件级因果分配。每条路径5个独立进程仅支持描述性解释，不支持统计显著性推断。上述限制将结论约束为受测系统中的路径结构—E2E响应关系。</w:t>
      </w:r>
    </w:p>
    <w:p>
      <w:pPr>
        <w:pStyle w:val="HFUTHeading1"/>
      </w:pPr>
      <w:r>
        <w:t xml:space="preserve">5 </w:t>
      </w:r>
      <w:r>
        <w:rPr>
          <w:rFonts w:hint="eastAsia"/>
        </w:rPr>
        <w:t xml:space="preserve">结论</w:t>
      </w:r>
    </w:p>
    <w:p>
      <w:pPr>
        <w:pStyle w:val="HFUTBody"/>
        <w:spacing w:before="0" w:after="0" w:line="360" w:lineRule="atLeast"/>
      </w:pPr>
      <w:r>
        <w:rPr>
          <w:rFonts w:hint="eastAsia"/>
        </w:rPr>
        <w:t xml:space="preserve">本文以固定推理对象下的输入数据路径为研究对象，将跨边界表示、输入张量形成位置、额外打包原始图像暂存策略和执行拓扑作为结构变量。在冻结180幅测试图像且三条路径任务级评价一致的条件下，包含</w:t>
      </w:r>
      <ns2:oMath>
        <ns2:r>
          <ns2:t>R</ns2:t>
        </ns2:r>
        <ns2:r>
          <ns2:rPr>
            <ns2:sty ns2:val="p"/>
          </ns2:rPr>
          <ns2:t>,</ns2:t>
        </ns2:r>
        <ns2:r>
          <ns2:t>F</ns2:t>
        </ns2:r>
        <ns2:r>
          <ns2:rPr>
            <ns2:sty ns2:val="p"/>
          </ns2:rPr>
          <ns2:t>,</ns2:t>
        </ns2:r>
        <ns2:r>
          <ns2:t>M</ns2:t>
        </ns2:r>
      </ns2:oMath>
      <w:r>
        <w:rPr>
          <w:rFonts w:hint="eastAsia"/>
        </w:rPr>
        <w:t xml:space="preserve">变化且</w:t>
      </w:r>
      <ns2:oMath>
        <ns2:r>
          <ns2:t>E</ns2:t>
        </ns2:r>
      </ns2:oMath>
      <w:r>
        <w:rPr>
          <w:rFonts w:hint="eastAsia"/>
        </w:rPr>
        <w:t xml:space="preserve">保持不变的路径级</w:t>
      </w:r>
      <ns2:oMath>
        <ns2:sSub>
          <ns2:e>
            <ns2:r>
              <ns2:t>P</ns2:t>
            </ns2:r>
          </ns2:e>
          <ns2:sub>
            <ns2:r>
              <ns2:t>0</ns2:t>
            </ns2:r>
          </ns2:sub>
        </ns2:sSub>
        <ns2:r>
          <ns2:rPr>
            <ns2:sty ns2:val="p"/>
          </ns2:rPr>
          <ns2:t>→</ns2:t>
        </ns2:r>
        <ns2:sSub>
          <ns2:e>
            <ns2:r>
              <ns2:t>P</ns2:t>
            </ns2:r>
          </ns2:e>
          <ns2:sub>
            <ns2:r>
              <ns2:t>2</ns2:t>
            </ns2:r>
          </ns2:sub>
        </ns2:sSub>
      </ns2:oMath>
      <w:r>
        <w:rPr>
          <w:rFonts w:hint="eastAsia"/>
        </w:rPr>
        <w:t xml:space="preserve">使FPS达到2.24×、平均E2E延迟降低55.45%；仅改变</w:t>
      </w:r>
      <ns2:oMath>
        <ns2:r>
          <ns2:t>M</ns2:t>
        </ns2:r>
      </ns2:oMath>
      <w:r>
        <w:rPr>
          <w:rFonts w:hint="eastAsia"/>
        </w:rPr>
        <w:t xml:space="preserve">的局部</w:t>
      </w:r>
      <ns2:oMath>
        <ns2:sSub>
          <ns2:e>
            <ns2:r>
              <ns2:t>P</ns2:t>
            </ns2:r>
          </ns2:e>
          <ns2:sub>
            <ns2:r>
              <ns2:t>2</ns2:t>
            </ns2:r>
          </ns2:sub>
        </ns2:sSub>
        <ns2:r>
          <ns2:rPr>
            <ns2:sty ns2:val="p"/>
          </ns2:rPr>
          <ns2:t>→</ns2:t>
        </ns2:r>
        <ns2:sSub>
          <ns2:e>
            <ns2:r>
              <ns2:t>P</ns2:t>
            </ns2:r>
          </ns2:e>
          <ns2:sub>
            <ns2:r>
              <ns2:t>3</ns2:t>
            </ns2:r>
          </ns2:sub>
        </ns2:sSub>
      </ns2:oMath>
      <w:r>
        <w:rPr>
          <w:rFonts w:hint="eastAsia"/>
        </w:rPr>
        <w:t xml:space="preserve">使FPS提高4.07%、平均延迟降低4.03%，而P95增加0.15%、P99降低0.12%，未形成一致的尾延迟改善证据。</w:t>
      </w:r>
    </w:p>
    <w:p>
      <w:pPr>
        <w:pStyle w:val="HFUTBody"/>
      </w:pPr>
      <w:r>
        <w:rPr>
          <w:rFonts w:hint="eastAsia"/>
        </w:rPr>
        <w:t xml:space="preserve">结果说明，包含表示、张量形成位置及相应暂存组织变化的路径级干预，与仅改变主机暂存策略的局部干预属于不同层级，其完整E2E响应不能由单个API或名义载荷直接解释。对于本文这类固定推理对象的数据路径评价，应区分跨边界表示、张量形成位置和主机暂存策略，并将平均性能与尾延迟作为独立响应维度。该认识仅适用于本文单一Jetson平台、检测器/Engine、数据集、离线回放与单帧顺序配置，不作阶段级因果、统计显著性或跨平台/跨模型普适推断。</w:t>
      </w:r>
    </w:p>
    <w:p>
      <w:pPr>
        <w:pStyle w:val="HFUTReferenceHeading"/>
      </w:pPr>
      <w:r>
        <w:rPr>
          <w:rFonts w:hint="eastAsia"/>
        </w:rPr>
        <w:t xml:space="preserve">参考文献</w:t>
      </w:r>
    </w:p>
    <w:bookmarkStart w:id="64" w:name="refs"/>
    <w:bookmarkStart w:id="23" w:name="ref-lv_et_al_2020_metallic_defects"/>
    <w:p>
      <w:pPr>
        <w:pStyle w:val="Bibliography"/>
      </w:pPr>
      <w:r>
        <w:t xml:space="preserve">[1]</w:t>
      </w:r>
      <w:r>
        <w:t xml:space="preserve"> </w:t>
      </w:r>
      <w:r>
        <w:t xml:space="preserve">	</w:t>
      </w:r>
      <w:r>
        <w:t xml:space="preserve">Lv </w:t>
      </w:r>
      <w:r>
        <w:rPr>
          <w:rFonts w:hint="eastAsia"/>
        </w:rPr>
        <w:t xml:space="preserve">X，Duan</w:t>
      </w:r>
      <w:r>
        <w:t xml:space="preserve"> </w:t>
      </w:r>
      <w:r>
        <w:rPr>
          <w:rFonts w:hint="eastAsia"/>
        </w:rPr>
        <w:t xml:space="preserve">F，Jiang</w:t>
      </w:r>
      <w:r>
        <w:t xml:space="preserve"> </w:t>
      </w:r>
      <w:r>
        <w:rPr>
          <w:rFonts w:hint="eastAsia"/>
        </w:rPr>
        <w:t xml:space="preserve">J，等.</w:t>
      </w:r>
      <w:r>
        <w:t xml:space="preserve"> Deep Metallic Surface Defect Detection: The New Benchmark and Detection Network[J]. </w:t>
      </w:r>
      <w:r>
        <w:rPr>
          <w:rFonts w:hint="eastAsia"/>
        </w:rPr>
        <w:t xml:space="preserve">Sensors，2020，20（6）：1562.</w:t>
      </w:r>
      <w:r>
        <w:t xml:space="preserve"> DOI:</w:t>
      </w:r>
      <w:hyperlink ns1:id="rId22">
        <w:r>
          <w:rPr>
            <w:rStyle w:val="Hyperlink"/>
          </w:rPr>
          <w:t xml:space="preserve">10.3390/s20061562</w:t>
        </w:r>
      </w:hyperlink>
      <w:r>
        <w:t xml:space="preserve">.</w:t>
      </w:r>
    </w:p>
    <w:bookmarkEnd w:id="23"/>
    <w:bookmarkStart w:id="25" w:name="ref-song_yan_2013_neu_surface_defects"/>
    <w:p>
      <w:pPr>
        <w:pStyle w:val="Bibliography"/>
      </w:pPr>
      <w:r>
        <w:t xml:space="preserve">[2]</w:t>
      </w:r>
      <w:r>
        <w:t xml:space="preserve"> </w:t>
      </w:r>
      <w:r>
        <w:t xml:space="preserve">	</w:t>
      </w:r>
      <w:r>
        <w:t xml:space="preserve">Song </w:t>
      </w:r>
      <w:r>
        <w:rPr>
          <w:rFonts w:hint="eastAsia"/>
        </w:rPr>
        <w:t xml:space="preserve">K，Yan</w:t>
      </w:r>
      <w:r>
        <w:t xml:space="preserve"> Y. A noise robust method based on completed local binary patterns for hot-rolled steel strip surface defects[J]. Applied Surface </w:t>
      </w:r>
      <w:r>
        <w:rPr>
          <w:rFonts w:hint="eastAsia"/>
        </w:rPr>
        <w:t xml:space="preserve">Science，2013，285：858-864.</w:t>
      </w:r>
      <w:r>
        <w:t xml:space="preserve"> DOI:</w:t>
      </w:r>
      <w:hyperlink ns1:id="rId24">
        <w:r>
          <w:rPr>
            <w:rStyle w:val="Hyperlink"/>
          </w:rPr>
          <w:t xml:space="preserve">10.1016/j.apsusc.2013.09.002</w:t>
        </w:r>
      </w:hyperlink>
      <w:r>
        <w:t xml:space="preserve">.</w:t>
      </w:r>
    </w:p>
    <w:bookmarkEnd w:id="25"/>
    <w:bookmarkStart w:id="27" w:name="ref-shao_et_al_2024_td_net"/>
    <w:p>
      <w:pPr>
        <w:pStyle w:val="Bibliography"/>
      </w:pPr>
      <w:r>
        <w:t xml:space="preserve">[3]</w:t>
      </w:r>
      <w:r>
        <w:t xml:space="preserve"> </w:t>
      </w:r>
      <w:r>
        <w:t xml:space="preserve">	</w:t>
      </w:r>
      <w:r>
        <w:t xml:space="preserve">Shao </w:t>
      </w:r>
      <w:r>
        <w:rPr>
          <w:rFonts w:hint="eastAsia"/>
        </w:rPr>
        <w:t xml:space="preserve">R，Zhou</w:t>
      </w:r>
      <w:r>
        <w:t xml:space="preserve"> </w:t>
      </w:r>
      <w:r>
        <w:rPr>
          <w:rFonts w:hint="eastAsia"/>
        </w:rPr>
        <w:t xml:space="preserve">M，Li</w:t>
      </w:r>
      <w:r>
        <w:t xml:space="preserve"> </w:t>
      </w:r>
      <w:r>
        <w:rPr>
          <w:rFonts w:hint="eastAsia"/>
        </w:rPr>
        <w:t xml:space="preserve">M，等.</w:t>
      </w:r>
      <w:r>
        <w:t xml:space="preserve"> TD-Net: tiny defect detection network for industrial products[J]. Complex &amp; Intelligent </w:t>
      </w:r>
      <w:r>
        <w:rPr>
          <w:rFonts w:hint="eastAsia"/>
        </w:rPr>
        <w:t xml:space="preserve">Systems，2024，10：3943-3954.</w:t>
      </w:r>
      <w:r>
        <w:t xml:space="preserve"> DOI:</w:t>
      </w:r>
      <w:hyperlink ns1:id="rId26">
        <w:r>
          <w:rPr>
            <w:rStyle w:val="Hyperlink"/>
          </w:rPr>
          <w:t xml:space="preserve">10.1007/s40747-024-01362-x</w:t>
        </w:r>
      </w:hyperlink>
      <w:r>
        <w:t xml:space="preserve">.</w:t>
      </w:r>
    </w:p>
    <w:bookmarkEnd w:id="27"/>
    <w:bookmarkStart w:id="29" w:name="ref-chu_yu_rong_2024_strip_steel_yolov8"/>
    <w:p>
      <w:pPr>
        <w:pStyle w:val="Bibliography"/>
      </w:pPr>
      <w:r>
        <w:t xml:space="preserve">[4]</w:t>
      </w:r>
      <w:r>
        <w:t xml:space="preserve"> </w:t>
      </w:r>
      <w:r>
        <w:t xml:space="preserve">	</w:t>
      </w:r>
      <w:r>
        <w:t xml:space="preserve">Chu </w:t>
      </w:r>
      <w:r>
        <w:rPr>
          <w:rFonts w:hint="eastAsia"/>
        </w:rPr>
        <w:t xml:space="preserve">Y，Yu</w:t>
      </w:r>
      <w:r>
        <w:t xml:space="preserve"> </w:t>
      </w:r>
      <w:r>
        <w:rPr>
          <w:rFonts w:hint="eastAsia"/>
        </w:rPr>
        <w:t xml:space="preserve">X，Rong</w:t>
      </w:r>
      <w:r>
        <w:t xml:space="preserve"> X. A Lightweight Strip Steel Surface Defect Detection Network Based on Improved YOLOv8[J]. </w:t>
      </w:r>
      <w:r>
        <w:rPr>
          <w:rFonts w:hint="eastAsia"/>
        </w:rPr>
        <w:t xml:space="preserve">Sensors，2024，24（19）：6495.</w:t>
      </w:r>
      <w:r>
        <w:t xml:space="preserve"> DOI:</w:t>
      </w:r>
      <w:hyperlink ns1:id="rId28">
        <w:r>
          <w:rPr>
            <w:rStyle w:val="Hyperlink"/>
          </w:rPr>
          <w:t xml:space="preserve">10.3390/s24196495</w:t>
        </w:r>
      </w:hyperlink>
      <w:r>
        <w:t xml:space="preserve">.</w:t>
      </w:r>
    </w:p>
    <w:bookmarkEnd w:id="29"/>
    <w:bookmarkStart w:id="31" w:name="ref-zhang_pang_jiang_2024_gdm_yolo"/>
    <w:p>
      <w:pPr>
        <w:pStyle w:val="Bibliography"/>
      </w:pPr>
      <w:r>
        <w:t xml:space="preserve">[5]</w:t>
      </w:r>
      <w:r>
        <w:t xml:space="preserve"> </w:t>
      </w:r>
      <w:r>
        <w:t xml:space="preserve">	</w:t>
      </w:r>
      <w:r>
        <w:t xml:space="preserve">Zhang </w:t>
      </w:r>
      <w:r>
        <w:rPr>
          <w:rFonts w:hint="eastAsia"/>
        </w:rPr>
        <w:t xml:space="preserve">T，Pang</w:t>
      </w:r>
      <w:r>
        <w:t xml:space="preserve"> </w:t>
      </w:r>
      <w:r>
        <w:rPr>
          <w:rFonts w:hint="eastAsia"/>
        </w:rPr>
        <w:t xml:space="preserve">H，Jiang</w:t>
      </w:r>
      <w:r>
        <w:t xml:space="preserve"> C. GDM-YOLO: A Model for Steel Surface Defect Detection Based on YOLOv8s[J]. IEEE </w:t>
      </w:r>
      <w:r>
        <w:rPr>
          <w:rFonts w:hint="eastAsia"/>
        </w:rPr>
        <w:t xml:space="preserve">Access，2024，12：148817-148825.</w:t>
      </w:r>
      <w:r>
        <w:t xml:space="preserve"> DOI:</w:t>
      </w:r>
      <w:hyperlink ns1:id="rId30">
        <w:r>
          <w:rPr>
            <w:rStyle w:val="Hyperlink"/>
          </w:rPr>
          <w:t xml:space="preserve">10.1109/ACCESS.2024.3476908</w:t>
        </w:r>
      </w:hyperlink>
      <w:r>
        <w:t xml:space="preserve">.</w:t>
      </w:r>
    </w:p>
    <w:bookmarkEnd w:id="31"/>
    <w:bookmarkStart w:id="33" w:name="ref-ultralytics_2023_yolov8_docs"/>
    <w:p>
      <w:pPr>
        <w:pStyle w:val="Bibliography"/>
      </w:pPr>
      <w:r>
        <w:t xml:space="preserve">[6]</w:t>
      </w:r>
      <w:r>
        <w:t xml:space="preserve"> </w:t>
      </w:r>
      <w:r>
        <w:t xml:space="preserve">	</w:t>
      </w:r>
      <w:r>
        <w:t xml:space="preserve">Ultralytics. Explore Ultralytics YOLOv8[EB/OL]. </w:t>
      </w:r>
      <w:r>
        <w:rPr>
          <w:rFonts w:hint="eastAsia"/>
        </w:rPr>
        <w:t xml:space="preserve">（2023）[2026-08-07].</w:t>
      </w:r>
      <w:r>
        <w:t xml:space="preserve"> </w:t>
      </w:r>
      <w:hyperlink ns1:id="rId32">
        <w:r>
          <w:rPr>
            <w:rStyle w:val="Hyperlink"/>
          </w:rPr>
          <w:t xml:space="preserve">https://docs.ultralytics.com/models/yolov8/</w:t>
        </w:r>
      </w:hyperlink>
      <w:r>
        <w:t xml:space="preserve">.</w:t>
      </w:r>
    </w:p>
    <w:bookmarkEnd w:id="33"/>
    <w:bookmarkStart w:id="35" w:name="ref-stacker_et_al_2021_edge_runtime"/>
    <w:p>
      <w:pPr>
        <w:pStyle w:val="Bibliography"/>
      </w:pPr>
      <w:r>
        <w:t xml:space="preserve">[7]</w:t>
      </w:r>
      <w:r>
        <w:t xml:space="preserve"> </w:t>
      </w:r>
      <w:r>
        <w:t xml:space="preserve">	</w:t>
      </w:r>
      <w:r>
        <w:t xml:space="preserve">Stäcker </w:t>
      </w:r>
      <w:r>
        <w:rPr>
          <w:rFonts w:hint="eastAsia"/>
        </w:rPr>
        <w:t xml:space="preserve">L，Fei</w:t>
      </w:r>
      <w:r>
        <w:t xml:space="preserve"> </w:t>
      </w:r>
      <w:r>
        <w:rPr>
          <w:rFonts w:hint="eastAsia"/>
        </w:rPr>
        <w:t xml:space="preserve">J，Heidenreich</w:t>
      </w:r>
      <w:r>
        <w:t xml:space="preserve"> </w:t>
      </w:r>
      <w:r>
        <w:rPr>
          <w:rFonts w:hint="eastAsia"/>
        </w:rPr>
        <w:t xml:space="preserve">P，等.</w:t>
      </w:r>
      <w:r>
        <w:t xml:space="preserve"> Deployment of Deep Neural Networks for Object Detection on Edge AI Devices With Runtime Optimization[C]//2021 IEEE/CVF International Conference on Computer Vision Workshops (ICCVW). </w:t>
      </w:r>
      <w:r>
        <w:rPr>
          <w:rFonts w:hint="eastAsia"/>
        </w:rPr>
        <w:t xml:space="preserve">IEEE，2021：1015-1022.</w:t>
      </w:r>
      <w:r>
        <w:t xml:space="preserve"> DOI:</w:t>
      </w:r>
      <w:hyperlink ns1:id="rId34">
        <w:r>
          <w:rPr>
            <w:rStyle w:val="Hyperlink"/>
          </w:rPr>
          <w:t xml:space="preserve">10.1109/ICCVW54120.2021.00118</w:t>
        </w:r>
      </w:hyperlink>
      <w:r>
        <w:t xml:space="preserve">.</w:t>
      </w:r>
    </w:p>
    <w:bookmarkEnd w:id="35"/>
    <w:bookmarkStart w:id="37" w:name="ref-lee_han_kim_2025_presto"/>
    <w:p>
      <w:pPr>
        <w:pStyle w:val="Bibliography"/>
      </w:pPr>
      <w:r>
        <w:t xml:space="preserve">[8]</w:t>
      </w:r>
      <w:r>
        <w:t xml:space="preserve"> </w:t>
      </w:r>
      <w:r>
        <w:t xml:space="preserve">	</w:t>
      </w:r>
      <w:r>
        <w:t xml:space="preserve">Lee </w:t>
      </w:r>
      <w:r>
        <w:rPr>
          <w:rFonts w:hint="eastAsia"/>
        </w:rPr>
        <w:t xml:space="preserve">J，Han</w:t>
      </w:r>
      <w:r>
        <w:t xml:space="preserve"> </w:t>
      </w:r>
      <w:r>
        <w:rPr>
          <w:rFonts w:hint="eastAsia"/>
        </w:rPr>
        <w:t xml:space="preserve">D，Kim</w:t>
      </w:r>
      <w:r>
        <w:t xml:space="preserve"> J. PRESTO: Hybrid CPU-GPU Preprocessing Framework for Video-based AI Inference System[C]//Proceedings of the 23rd Annual International Conference on Mobile Systems, Applications and Services. </w:t>
      </w:r>
      <w:r>
        <w:rPr>
          <w:rFonts w:hint="eastAsia"/>
        </w:rPr>
        <w:t xml:space="preserve">ACM，2025：735-740.</w:t>
      </w:r>
      <w:r>
        <w:t xml:space="preserve"> DOI:</w:t>
      </w:r>
      <w:hyperlink ns1:id="rId36">
        <w:r>
          <w:rPr>
            <w:rStyle w:val="Hyperlink"/>
          </w:rPr>
          <w:t xml:space="preserve">10.1145/3711875.3736688</w:t>
        </w:r>
      </w:hyperlink>
      <w:r>
        <w:t xml:space="preserve">.</w:t>
      </w:r>
    </w:p>
    <w:bookmarkEnd w:id="37"/>
    <w:bookmarkStart w:id="39" w:name="Xac090a0af5deee57030702f51fb1ef136bc741c"/>
    <w:p>
      <w:pPr>
        <w:pStyle w:val="Bibliography"/>
      </w:pPr>
      <w:r>
        <w:t xml:space="preserve">[9]</w:t>
      </w:r>
      <w:r>
        <w:t xml:space="preserve"> </w:t>
      </w:r>
      <w:r>
        <w:t xml:space="preserve">	</w:t>
      </w:r>
      <w:r>
        <w:t xml:space="preserve">Weiss </w:t>
      </w:r>
      <w:r>
        <w:rPr>
          <w:rFonts w:hint="eastAsia"/>
        </w:rPr>
        <w:t xml:space="preserve">E，Caplan</w:t>
      </w:r>
      <w:r>
        <w:t xml:space="preserve"> </w:t>
      </w:r>
      <w:r>
        <w:rPr>
          <w:rFonts w:hint="eastAsia"/>
        </w:rPr>
        <w:t xml:space="preserve">S，Horn</w:t>
      </w:r>
      <w:r>
        <w:t xml:space="preserve"> </w:t>
      </w:r>
      <w:r>
        <w:rPr>
          <w:rFonts w:hint="eastAsia"/>
        </w:rPr>
        <w:t xml:space="preserve">K，等.</w:t>
      </w:r>
      <w:r>
        <w:t xml:space="preserve"> Real-Time Defect Detection in Electronic Components during Assembly through Deep Learning[J]. </w:t>
      </w:r>
      <w:r>
        <w:rPr>
          <w:rFonts w:hint="eastAsia"/>
        </w:rPr>
        <w:t xml:space="preserve">Electronics，2024，13（8）：1551.</w:t>
      </w:r>
      <w:r>
        <w:t xml:space="preserve"> DOI:</w:t>
      </w:r>
      <w:hyperlink ns1:id="rId38">
        <w:r>
          <w:rPr>
            <w:rStyle w:val="Hyperlink"/>
          </w:rPr>
          <w:t xml:space="preserve">10.3390/electronics13081551</w:t>
        </w:r>
      </w:hyperlink>
      <w:r>
        <w:t xml:space="preserve">.</w:t>
      </w:r>
    </w:p>
    <w:bookmarkEnd w:id="39"/>
    <w:bookmarkStart w:id="40" w:name="ref-jacob_et_al_2018_integer_inference"/>
    <w:p>
      <w:pPr>
        <w:pStyle w:val="Bibliography"/>
      </w:pPr>
      <w:r>
        <w:t xml:space="preserve">[10]</w:t>
      </w:r>
      <w:r>
        <w:t xml:space="preserve"> </w:t>
      </w:r>
      <w:r>
        <w:t xml:space="preserve">	</w:t>
      </w:r>
      <w:r>
        <w:t xml:space="preserve">Jacob </w:t>
      </w:r>
      <w:r>
        <w:rPr>
          <w:rFonts w:hint="eastAsia"/>
        </w:rPr>
        <w:t xml:space="preserve">B，Kligys</w:t>
      </w:r>
      <w:r>
        <w:t xml:space="preserve"> </w:t>
      </w:r>
      <w:r>
        <w:rPr>
          <w:rFonts w:hint="eastAsia"/>
        </w:rPr>
        <w:t xml:space="preserve">S，Chen</w:t>
      </w:r>
      <w:r>
        <w:t xml:space="preserve"> </w:t>
      </w:r>
      <w:r>
        <w:rPr>
          <w:rFonts w:hint="eastAsia"/>
        </w:rPr>
        <w:t xml:space="preserve">B，等.</w:t>
      </w:r>
      <w:r>
        <w:t xml:space="preserve"> Quantization and Training of Neural Networks for Efficient Integer-Arithmetic-Only Inference[C]//Proceedings of the IEEE Conference on Computer Vision and Pattern Recognition (CVPR). </w:t>
      </w:r>
      <w:r>
        <w:rPr>
          <w:rFonts w:hint="eastAsia"/>
        </w:rPr>
        <w:t xml:space="preserve">2018：2704-2713.</w:t>
      </w:r>
    </w:p>
    <w:bookmarkEnd w:id="40"/>
    <w:bookmarkStart w:id="41" w:name="ref-nagel_et_al_2020_adaround"/>
    <w:p>
      <w:pPr>
        <w:pStyle w:val="Bibliography"/>
      </w:pPr>
      <w:r>
        <w:t xml:space="preserve">[11]</w:t>
      </w:r>
      <w:r>
        <w:t xml:space="preserve"> </w:t>
      </w:r>
      <w:r>
        <w:t xml:space="preserve">	</w:t>
      </w:r>
      <w:r>
        <w:t xml:space="preserve">Nagel </w:t>
      </w:r>
      <w:r>
        <w:rPr>
          <w:rFonts w:hint="eastAsia"/>
        </w:rPr>
        <w:t xml:space="preserve">M，Amjad</w:t>
      </w:r>
      <w:r>
        <w:t xml:space="preserve"> R </w:t>
      </w:r>
      <w:r>
        <w:rPr>
          <w:rFonts w:hint="eastAsia"/>
        </w:rPr>
        <w:t xml:space="preserve">A，Van</w:t>
      </w:r>
      <w:r>
        <w:t xml:space="preserve"> Baalen </w:t>
      </w:r>
      <w:r>
        <w:rPr>
          <w:rFonts w:hint="eastAsia"/>
        </w:rPr>
        <w:t xml:space="preserve">M，等.</w:t>
      </w:r>
      <w:r>
        <w:t xml:space="preserve"> Up or Down? Adaptive Rounding for Post-Training Quantization[C]//Proceedings of the 37th International Conference on Machine </w:t>
      </w:r>
      <w:r>
        <w:rPr>
          <w:rFonts w:hint="eastAsia"/>
        </w:rPr>
        <w:t xml:space="preserve">Learning：卷119.</w:t>
      </w:r>
      <w:r>
        <w:t xml:space="preserve"> </w:t>
      </w:r>
      <w:r>
        <w:rPr>
          <w:rFonts w:hint="eastAsia"/>
        </w:rPr>
        <w:t xml:space="preserve">PMLR，2020：7197-7206.</w:t>
      </w:r>
    </w:p>
    <w:bookmarkEnd w:id="41"/>
    <w:bookmarkStart w:id="43" w:name="ref-nvidia_tensorrt_10_3_release_notes"/>
    <w:p>
      <w:pPr>
        <w:pStyle w:val="Bibliography"/>
      </w:pPr>
      <w:r>
        <w:t xml:space="preserve">[12]</w:t>
      </w:r>
      <w:r>
        <w:t xml:space="preserve"> </w:t>
      </w:r>
      <w:r>
        <w:t xml:space="preserve">	</w:t>
      </w:r>
      <w:r>
        <w:t xml:space="preserve">NVIDIA Corporation. TensorRT 10.3 Release Notes[EB/OL]. </w:t>
      </w:r>
      <w:r>
        <w:rPr>
          <w:rFonts w:hint="eastAsia"/>
        </w:rPr>
        <w:t xml:space="preserve">（2024）[2026-08-07].</w:t>
      </w:r>
      <w:r>
        <w:t xml:space="preserve"> </w:t>
      </w:r>
      <w:hyperlink ns1:id="rId42">
        <w:r>
          <w:rPr>
            <w:rStyle w:val="Hyperlink"/>
          </w:rPr>
          <w:t xml:space="preserve">https://docs.nvidia.com/deeplearning/tensorrt/archives/tensorrt-1030/pdf/TensorRT-Release-Notes.pdf</w:t>
        </w:r>
      </w:hyperlink>
      <w:r>
        <w:t xml:space="preserve">.</w:t>
      </w:r>
    </w:p>
    <w:bookmarkEnd w:id="43"/>
    <w:bookmarkStart w:id="45" w:name="ref-kim_lee_kim_2024_hyq"/>
    <w:p>
      <w:pPr>
        <w:pStyle w:val="Bibliography"/>
      </w:pPr>
      <w:r>
        <w:t xml:space="preserve">[13]</w:t>
      </w:r>
      <w:r>
        <w:t xml:space="preserve"> </w:t>
      </w:r>
      <w:r>
        <w:t xml:space="preserve">	</w:t>
      </w:r>
      <w:r>
        <w:t xml:space="preserve">Kim N </w:t>
      </w:r>
      <w:r>
        <w:rPr>
          <w:rFonts w:hint="eastAsia"/>
        </w:rPr>
        <w:t xml:space="preserve">J，Lee</w:t>
      </w:r>
      <w:r>
        <w:t xml:space="preserve"> </w:t>
      </w:r>
      <w:r>
        <w:rPr>
          <w:rFonts w:hint="eastAsia"/>
        </w:rPr>
        <w:t xml:space="preserve">J，Kim</w:t>
      </w:r>
      <w:r>
        <w:t xml:space="preserve"> H. HyQ: Hardware-Friendly Post-Training Quantization for CNN-Transformer Hybrid Networks[C]//Proceedings of the Thirty-Third International Joint Conference on Artificial Intelligence, IJCAI-24. International Joint Conferences on Artificial Intelligence </w:t>
      </w:r>
      <w:r>
        <w:rPr>
          <w:rFonts w:hint="eastAsia"/>
        </w:rPr>
        <w:t xml:space="preserve">Organization，2024：4291-4299.</w:t>
      </w:r>
      <w:r>
        <w:t xml:space="preserve"> DOI:</w:t>
      </w:r>
      <w:hyperlink ns1:id="rId44">
        <w:r>
          <w:rPr>
            <w:rStyle w:val="Hyperlink"/>
          </w:rPr>
          <w:t xml:space="preserve">10.24963/ijcai.2024/474</w:t>
        </w:r>
      </w:hyperlink>
      <w:r>
        <w:t xml:space="preserve">.</w:t>
      </w:r>
    </w:p>
    <w:bookmarkEnd w:id="45"/>
    <w:bookmarkStart w:id="47" w:name="ref-tang_qian_2024_yolov8_jetson_orin"/>
    <w:p>
      <w:pPr>
        <w:pStyle w:val="Bibliography"/>
      </w:pPr>
      <w:r>
        <w:t xml:space="preserve">[14]</w:t>
      </w:r>
      <w:r>
        <w:t xml:space="preserve"> </w:t>
      </w:r>
      <w:r>
        <w:t xml:space="preserve">	</w:t>
      </w:r>
      <w:r>
        <w:t xml:space="preserve">Tang </w:t>
      </w:r>
      <w:r>
        <w:rPr>
          <w:rFonts w:hint="eastAsia"/>
        </w:rPr>
        <w:t xml:space="preserve">Y，Qian</w:t>
      </w:r>
      <w:r>
        <w:t xml:space="preserve"> Y. High-speed railway track components inspection framework based on YOLOv8 with high-performance model deployment[J]. High-speed </w:t>
      </w:r>
      <w:r>
        <w:rPr>
          <w:rFonts w:hint="eastAsia"/>
        </w:rPr>
        <w:t xml:space="preserve">Railway，2024，2：42-50.</w:t>
      </w:r>
      <w:r>
        <w:t xml:space="preserve"> DOI:</w:t>
      </w:r>
      <w:hyperlink ns1:id="rId46">
        <w:r>
          <w:rPr>
            <w:rStyle w:val="Hyperlink"/>
          </w:rPr>
          <w:t xml:space="preserve">10.1016/j.hspr.2024.02.001</w:t>
        </w:r>
      </w:hyperlink>
      <w:r>
        <w:t xml:space="preserve">.</w:t>
      </w:r>
    </w:p>
    <w:bookmarkEnd w:id="47"/>
    <w:bookmarkStart w:id="49" w:name="ref-nvidia_cuda_best_practices_12_6"/>
    <w:p>
      <w:pPr>
        <w:pStyle w:val="Bibliography"/>
      </w:pPr>
      <w:r>
        <w:t xml:space="preserve">[15]</w:t>
      </w:r>
      <w:r>
        <w:t xml:space="preserve"> </w:t>
      </w:r>
      <w:r>
        <w:t xml:space="preserve">	</w:t>
      </w:r>
      <w:r>
        <w:t xml:space="preserve">NVIDIA Corporation. CUDA C++ Best Practices Guide: Release 12.6[EB/OL]. </w:t>
      </w:r>
      <w:r>
        <w:rPr>
          <w:rFonts w:hint="eastAsia"/>
        </w:rPr>
        <w:t xml:space="preserve">（2024）[2026-08-07].</w:t>
      </w:r>
      <w:r>
        <w:t xml:space="preserve"> </w:t>
      </w:r>
      <w:hyperlink ns1:id="rId48">
        <w:r>
          <w:rPr>
            <w:rStyle w:val="Hyperlink"/>
          </w:rPr>
          <w:t xml:space="preserve">https://docs.nvidia.com/cuda/archive/12.6.0/cuda-c-best-practices-guide/index.html</w:t>
        </w:r>
      </w:hyperlink>
      <w:r>
        <w:t xml:space="preserve">.</w:t>
      </w:r>
    </w:p>
    <w:bookmarkEnd w:id="49"/>
    <w:bookmarkStart w:id="51" w:name="ref-bateni_et_al_2020_integrated_memory"/>
    <w:p>
      <w:pPr>
        <w:pStyle w:val="Bibliography"/>
      </w:pPr>
      <w:r>
        <w:t xml:space="preserve">[16]</w:t>
      </w:r>
      <w:r>
        <w:t xml:space="preserve"> </w:t>
      </w:r>
      <w:r>
        <w:t xml:space="preserve">	</w:t>
      </w:r>
      <w:r>
        <w:t xml:space="preserve">Bateni </w:t>
      </w:r>
      <w:r>
        <w:rPr>
          <w:rFonts w:hint="eastAsia"/>
        </w:rPr>
        <w:t xml:space="preserve">S，Wang</w:t>
      </w:r>
      <w:r>
        <w:t xml:space="preserve"> </w:t>
      </w:r>
      <w:r>
        <w:rPr>
          <w:rFonts w:hint="eastAsia"/>
        </w:rPr>
        <w:t xml:space="preserve">Z，Zhu</w:t>
      </w:r>
      <w:r>
        <w:t xml:space="preserve"> </w:t>
      </w:r>
      <w:r>
        <w:rPr>
          <w:rFonts w:hint="eastAsia"/>
        </w:rPr>
        <w:t xml:space="preserve">Y，等.</w:t>
      </w:r>
      <w:r>
        <w:t xml:space="preserve"> Co-Optimizing Performance and Memory Footprint Via Integrated CPU/GPU Memory Management, an Implementation on Autonomous Driving Platform[C]//2020 IEEE Real-Time and Embedded Technology and Applications Symposium (RTAS). </w:t>
      </w:r>
      <w:r>
        <w:rPr>
          <w:rFonts w:hint="eastAsia"/>
        </w:rPr>
        <w:t xml:space="preserve">IEEE，2020：310-323.</w:t>
      </w:r>
      <w:r>
        <w:t xml:space="preserve"> DOI:</w:t>
      </w:r>
      <w:hyperlink ns1:id="rId50">
        <w:r>
          <w:rPr>
            <w:rStyle w:val="Hyperlink"/>
          </w:rPr>
          <w:t xml:space="preserve">10.1109/RTAS48715.2020.00007</w:t>
        </w:r>
      </w:hyperlink>
      <w:r>
        <w:t xml:space="preserve">.</w:t>
      </w:r>
    </w:p>
    <w:bookmarkEnd w:id="51"/>
    <w:bookmarkStart w:id="53" w:name="X881c6431a49a2524d16166655dd1f283b779e51"/>
    <w:p>
      <w:pPr>
        <w:pStyle w:val="Bibliography"/>
      </w:pPr>
      <w:r>
        <w:t xml:space="preserve">[17]</w:t>
      </w:r>
      <w:r>
        <w:t xml:space="preserve"> </w:t>
      </w:r>
      <w:r>
        <w:t xml:space="preserve">	</w:t>
      </w:r>
      <w:r>
        <w:t xml:space="preserve">Rodriguez </w:t>
      </w:r>
      <w:r>
        <w:rPr>
          <w:rFonts w:hint="eastAsia"/>
        </w:rPr>
        <w:t xml:space="preserve">M，Yarza</w:t>
      </w:r>
      <w:r>
        <w:t xml:space="preserve"> </w:t>
      </w:r>
      <w:r>
        <w:rPr>
          <w:rFonts w:hint="eastAsia"/>
        </w:rPr>
        <w:t xml:space="preserve">I，Kosmidis</w:t>
      </w:r>
      <w:r>
        <w:t xml:space="preserve"> </w:t>
      </w:r>
      <w:r>
        <w:rPr>
          <w:rFonts w:hint="eastAsia"/>
        </w:rPr>
        <w:t xml:space="preserve">L，等.</w:t>
      </w:r>
      <w:r>
        <w:t xml:space="preserve"> Analysis of GPU Memory Allocation Characteristics[C]//16th Workshop on Parallel Programming and Run-Time Management Techniques for Many-Core Architectures and 14th Workshop on Design Tools and Architectures for Multicore Embedded Computing Platforms (PARMA-DITAM </w:t>
      </w:r>
      <w:r>
        <w:rPr>
          <w:rFonts w:hint="eastAsia"/>
        </w:rPr>
        <w:t xml:space="preserve">2025)：卷127.</w:t>
      </w:r>
      <w:r>
        <w:t xml:space="preserve"> Schloss Dagstuhl – Leibniz-Zentrum f</w:t>
      </w:r>
      <w:r>
        <w:t xml:space="preserve">ü</w:t>
      </w:r>
      <w:r>
        <w:t xml:space="preserve">r </w:t>
      </w:r>
      <w:r>
        <w:rPr>
          <w:rFonts w:hint="eastAsia"/>
        </w:rPr>
        <w:t xml:space="preserve">Informatik，2025：1:1-1:15.</w:t>
      </w:r>
      <w:r>
        <w:t xml:space="preserve"> DOI:</w:t>
      </w:r>
      <w:hyperlink ns1:id="rId52">
        <w:r>
          <w:rPr>
            <w:rStyle w:val="Hyperlink"/>
          </w:rPr>
          <w:t xml:space="preserve">10.4230/OASIcs.PARMA-DITAM.2025.1</w:t>
        </w:r>
      </w:hyperlink>
      <w:r>
        <w:t xml:space="preserve">.</w:t>
      </w:r>
    </w:p>
    <w:bookmarkEnd w:id="53"/>
    <w:bookmarkStart w:id="55" w:name="ref-nvidia_cuda_programming_guide_12_6"/>
    <w:p>
      <w:pPr>
        <w:pStyle w:val="Bibliography"/>
      </w:pPr>
      <w:r>
        <w:t xml:space="preserve">[18]</w:t>
      </w:r>
      <w:r>
        <w:t xml:space="preserve"> </w:t>
      </w:r>
      <w:r>
        <w:t xml:space="preserve">	</w:t>
      </w:r>
      <w:r>
        <w:t xml:space="preserve">NVIDIA Corporation. CUDA C++ Programming Guide: Release 12.6[EB/OL]. </w:t>
      </w:r>
      <w:r>
        <w:rPr>
          <w:rFonts w:hint="eastAsia"/>
        </w:rPr>
        <w:t xml:space="preserve">（2024）[2026-08-07].</w:t>
      </w:r>
      <w:r>
        <w:t xml:space="preserve"> </w:t>
      </w:r>
      <w:hyperlink ns1:id="rId54">
        <w:r>
          <w:rPr>
            <w:rStyle w:val="Hyperlink"/>
          </w:rPr>
          <w:t xml:space="preserve">https://docs.nvidia.com/cuda/archive/12.6.0/cuda-c-programming-guide/index.html</w:t>
        </w:r>
      </w:hyperlink>
      <w:r>
        <w:t xml:space="preserve">.</w:t>
      </w:r>
    </w:p>
    <w:bookmarkEnd w:id="55"/>
    <w:bookmarkStart w:id="57" w:name="X5eac914f9fdc977465bff71c2e51c3ea52c72b4"/>
    <w:p>
      <w:pPr>
        <w:pStyle w:val="Bibliography"/>
      </w:pPr>
      <w:r>
        <w:t xml:space="preserve">[19]</w:t>
      </w:r>
      <w:r>
        <w:t xml:space="preserve"> </w:t>
      </w:r>
      <w:r>
        <w:t xml:space="preserve">	</w:t>
      </w:r>
      <w:r>
        <w:t xml:space="preserve">Kim </w:t>
      </w:r>
      <w:r>
        <w:rPr>
          <w:rFonts w:hint="eastAsia"/>
        </w:rPr>
        <w:t xml:space="preserve">S，Kim</w:t>
      </w:r>
      <w:r>
        <w:t xml:space="preserve"> </w:t>
      </w:r>
      <w:r>
        <w:rPr>
          <w:rFonts w:hint="eastAsia"/>
        </w:rPr>
        <w:t xml:space="preserve">C，Kim</w:t>
      </w:r>
      <w:r>
        <w:t xml:space="preserve"> S. Improving Performance of Real-Time Object Detection in Edge Device Through Concurrent Multi-Frame Processing[J]. IEEE </w:t>
      </w:r>
      <w:r>
        <w:rPr>
          <w:rFonts w:hint="eastAsia"/>
        </w:rPr>
        <w:t xml:space="preserve">Access，2025，13：1522-1533.</w:t>
      </w:r>
      <w:r>
        <w:t xml:space="preserve"> DOI:</w:t>
      </w:r>
      <w:hyperlink ns1:id="rId56">
        <w:r>
          <w:rPr>
            <w:rStyle w:val="Hyperlink"/>
          </w:rPr>
          <w:t xml:space="preserve">10.1109/ACCESS.2024.3520240</w:t>
        </w:r>
      </w:hyperlink>
      <w:r>
        <w:t xml:space="preserve">.</w:t>
      </w:r>
    </w:p>
    <w:bookmarkEnd w:id="57"/>
    <w:bookmarkStart w:id="59" w:name="ref-dean_barroso_2013_tail_scale"/>
    <w:p>
      <w:pPr>
        <w:pStyle w:val="Bibliography"/>
      </w:pPr>
      <w:r>
        <w:t xml:space="preserve">[20]</w:t>
      </w:r>
      <w:r>
        <w:t xml:space="preserve"> </w:t>
      </w:r>
      <w:r>
        <w:t xml:space="preserve">	</w:t>
      </w:r>
      <w:r>
        <w:t xml:space="preserve">Dean </w:t>
      </w:r>
      <w:r>
        <w:rPr>
          <w:rFonts w:hint="eastAsia"/>
        </w:rPr>
        <w:t xml:space="preserve">J，Barroso</w:t>
      </w:r>
      <w:r>
        <w:t xml:space="preserve"> L A. The Tail at Scale[J]. Communications of the </w:t>
      </w:r>
      <w:r>
        <w:rPr>
          <w:rFonts w:hint="eastAsia"/>
        </w:rPr>
        <w:t xml:space="preserve">ACM，2013，56（2）：74-80.</w:t>
      </w:r>
      <w:r>
        <w:t xml:space="preserve"> DOI:</w:t>
      </w:r>
      <w:hyperlink ns1:id="rId58">
        <w:r>
          <w:rPr>
            <w:rStyle w:val="Hyperlink"/>
          </w:rPr>
          <w:t xml:space="preserve">10.1145/2408776.2408794</w:t>
        </w:r>
      </w:hyperlink>
      <w:r>
        <w:t xml:space="preserve">.</w:t>
      </w:r>
    </w:p>
    <w:bookmarkEnd w:id="59"/>
    <w:bookmarkStart w:id="61" w:name="ref-shin_kim_2022_jetson_yolo_frameworks"/>
    <w:p>
      <w:pPr>
        <w:pStyle w:val="Bibliography"/>
      </w:pPr>
      <w:r>
        <w:t xml:space="preserve">[21]</w:t>
      </w:r>
      <w:r>
        <w:t xml:space="preserve"> </w:t>
      </w:r>
      <w:r>
        <w:t xml:space="preserve">	</w:t>
      </w:r>
      <w:r>
        <w:t xml:space="preserve">Shin </w:t>
      </w:r>
      <w:r>
        <w:rPr>
          <w:rFonts w:hint="eastAsia"/>
        </w:rPr>
        <w:t xml:space="preserve">D-J，Kim</w:t>
      </w:r>
      <w:r>
        <w:t xml:space="preserve"> J-J. A Deep Learning Framework Performance Evaluation to Use YOLO in Nvidia Jetson Platform[J]. Applied </w:t>
      </w:r>
      <w:r>
        <w:rPr>
          <w:rFonts w:hint="eastAsia"/>
        </w:rPr>
        <w:t xml:space="preserve">Sciences，2022，12（8）：3734.</w:t>
      </w:r>
      <w:r>
        <w:t xml:space="preserve"> DOI:</w:t>
      </w:r>
      <w:hyperlink ns1:id="rId60">
        <w:r>
          <w:rPr>
            <w:rStyle w:val="Hyperlink"/>
          </w:rPr>
          <w:t xml:space="preserve">10.3390/app12083734</w:t>
        </w:r>
      </w:hyperlink>
      <w:r>
        <w:t xml:space="preserve">.</w:t>
      </w:r>
    </w:p>
    <w:bookmarkEnd w:id="61"/>
    <w:bookmarkStart w:id="63" w:name="X4c8ed83c46bc651acbdbe066c419219a34e03ae"/>
    <w:p>
      <w:pPr>
        <w:pStyle w:val="Bibliography"/>
      </w:pPr>
      <w:r>
        <w:t xml:space="preserve">[22]</w:t>
      </w:r>
      <w:r>
        <w:t xml:space="preserve"> </w:t>
      </w:r>
      <w:r>
        <w:t xml:space="preserve">	</w:t>
      </w:r>
      <w:r>
        <w:t xml:space="preserve">Lema D </w:t>
      </w:r>
      <w:r>
        <w:rPr>
          <w:rFonts w:hint="eastAsia"/>
        </w:rPr>
        <w:t xml:space="preserve">G，Sánchez-González</w:t>
      </w:r>
      <w:r>
        <w:t xml:space="preserve"> </w:t>
      </w:r>
      <w:r>
        <w:rPr>
          <w:rFonts w:hint="eastAsia"/>
        </w:rPr>
        <w:t xml:space="preserve">L，Usamentiaga</w:t>
      </w:r>
      <w:r>
        <w:t xml:space="preserve"> </w:t>
      </w:r>
      <w:r>
        <w:rPr>
          <w:rFonts w:hint="eastAsia"/>
        </w:rPr>
        <w:t xml:space="preserve">R，等</w:t>
      </w:r>
      <w:r>
        <w:t xml:space="preserve">. Benchmarking deep learning models for surface defect detection: a reproducible and statistically-rigorous approach[J/OL]. Journal of Intelligent </w:t>
      </w:r>
      <w:r>
        <w:rPr>
          <w:rFonts w:hint="eastAsia"/>
        </w:rPr>
        <w:t xml:space="preserve">Manufacturing，2025.</w:t>
      </w:r>
      <w:r>
        <w:t xml:space="preserve"> DOI:</w:t>
      </w:r>
      <w:hyperlink ns1:id="rId62">
        <w:r>
          <w:rPr>
            <w:rStyle w:val="Hyperlink"/>
          </w:rPr>
          <w:t xml:space="preserve">10.1007/s10845-025-02672-8</w:t>
        </w:r>
      </w:hyperlink>
      <w:r>
        <w:t xml:space="preserve">.</w:t>
      </w:r>
    </w:p>
    <w:bookmarkEnd w:id="63"/>
    <w:bookmarkEnd w:id="64"/>
    <w:sectPr>
      <w:footerReference ns1:id="rId4" w:type="default"/>
      <w:type w:val="continuous"/>
      <w:pgSz w:h="16838" w:orient="portrait" w:w="11906"/>
      <w:pgMar w:bottom="1134" w:footer="907" w:gutter="0" w:header="720" w:left="1304" w:right="1304" w:top="1361"/>
      <w:cols w:num="2"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宋体">
    <w:altName w:val="SimSun"/>
    <w:panose1 w:val="02010600030101010101"/>
    <w:charset w:val="86"/>
    <w:family w:val="auto"/>
    <w:pitch w:val="variable"/>
  </w:font>
  <w:font w:name="黑体">
    <w:altName w:val="SimHei"/>
    <w:panose1 w:val="02010609060101010101"/>
    <w:charset w:val="86"/>
    <w:family w:val="modern"/>
    <w:pitch w:val="fixed"/>
  </w:font>
  <w:font w:name="楷体">
    <w:panose1 w:val="02010609060101010101"/>
    <w:charset w:val="86"/>
    <w:family w:val="modern"/>
    <w:pitch w:val="fixed"/>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PageNumber"/>
      <w:jc w:val="center"/>
    </w:pPr>
    <w:fldSimple w:instr=" PAGE ">
      <w:r>
        <w:rPr>
          <w:noProof/>
        </w:rPr>
      </w:r>
    </w:fldSimple>
  </w:p>
</w:ftr>
</file>

<file path=word/footer2.xml><?xml version="1.0" encoding="utf-8"?>
<w:ftr xmlns:w="http://schemas.openxmlformats.org/wordprocessingml/2006/main">
  <w:p>
    <w:pPr>
      <w:pStyle w:val="HFUTAuthorBiography"/>
    </w:pPr>
    <w:r>
      <w:t>王凯伦（1999—），男，山东潍坊人，工学学士，硕士研究生，主要研究方向为端侧人工智能推理部署与优化。</w:t>
    </w:r>
  </w:p>
  <w:p>
    <w:pPr>
      <w:pStyle w:val="PageNumber"/>
      <w:jc w:val="center"/>
    </w:pPr>
    <w:fldSimple w:instr=" PAGE ">
      <w:r>
        <w:rPr>
          <w:noProof/>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pos="0" w:val="num"/>
        </w:tabs>
        <w:ind w:hanging="0" w:left="0"/>
      </w:pPr>
      <w:rPr>
        <w:rFonts w:ascii="Times New Roman" w:cs="Times New Roman" w:eastAsia="黑体" w:hAnsi="Times New Roman"/>
        <w:b/>
        <w:bCs/>
        <w:sz w:val="28"/>
        <w:szCs w:val="28"/>
        <w:lang w:bidi="ar-SA" w:eastAsia="zh-CN" w:val="en-US"/>
      </w:rPr>
    </w:lvl>
    <w:lvl w:ilvl="1">
      <w:start w:val="1"/>
      <w:numFmt w:val="decimal"/>
      <w:lvlText w:val="%1.%2"/>
      <w:lvlJc w:val="left"/>
      <w:pPr>
        <w:ind w:hanging="0" w:left="0"/>
      </w:pPr>
      <w:rPr>
        <w:rFonts w:ascii="Times New Roman" w:cs="Times New Roman" w:eastAsia="黑体" w:hAnsi="Times New Roman"/>
        <w:b/>
        <w:bCs/>
        <w:sz w:val="21"/>
        <w:szCs w:val="21"/>
        <w:lang w:bidi="ar-SA" w:eastAsia="zh-CN" w:val="en-US"/>
      </w:rPr>
    </w:lvl>
    <w:lvl w:ilvl="2">
      <w:start w:val="1"/>
      <w:numFmt w:val="decimal"/>
      <w:lvlText w:val="%1.%2.%3"/>
      <w:lvlJc w:val="left"/>
      <w:pPr>
        <w:ind w:hanging="0" w:left="0"/>
      </w:pPr>
      <w:rPr>
        <w:rFonts w:ascii="Times New Roman" w:cs="Times New Roman" w:eastAsia="楷体" w:hAnsi="Times New Roman"/>
        <w:sz w:val="21"/>
        <w:szCs w:val="21"/>
        <w:lang w:bidi="ar-SA" w:eastAsia="zh-CN" w:val="en-US"/>
      </w:rPr>
    </w:lvl>
  </w:abstractNum>
  <w:abstractNum w:abstractNumId="1">
    <w:multiLevelType w:val="singleLevel"/>
    <w:lvl w:ilvl="0">
      <w:start w:val="0"/>
      <w:numFmt w:val="decimal"/>
      <w:lvlText w:val="0"/>
      <w:lvlJc w:val="left"/>
      <w:pPr>
        <w:ind w:hanging="0" w:left="0"/>
      </w:pPr>
      <w:rPr>
        <w:rFonts w:ascii="Times New Roman" w:cs="Times New Roman" w:eastAsia="黑体" w:hAnsi="Times New Roman"/>
        <w:b/>
        <w:bCs/>
        <w:sz w:val="28"/>
        <w:szCs w:val="28"/>
        <w:lang w:bidi="ar-SA" w:eastAsia="zh-CN"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lang w:bidi="ar-SA" w:eastAsia="zh-CN" w:val="en-US"/>
      </w:rPr>
    </w:rPrDefault>
    <w:pPrDefault>
      <w:pPr>
        <w:spacing w:after="0" w:before="0" w:line="320" w:lineRule="exact"/>
      </w:pPr>
    </w:pPrDefault>
  </w:docDefaults>
  <w:style w:styleId="Normal" w:type="paragraph">
    <w:name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PageNumber" w:type="paragraph">
    <w:name w:val="Page Number"/>
    <w:basedOn w:val="Normal"/>
    <w:pPr>
      <w:spacing w:after="0" w:before="0" w:line="240" w:lineRule="exact"/>
      <w:ind w:firstLine="0"/>
      <w:jc w:val="center"/>
    </w:pPr>
    <w:rPr>
      <w:rFonts w:ascii="Times New Roman" w:cs="Times New Roman" w:eastAsia="Times New Roman" w:hAnsi="Times New Roman"/>
      <w:sz w:val="18"/>
      <w:szCs w:val="18"/>
      <w:lang w:bidi="ar-SA" w:eastAsia="zh-CN" w:val="en-US"/>
    </w:rPr>
  </w:style>
  <w:style w:styleId="HFUTSpecimenNotice" w:type="paragraph">
    <w:name w:val="HFUT Specimen Notice"/>
    <w:basedOn w:val="Normal"/>
    <w:qFormat/>
    <w:pPr>
      <w:keepNext/>
      <w:spacing w:after="0" w:before="0" w:line="240" w:lineRule="exact"/>
      <w:jc w:val="center"/>
    </w:pPr>
    <w:rPr>
      <w:rFonts w:ascii="Times New Roman" w:cs="Times New Roman" w:eastAsia="Times New Roman" w:hAnsi="Times New Roman"/>
      <w:b/>
      <w:bCs/>
      <w:sz w:val="18"/>
      <w:szCs w:val="18"/>
      <w:lang w:bidi="ar-SA" w:eastAsia="zh-CN" w:val="en-US"/>
    </w:rPr>
  </w:style>
  <w:style w:styleId="HFUTBody" w:type="paragraph">
    <w:name w:val="HFUT Body"/>
    <w:basedOn w:val="Normal"/>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HFUTTitleCN" w:type="paragraph">
    <w:name w:val="HFUT Title CN"/>
    <w:basedOn w:val="Normal"/>
    <w:qFormat/>
    <w:pPr>
      <w:keepNext/>
      <w:snapToGrid w:val="false"/>
      <w:spacing w:after="0" w:before="0" w:line="240" w:lineRule="auto"/>
      <w:jc w:val="center"/>
    </w:pPr>
    <w:rPr>
      <w:rFonts w:ascii="Times New Roman" w:cs="Times New Roman" w:eastAsia="宋体" w:hAnsi="Times New Roman"/>
      <w:b/>
      <w:bCs/>
      <w:sz w:val="44"/>
      <w:szCs w:val="44"/>
      <w:lang w:bidi="ar-SA" w:eastAsia="zh-CN" w:val="en-US"/>
    </w:rPr>
  </w:style>
  <w:style w:styleId="HFUTTitleEN" w:type="paragraph">
    <w:name w:val="HFUT Title EN"/>
    <w:basedOn w:val="Normal"/>
    <w:qFormat/>
    <w:pPr>
      <w:keepNext/>
      <w:spacing w:after="0" w:before="0"/>
      <w:jc w:val="center"/>
    </w:pPr>
    <w:rPr>
      <w:rFonts w:ascii="Times New Roman" w:cs="Times New Roman" w:eastAsia="Times New Roman" w:hAnsi="Times New Roman"/>
      <w:b/>
      <w:bCs/>
      <w:sz w:val="28"/>
      <w:szCs w:val="28"/>
      <w:lang w:bidi="ar-SA" w:eastAsia="zh-CN" w:val="en-US"/>
    </w:rPr>
  </w:style>
  <w:style w:styleId="HFUTAuthorsCN" w:type="paragraph">
    <w:name w:val="HFUT Authors CN"/>
    <w:basedOn w:val="Normal"/>
    <w:qFormat/>
    <w:pPr>
      <w:spacing w:after="0" w:before="0"/>
      <w:jc w:val="center"/>
    </w:pPr>
    <w:rPr>
      <w:rFonts w:ascii="Times New Roman" w:cs="Times New Roman" w:eastAsia="楷体" w:hAnsi="Times New Roman"/>
      <w:sz w:val="28"/>
      <w:szCs w:val="28"/>
      <w:lang w:bidi="ar-SA" w:eastAsia="zh-CN" w:val="en-US"/>
    </w:rPr>
  </w:style>
  <w:style w:styleId="HFUTAuthorsEN" w:type="paragraph">
    <w:name w:val="HFUT Authors EN"/>
    <w:basedOn w:val="Normal"/>
    <w:qFormat/>
    <w:pPr>
      <w:spacing w:after="0" w:before="0"/>
      <w:jc w:val="center"/>
    </w:pPr>
    <w:rPr>
      <w:rFonts w:ascii="Times New Roman" w:cs="Times New Roman" w:eastAsia="Times New Roman" w:hAnsi="Times New Roman"/>
      <w:b/>
      <w:bCs/>
      <w:sz w:val="21"/>
      <w:szCs w:val="21"/>
      <w:lang w:bidi="ar-SA" w:eastAsia="zh-CN" w:val="en-US"/>
    </w:rPr>
  </w:style>
  <w:style w:styleId="HFUTAffiliationCN" w:type="paragraph">
    <w:name w:val="HFUT Affiliation CN"/>
    <w:basedOn w:val="Normal"/>
    <w:qFormat/>
    <w:pPr>
      <w:spacing w:after="0" w:before="0" w:line="240" w:lineRule="exact"/>
      <w:jc w:val="center"/>
    </w:pPr>
    <w:rPr>
      <w:rFonts w:ascii="Times New Roman" w:cs="Times New Roman" w:eastAsia="宋体" w:hAnsi="Times New Roman"/>
      <w:sz w:val="15"/>
      <w:szCs w:val="15"/>
      <w:lang w:bidi="ar-SA" w:eastAsia="zh-CN" w:val="en-US"/>
    </w:rPr>
  </w:style>
  <w:style w:styleId="HFUTAffiliationEN" w:type="paragraph">
    <w:name w:val="HFUT Affiliation EN"/>
    <w:basedOn w:val="Normal"/>
    <w:qFormat/>
    <w:pPr>
      <w:spacing w:after="0" w:before="0" w:line="240" w:lineRule="exact"/>
      <w:jc w:val="center"/>
    </w:pPr>
    <w:rPr>
      <w:rFonts w:ascii="Times New Roman" w:cs="Times New Roman" w:eastAsia="Times New Roman" w:hAnsi="Times New Roman"/>
      <w:sz w:val="15"/>
      <w:szCs w:val="15"/>
      <w:lang w:bidi="ar-SA" w:eastAsia="zh-CN" w:val="en-US"/>
    </w:rPr>
  </w:style>
  <w:style w:styleId="HFUTAbstractLabelCN" w:type="paragraph">
    <w:name w:val="HFUT Abstract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AbstractBodyCN" w:type="paragraph">
    <w:name w:val="HFUT Abstract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AbstractLabelEN" w:type="paragraph">
    <w:name w:val="HFUT Abstract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AbstractBodyEN" w:type="paragraph">
    <w:name w:val="HFUT Abstract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KeywordsLabelCN" w:type="paragraph">
    <w:name w:val="HFUT Keywords Label CN"/>
    <w:basedOn w:val="Normal"/>
    <w:qFormat/>
    <w:pPr>
      <w:spacing w:after="0" w:before="0" w:line="280" w:lineRule="exact"/>
      <w:jc w:val="both"/>
    </w:pPr>
    <w:rPr>
      <w:rFonts w:ascii="Times New Roman" w:cs="Times New Roman" w:eastAsia="黑体" w:hAnsi="Times New Roman"/>
      <w:b/>
      <w:bCs/>
      <w:sz w:val="18"/>
      <w:szCs w:val="18"/>
      <w:lang w:bidi="ar-SA" w:eastAsia="zh-CN" w:val="en-US"/>
    </w:rPr>
  </w:style>
  <w:style w:styleId="HFUTKeywordsBodyCN" w:type="paragraph">
    <w:name w:val="HFUT Keywords Body CN"/>
    <w:basedOn w:val="Normal"/>
    <w:qFormat/>
    <w:pPr>
      <w:spacing w:after="0" w:before="0" w:line="280" w:lineRule="exact"/>
      <w:jc w:val="both"/>
    </w:pPr>
    <w:rPr>
      <w:rFonts w:ascii="Times New Roman" w:cs="Times New Roman" w:eastAsia="宋体" w:hAnsi="Times New Roman"/>
      <w:sz w:val="18"/>
      <w:szCs w:val="18"/>
      <w:lang w:bidi="ar-SA" w:eastAsia="zh-CN" w:val="en-US"/>
    </w:rPr>
  </w:style>
  <w:style w:styleId="HFUTKeywordsLabelEN" w:type="paragraph">
    <w:name w:val="HFUT Keywords Label EN"/>
    <w:basedOn w:val="Normal"/>
    <w:qFormat/>
    <w:pPr>
      <w:spacing w:after="0" w:before="0" w:line="280" w:lineRule="exact"/>
      <w:jc w:val="both"/>
    </w:pPr>
    <w:rPr>
      <w:rFonts w:ascii="Times New Roman" w:cs="Times New Roman" w:eastAsia="Times New Roman" w:hAnsi="Times New Roman"/>
      <w:b/>
      <w:bCs/>
      <w:sz w:val="18"/>
      <w:szCs w:val="18"/>
      <w:lang w:bidi="ar-SA" w:eastAsia="zh-CN" w:val="en-US"/>
    </w:rPr>
  </w:style>
  <w:style w:styleId="HFUTKeywordsBodyEN" w:type="paragraph">
    <w:name w:val="HFUT Keywords Body EN"/>
    <w:basedOn w:val="Normal"/>
    <w:qFormat/>
    <w:pPr>
      <w:spacing w:after="0" w:before="0" w:line="280" w:lineRule="exact"/>
      <w:jc w:val="both"/>
    </w:pPr>
    <w:rPr>
      <w:rFonts w:ascii="Times New Roman" w:cs="Times New Roman" w:eastAsia="Times New Roman" w:hAnsi="Times New Roman"/>
      <w:sz w:val="21"/>
      <w:szCs w:val="21"/>
      <w:lang w:bidi="ar-SA" w:eastAsia="zh-CN" w:val="en-US"/>
    </w:rPr>
  </w:style>
  <w:style w:styleId="HFUTClassification" w:type="paragraph">
    <w:name w:val="HFUT Classification"/>
    <w:basedOn w:val="Normal"/>
    <w:qFormat/>
    <w:pPr>
      <w:spacing w:after="0" w:before="0" w:line="280" w:lineRule="exact"/>
      <w:jc w:val="left"/>
    </w:pPr>
    <w:rPr>
      <w:rFonts w:ascii="Times New Roman" w:cs="Times New Roman" w:eastAsia="宋体" w:hAnsi="Times New Roman"/>
      <w:sz w:val="18"/>
      <w:szCs w:val="18"/>
      <w:lang w:bidi="ar-SA" w:eastAsia="zh-CN" w:val="en-US"/>
    </w:rPr>
  </w:style>
  <w:style w:styleId="HFUTHeading1" w:type="paragraph">
    <w:name w:val="HFUT Heading 1"/>
    <w:basedOn w:val="Normal"/>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Heading2" w:type="paragraph">
    <w:name w:val="HFUT Heading 2"/>
    <w:basedOn w:val="Normal"/>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FUTHeading3" w:type="paragraph">
    <w:name w:val="HFUT Heading 3"/>
    <w:basedOn w:val="Normal"/>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HFUTIntroHeading" w:type="paragraph">
    <w:name w:val="HFUT Introduction Heading"/>
    <w:basedOn w:val="HFUTHeading1"/>
    <w:qFormat/>
    <w:pPr>
      <w:keepNext/>
      <w:keepLines/>
      <w:numPr>
        <w:ilvl w:val="0"/>
        <w:numId w:val="2"/>
      </w:numPr>
      <w:spacing w:after="0" w:before="0" w:line="320" w:lineRule="exact"/>
      <w:jc w:val="left"/>
      <w:outlineLvl w:val="0"/>
    </w:pPr>
    <w:rPr>
      <w:rFonts w:ascii="Times New Roman" w:cs="Times New Roman" w:eastAsia="黑体" w:hAnsi="Times New Roman"/>
      <w:b/>
      <w:bCs/>
      <w:sz w:val="28"/>
      <w:szCs w:val="28"/>
      <w:lang w:bidi="ar-SA" w:eastAsia="zh-CN" w:val="en-US"/>
    </w:rPr>
  </w:style>
  <w:style w:styleId="HFUTEquation" w:type="paragraph">
    <w:name w:val="HFUT Equation"/>
    <w:basedOn w:val="Normal"/>
    <w:qFormat/>
    <w:pPr>
      <w:keepLines/>
      <w:spacing w:after="0" w:before="0" w:line="320" w:lineRule="atLeast"/>
      <w:jc w:val="center"/>
    </w:pPr>
    <w:rPr>
      <w:rFonts w:ascii="Times New Roman" w:cs="Times New Roman" w:eastAsia="Times New Roman" w:hAnsi="Times New Roman"/>
      <w:sz w:val="21"/>
      <w:szCs w:val="21"/>
      <w:lang w:bidi="ar-SA" w:eastAsia="zh-CN" w:val="en-US"/>
    </w:rPr>
  </w:style>
  <w:style w:styleId="HFUTFigureCaption" w:type="paragraph">
    <w:name w:val="HFUT Figur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aption" w:type="paragraph">
    <w:name w:val="HFUT Table Caption"/>
    <w:basedOn w:val="Normal"/>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HFUTTableContent" w:type="paragraph">
    <w:name w:val="HFUT Table Content"/>
    <w:basedOn w:val="Normal"/>
    <w:qFormat/>
    <w:pPr>
      <w:keepLines/>
      <w:spacing w:after="0" w:before="0" w:line="240" w:lineRule="exact"/>
      <w:jc w:val="center"/>
    </w:pPr>
    <w:rPr>
      <w:rFonts w:ascii="Times New Roman" w:cs="Times New Roman" w:eastAsia="宋体" w:hAnsi="Times New Roman"/>
      <w:sz w:val="15"/>
      <w:szCs w:val="15"/>
      <w:lang w:bidi="ar-SA" w:eastAsia="zh-CN" w:val="en-US"/>
    </w:rPr>
  </w:style>
  <w:style w:styleId="HFUTReferenceHeading" w:type="paragraph">
    <w:name w:val="HFUT Reference Heading"/>
    <w:basedOn w:val="Normal"/>
    <w:qFormat/>
    <w:pPr>
      <w:keepNext/>
      <w:keepLines/>
      <w:spacing w:after="0" w:before="0" w:line="320" w:lineRule="exact"/>
      <w:jc w:val="left"/>
    </w:pPr>
    <w:rPr>
      <w:rFonts w:ascii="Times New Roman" w:cs="Times New Roman" w:eastAsia="黑体" w:hAnsi="Times New Roman"/>
      <w:b/>
      <w:bCs/>
      <w:sz w:val="21"/>
      <w:szCs w:val="21"/>
      <w:lang w:bidi="ar-SA" w:eastAsia="zh-CN" w:val="en-US"/>
    </w:rPr>
  </w:style>
  <w:style w:styleId="HFUTReferenceEntry" w:type="paragraph">
    <w:name w:val="HFUT Reference Entry"/>
    <w:basedOn w:val="Normal"/>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uthorBiography" w:type="paragraph">
    <w:name w:val="HFUT Author Biography"/>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Funding" w:type="paragraph">
    <w:name w:val="HFUT Funding"/>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HFUTAcknowledgement" w:type="paragraph">
    <w:name w:val="HFUT Acknowledgement"/>
    <w:basedOn w:val="Normal"/>
    <w:qFormat/>
    <w:pPr>
      <w:spacing w:after="0" w:before="0" w:line="280" w:lineRule="exact"/>
      <w:jc w:val="left"/>
    </w:pPr>
    <w:rPr>
      <w:rFonts w:ascii="Times New Roman" w:cs="Times New Roman" w:eastAsia="宋体" w:hAnsi="Times New Roman"/>
      <w:sz w:val="15"/>
      <w:szCs w:val="15"/>
      <w:lang w:bidi="ar-SA" w:eastAsia="zh-CN" w:val="en-US"/>
    </w:rPr>
  </w:style>
  <w:style w:styleId="BodyText" w:type="paragraph">
    <w:name w:val="Body Text"/>
    <w:basedOn w:val="HFUTBody"/>
    <w:qFormat/>
    <w:pPr>
      <w:spacing w:after="0" w:before="0" w:line="320" w:lineRule="exact"/>
      <w:ind w:firstLine="438"/>
      <w:jc w:val="both"/>
    </w:pPr>
    <w:rPr>
      <w:rFonts w:ascii="Times New Roman" w:cs="Times New Roman" w:eastAsia="宋体" w:hAnsi="Times New Roman"/>
      <w:sz w:val="21"/>
      <w:szCs w:val="21"/>
      <w:lang w:bidi="ar-SA" w:eastAsia="zh-CN" w:val="en-US"/>
    </w:rPr>
  </w:style>
  <w:style w:styleId="Title" w:type="paragraph">
    <w:name w:val="Title"/>
    <w:basedOn w:val="HFUTTitleCN"/>
    <w:qFormat/>
    <w:pPr>
      <w:keepNext/>
      <w:spacing w:after="0" w:before="0"/>
      <w:jc w:val="center"/>
    </w:pPr>
    <w:rPr>
      <w:rFonts w:ascii="Times New Roman" w:cs="Times New Roman" w:eastAsia="宋体" w:hAnsi="Times New Roman"/>
      <w:b/>
      <w:bCs/>
      <w:sz w:val="44"/>
      <w:szCs w:val="44"/>
      <w:lang w:bidi="ar-SA" w:eastAsia="zh-CN" w:val="en-US"/>
    </w:rPr>
  </w:style>
  <w:style w:styleId="Subtitle" w:type="paragraph">
    <w:name w:val="Subtitle"/>
    <w:basedOn w:val="HFUTTitleEN"/>
    <w:qFormat/>
    <w:pPr>
      <w:keepNext/>
      <w:spacing w:after="0" w:before="0"/>
      <w:jc w:val="center"/>
    </w:pPr>
    <w:rPr>
      <w:rFonts w:ascii="Times New Roman" w:cs="Times New Roman" w:eastAsia="Times New Roman" w:hAnsi="Times New Roman"/>
      <w:b/>
      <w:bCs/>
      <w:sz w:val="28"/>
      <w:szCs w:val="28"/>
      <w:lang w:bidi="ar-SA" w:eastAsia="zh-CN" w:val="en-US"/>
    </w:rPr>
  </w:style>
  <w:style w:styleId="Author" w:type="paragraph">
    <w:name w:val="Author"/>
    <w:basedOn w:val="HFUTAuthorsEN"/>
    <w:qFormat/>
    <w:pPr>
      <w:spacing w:after="0" w:before="0"/>
      <w:jc w:val="center"/>
    </w:pPr>
    <w:rPr>
      <w:rFonts w:ascii="Times New Roman" w:cs="Times New Roman" w:eastAsia="Times New Roman" w:hAnsi="Times New Roman"/>
      <w:b/>
      <w:bCs/>
      <w:sz w:val="21"/>
      <w:szCs w:val="21"/>
      <w:lang w:bidi="ar-SA" w:eastAsia="zh-CN" w:val="en-US"/>
    </w:rPr>
  </w:style>
  <w:style w:styleId="Abstract" w:type="paragraph">
    <w:name w:val="Abstract"/>
    <w:basedOn w:val="HFUTAbstractBodyEN"/>
    <w:qFormat/>
    <w:pPr>
      <w:spacing w:after="0" w:before="0" w:line="280" w:lineRule="exact"/>
      <w:jc w:val="both"/>
    </w:pPr>
    <w:rPr>
      <w:rFonts w:ascii="Times New Roman" w:cs="Times New Roman" w:eastAsia="Times New Roman" w:hAnsi="Times New Roman"/>
      <w:sz w:val="21"/>
      <w:szCs w:val="21"/>
      <w:lang w:bidi="ar-SA" w:eastAsia="zh-CN" w:val="en-US"/>
    </w:rPr>
  </w:style>
  <w:style w:styleId="Heading1" w:type="paragraph">
    <w:name w:val="Heading 1"/>
    <w:basedOn w:val="HFUTHeading1"/>
    <w:qFormat/>
    <w:pPr>
      <w:keepNext/>
      <w:keepLines/>
      <w:spacing w:after="0" w:before="0" w:line="320" w:lineRule="exact"/>
      <w:jc w:val="left"/>
      <w:outlineLvl w:val="0"/>
    </w:pPr>
    <w:rPr>
      <w:rFonts w:ascii="Times New Roman" w:cs="Times New Roman" w:eastAsia="黑体" w:hAnsi="Times New Roman"/>
      <w:b/>
      <w:bCs/>
      <w:sz w:val="28"/>
      <w:szCs w:val="28"/>
      <w:lang w:bidi="ar-SA" w:eastAsia="zh-CN" w:val="en-US"/>
    </w:rPr>
  </w:style>
  <w:style w:styleId="Heading2" w:type="paragraph">
    <w:name w:val="Heading 2"/>
    <w:basedOn w:val="HFUTHeading2"/>
    <w:qFormat/>
    <w:pPr>
      <w:keepNext/>
      <w:keepLines/>
      <w:spacing w:after="0" w:before="0" w:line="320" w:lineRule="exact"/>
      <w:jc w:val="left"/>
      <w:outlineLvl w:val="1"/>
    </w:pPr>
    <w:rPr>
      <w:rFonts w:ascii="Times New Roman" w:cs="Times New Roman" w:eastAsia="黑体" w:hAnsi="Times New Roman"/>
      <w:b/>
      <w:bCs/>
      <w:sz w:val="21"/>
      <w:szCs w:val="21"/>
      <w:lang w:bidi="ar-SA" w:eastAsia="zh-CN" w:val="en-US"/>
    </w:rPr>
  </w:style>
  <w:style w:styleId="Heading3" w:type="paragraph">
    <w:name w:val="Heading 3"/>
    <w:basedOn w:val="HFUTHeading3"/>
    <w:qFormat/>
    <w:pPr>
      <w:keepNext/>
      <w:keepLines/>
      <w:spacing w:after="0" w:before="0" w:line="320" w:lineRule="exact"/>
      <w:jc w:val="left"/>
      <w:outlineLvl w:val="2"/>
    </w:pPr>
    <w:rPr>
      <w:rFonts w:ascii="Times New Roman" w:cs="Times New Roman" w:eastAsia="楷体" w:hAnsi="Times New Roman"/>
      <w:sz w:val="21"/>
      <w:szCs w:val="21"/>
      <w:lang w:bidi="ar-SA" w:eastAsia="zh-CN" w:val="en-US"/>
    </w:rPr>
  </w:style>
  <w:style w:styleId="Caption" w:type="paragraph">
    <w:name w:val="Caption"/>
    <w:basedOn w:val="HFUTFigureCaption"/>
    <w:qFormat/>
    <w:pPr>
      <w:keepLines/>
      <w:spacing w:after="0" w:before="0" w:line="320" w:lineRule="exact"/>
      <w:jc w:val="center"/>
    </w:pPr>
    <w:rPr>
      <w:rFonts w:ascii="Times New Roman" w:cs="Times New Roman" w:eastAsia="黑体" w:hAnsi="Times New Roman"/>
      <w:b/>
      <w:bCs/>
      <w:sz w:val="15"/>
      <w:szCs w:val="15"/>
      <w:lang w:bidi="ar-SA" w:eastAsia="zh-CN" w:val="en-US"/>
    </w:rPr>
  </w:style>
  <w:style w:styleId="Table" w:type="paragraph">
    <w:name w:val="Table"/>
    <w:basedOn w:val="HFUTTableContent"/>
    <w:qFormat/>
    <w:pPr>
      <w:keepLines/>
      <w:spacing w:after="0" w:before="0" w:line="240" w:lineRule="exact"/>
      <w:jc w:val="center"/>
    </w:pPr>
    <w:rPr>
      <w:rFonts w:ascii="Times New Roman" w:cs="Times New Roman" w:eastAsia="宋体" w:hAnsi="Times New Roman"/>
      <w:sz w:val="15"/>
      <w:szCs w:val="15"/>
      <w:lang w:bidi="ar-SA" w:eastAsia="zh-CN" w:val="en-US"/>
    </w:rPr>
  </w:style>
  <w:style w:styleId="Bibliography" w:type="paragraph">
    <w:name w:val="Bibliography"/>
    <w:basedOn w:val="HFUTReferenceEntry"/>
    <w:qFormat/>
    <w:pPr>
      <w:keepLines/>
      <w:spacing w:after="0" w:before="0" w:line="280" w:lineRule="exact"/>
      <w:ind w:hanging="360" w:left="360"/>
      <w:jc w:val="left"/>
    </w:pPr>
    <w:rPr>
      <w:rFonts w:ascii="Times New Roman" w:cs="Times New Roman" w:eastAsia="宋体" w:hAnsi="Times New Roman"/>
      <w:sz w:val="15"/>
      <w:szCs w:val="15"/>
      <w:lang w:bidi="ar-SA" w:eastAsia="zh-CN" w:val="en-US"/>
    </w:rPr>
  </w:style>
  <w:style w:styleId="HFUTAbstractLabelCNChar" w:type="character">
    <w:name w:val="HFUT Abstract Label CN Char"/>
    <w:basedOn w:val="DefaultParagraphFont"/>
    <w:qFormat/>
    <w:rPr>
      <w:rFonts w:ascii="Times New Roman" w:cs="Times New Roman" w:eastAsia="黑体" w:hAnsi="Times New Roman"/>
      <w:b/>
      <w:bCs/>
      <w:sz w:val="18"/>
      <w:szCs w:val="18"/>
      <w:lang w:bidi="ar-SA" w:eastAsia="zh-CN" w:val="en-US"/>
    </w:rPr>
  </w:style>
  <w:style w:styleId="HFUTKeywordsLabelCNChar" w:type="character">
    <w:name w:val="HFUT Keywords Label CN Char"/>
    <w:basedOn w:val="DefaultParagraphFont"/>
    <w:qFormat/>
    <w:rPr>
      <w:rFonts w:ascii="Times New Roman" w:cs="Times New Roman" w:eastAsia="黑体" w:hAnsi="Times New Roman"/>
      <w:b/>
      <w:bCs/>
      <w:sz w:val="18"/>
      <w:szCs w:val="18"/>
      <w:lang w:bidi="ar-SA" w:eastAsia="zh-CN" w:val="en-US"/>
    </w:rPr>
  </w:style>
  <w:style w:styleId="HFUTAbstractLabelENChar" w:type="character">
    <w:name w:val="HFUT Abstract Label EN Char"/>
    <w:basedOn w:val="DefaultParagraphFont"/>
    <w:qFormat/>
    <w:rPr>
      <w:rFonts w:ascii="Times New Roman" w:cs="Times New Roman" w:eastAsia="Times New Roman" w:hAnsi="Times New Roman"/>
      <w:b/>
      <w:bCs/>
      <w:sz w:val="21"/>
      <w:szCs w:val="21"/>
      <w:lang w:bidi="ar-SA" w:eastAsia="zh-CN" w:val="en-US"/>
    </w:rPr>
  </w:style>
  <w:style w:styleId="HFUTKeywordsLabelENChar" w:type="character">
    <w:name w:val="HFUT Keywords Label EN Char"/>
    <w:basedOn w:val="DefaultParagraphFont"/>
    <w:qFormat/>
    <w:rPr>
      <w:rFonts w:ascii="Times New Roman" w:cs="Times New Roman" w:eastAsia="Times New Roman" w:hAnsi="Times New Roman"/>
      <w:b/>
      <w:bCs/>
      <w:sz w:val="21"/>
      <w:szCs w:val="21"/>
      <w:lang w:bidi="ar-SA" w:eastAsia="zh-CN" w:val="en-US"/>
    </w:rPr>
  </w:style>
  <w:style w:styleId="HFUTLatin" w:type="character">
    <w:name w:val="HFUT Latin"/>
    <w:basedOn w:val="DefaultParagraphFont"/>
    <w:qFormat/>
    <w:rPr>
      <w:rFonts w:ascii="Times New Roman" w:cs="Times New Roman" w:eastAsia="Times New Roman" w:hAnsi="Times New Roman"/>
      <w:sz w:val="21"/>
      <w:szCs w:val="21"/>
      <w:lang w:bidi="ar-SA" w:eastAsia="zh-CN" w:val="en-US"/>
    </w:rPr>
  </w:style>
  <w:style w:styleId="HFUTThreeLineTable" w:type="table">
    <w:name w:val="HFUT Three Line Table"/>
    <w:basedOn w:val="TableNormal"/>
    <w:qFormat/>
    <w:tblPr>
      <w:tblBorders>
        <w:top w:color="000000" w:space="0" w:sz="8" w:val="single"/>
        <w:left w:val="nil"/>
        <w:bottom w:color="000000" w:space="0" w:sz="8" w:val="single"/>
        <w:right w:val="nil"/>
        <w:insideH w:color="000000" w:space="0" w:sz="4" w:val="single"/>
        <w:insideV w:val="nil"/>
      </w:tblBorders>
      <w:tblCellMar>
        <w:top w:type="dxa" w:w="0"/>
        <w:left w:type="dxa" w:w="108"/>
        <w:bottom w:type="dxa" w:w="0"/>
        <w:right w:type="dxa" w:w="108"/>
      </w:tblCellMar>
    </w:tblPr>
    <w:tblStylePr w:type="firstRow">
      <w:tblPr>
        <w:tblBorders>
          <w:bottom w:color="000000" w:space="0" w:sz="4" w:val="single"/>
        </w:tblBorders>
      </w:tbl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2" Target="numbering.xml" /><Relationship Type="http://schemas.openxmlformats.org/officeDocument/2006/relationships/styles" Id="rId11" Target="styles.xml" /><Relationship Type="http://schemas.openxmlformats.org/officeDocument/2006/relationships/settings" Id="rId10" Target="settings.xml" /><Relationship Type="http://schemas.openxmlformats.org/officeDocument/2006/relationships/webSettings" Id="rId9" Target="webSettings.xml" /><Relationship Type="http://schemas.openxmlformats.org/officeDocument/2006/relationships/fontTable" Id="rId8" Target="fontTable.xml" /><Relationship Type="http://schemas.openxmlformats.org/officeDocument/2006/relationships/theme" Id="rId7" Target="theme/theme1.xml" /><Relationship Type="http://schemas.openxmlformats.org/officeDocument/2006/relationships/footnotes" Id="rId6" Target="footnotes.xml" /><Relationship Type="http://schemas.openxmlformats.org/officeDocument/2006/relationships/comments" Id="rId5" Target="comments.xml" /><Relationship Id="rId4"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 Id="rId63" Type="http://schemas.openxmlformats.org/officeDocument/2006/relationships/footer" Target="footer2.xml" /></Relationships>
</file>

<file path=word/_rels/footnotes.xml.rels><?xml version="1.0" encoding="UTF-8"?><Relationships xmlns="http://schemas.openxmlformats.org/package/2006/relationships"><Relationship Type="http://schemas.openxmlformats.org/officeDocument/2006/relationships/hyperlink" Id="rId48" Target="https://docs.nvidia.com/cuda/archive/12.6.0/cuda-c-best-practices-guide/index.html" TargetMode="External" /><Relationship Type="http://schemas.openxmlformats.org/officeDocument/2006/relationships/hyperlink" Id="rId54" Target="https://docs.nvidia.com/cuda/archive/12.6.0/cuda-c-programming-guide/index.html" TargetMode="External" /><Relationship Type="http://schemas.openxmlformats.org/officeDocument/2006/relationships/hyperlink" Id="rId42" Target="https://docs.nvidia.com/deeplearning/tensorrt/archives/tensorrt-1030/pdf/TensorRT-Release-Notes.pdf" TargetMode="External" /><Relationship Type="http://schemas.openxmlformats.org/officeDocument/2006/relationships/hyperlink" Id="rId32" Target="https://docs.ultralytics.com/models/yolov8/" TargetMode="External" /><Relationship Type="http://schemas.openxmlformats.org/officeDocument/2006/relationships/hyperlink" Id="rId62" Target="https://doi.org/10.1007/s10845-025-02672-8" TargetMode="External" /><Relationship Type="http://schemas.openxmlformats.org/officeDocument/2006/relationships/hyperlink" Id="rId26" Target="https://doi.org/10.1007/s40747-024-01362-x" TargetMode="External" /><Relationship Type="http://schemas.openxmlformats.org/officeDocument/2006/relationships/hyperlink" Id="rId24" Target="https://doi.org/10.1016/j.apsusc.2013.09.002" TargetMode="External" /><Relationship Type="http://schemas.openxmlformats.org/officeDocument/2006/relationships/hyperlink" Id="rId46" Target="https://doi.org/10.1016/j.hspr.2024.02.001" TargetMode="External" /><Relationship Type="http://schemas.openxmlformats.org/officeDocument/2006/relationships/hyperlink" Id="rId30" Target="https://doi.org/10.1109/ACCESS.2024.3476908" TargetMode="External" /><Relationship Type="http://schemas.openxmlformats.org/officeDocument/2006/relationships/hyperlink" Id="rId56" Target="https://doi.org/10.1109/ACCESS.2024.3520240" TargetMode="External" /><Relationship Type="http://schemas.openxmlformats.org/officeDocument/2006/relationships/hyperlink" Id="rId34" Target="https://doi.org/10.1109/ICCVW54120.2021.00118" TargetMode="External" /><Relationship Type="http://schemas.openxmlformats.org/officeDocument/2006/relationships/hyperlink" Id="rId50" Target="https://doi.org/10.1109/RTAS48715.2020.00007" TargetMode="External" /><Relationship Type="http://schemas.openxmlformats.org/officeDocument/2006/relationships/hyperlink" Id="rId58" Target="https://doi.org/10.1145/2408776.2408794" TargetMode="External" /><Relationship Type="http://schemas.openxmlformats.org/officeDocument/2006/relationships/hyperlink" Id="rId36" Target="https://doi.org/10.1145/3711875.3736688" TargetMode="External" /><Relationship Type="http://schemas.openxmlformats.org/officeDocument/2006/relationships/hyperlink" Id="rId44" Target="https://doi.org/10.24963/ijcai.2024/474" TargetMode="External" /><Relationship Type="http://schemas.openxmlformats.org/officeDocument/2006/relationships/hyperlink" Id="rId60" Target="https://doi.org/10.3390/app12083734" TargetMode="External" /><Relationship Type="http://schemas.openxmlformats.org/officeDocument/2006/relationships/hyperlink" Id="rId38" Target="https://doi.org/10.3390/electronics13081551" TargetMode="External" /><Relationship Type="http://schemas.openxmlformats.org/officeDocument/2006/relationships/hyperlink" Id="rId22" Target="https://doi.org/10.3390/s20061562" TargetMode="External" /><Relationship Type="http://schemas.openxmlformats.org/officeDocument/2006/relationships/hyperlink" Id="rId28" Target="https://doi.org/10.3390/s24196495" TargetMode="External" /><Relationship Type="http://schemas.openxmlformats.org/officeDocument/2006/relationships/hyperlink" Id="rId52" Target="https://doi.org/10.4230/OASIcs.PARMA-DITAM.202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Python standard library deterministic OOXML builder</Application>
  <DocSecurity>0</DocSecurity>
  <ScaleCrop>false</ScaleCrop>
  <Company>Project-owned candidate</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2026-08-17T15:33:20Z</dcterms:created>
  <dcterms:modified xsi:type="dcterms:W3CDTF">2026-08-17T15:33:20Z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ffiliation-cn">
    <ns1:lpwstr>合肥工业大学数学学院，安徽 合肥 230601</ns1:lpwstr>
  </ns0:property>
  <ns0:property fmtid="{D5CDD505-2E9C-101B-9397-08002B2CF9AE}" pid="3" name="affiliation-en">
    <ns1:lpwstr>School of Mathematics, Hefei University of Technology, Hefei 230601, China</ns1:lpwstr>
  </ns0:property>
  <ns0:property fmtid="{D5CDD505-2E9C-101B-9397-08002B2CF9AE}" pid="5" name="authors-cn">
    <ns1:lpwstr>王凯伦，王琦</ns1:lpwstr>
  </ns0:property>
  <ns0:property fmtid="{D5CDD505-2E9C-101B-9397-08002B2CF9AE}" pid="6" name="authors-en">
    <ns1:lpwstr>WANG Kailun, WANG Qi</ns1:lpwstr>
  </ns0:property>
  <ns0:property fmtid="{D5CDD505-2E9C-101B-9397-08002B2CF9AE}" pid="7" name="bibliography">
    <ns1:lpwstr/>
  </ns0:property>
  <ns0:property fmtid="{D5CDD505-2E9C-101B-9397-08002B2CF9AE}" pid="8" name="classification">
    <ns1:lpwstr>TP391.41</ns1:lpwstr>
  </ns0:property>
  <ns0:property fmtid="{D5CDD505-2E9C-101B-9397-08002B2CF9AE}" pid="9" name="corresponding-author-cn">
    <ns1:lpwstr>王琦</ns1:lpwstr>
  </ns0:property>
  <ns0:property fmtid="{D5CDD505-2E9C-101B-9397-08002B2CF9AE}" pid="10" name="corresponding-author-email">
    <ns1:lpwstr/>
  </ns0:property>
  <ns0:property fmtid="{D5CDD505-2E9C-101B-9397-08002B2CF9AE}" pid="11" name="corresponding-author-en">
    <ns1:lpwstr>WANG Qi</ns1:lpwstr>
  </ns0:property>
  <ns0:property fmtid="{D5CDD505-2E9C-101B-9397-08002B2CF9AE}" pid="12" name="csl">
    <ns1:lpwstr>docs/paper/manuscript/csl/hfut_gbt7714_2025_numeric_v1.0.csl</ns1:lpwstr>
  </ns0:property>
</ns0:Properties>
</file>