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media/rId22.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drawingml/2006/wordprocessingDrawing" xmlns:ns3="http://schemas.openxmlformats.org/drawingml/2006/main" xmlns:ns4="http://schemas.openxmlformats.org/drawingml/2006/picture" xmlns:ns5="http://schemas.openxmlformats.org/officeDocument/2006/math" xmlns:w="http://schemas.openxmlformats.org/wordprocessingml/2006/main">
  <w:body>
    <w:p>
      <w:pPr>
        <w:pStyle w:val="HFUTTitleCN"/>
      </w:pPr>
      <w:r>
        <w:rPr>
          <w:rFonts w:hint="eastAsia"/>
        </w:rPr>
        <w:t xml:space="preserve">Jetson端工业缺陷检测的输入数据路径重构</w:t>
      </w:r>
    </w:p>
    <w:p>
      <w:pPr>
        <w:pStyle w:val="HFUTAuthorsCN"/>
      </w:pPr>
      <w:r>
        <w:rPr>
          <w:rFonts w:hint="eastAsia"/>
        </w:rPr>
        <w:t xml:space="preserve">王凯伦，王琦</w:t>
      </w:r>
    </w:p>
    <w:p>
      <w:pPr>
        <w:pStyle w:val="HFUTAffiliationCN"/>
      </w:pPr>
      <w:r>
        <w:rPr>
          <w:rFonts w:hint="eastAsia"/>
        </w:rPr>
        <w:t xml:space="preserve">合肥工业大学数学学院，安徽</w:t>
      </w:r>
      <w:r>
        <w:t xml:space="preserve"> </w:t>
      </w:r>
      <w:r>
        <w:rPr>
          <w:rFonts w:hint="eastAsia"/>
        </w:rPr>
        <w:t xml:space="preserve">合肥</w:t>
      </w:r>
      <w:r>
        <w:t xml:space="preserve"> 230601</w:t>
      </w:r>
    </w:p>
    <w:p>
      <w:pPr>
        <w:pStyle w:val="HFUTBody"/>
      </w:pPr>
      <w:r>
        <w:rPr>
          <w:rFonts w:hint="eastAsia"/>
        </w:rPr>
        <w:t xml:space="preserve">通信作者：王琦</w:t>
      </w:r>
    </w:p>
    <w:p>
      <w:pPr>
        <w:pStyle w:val="HFUTAbstractBodyCN"/>
      </w:pPr>
      <w:r>
        <w:rPr>
          <w:rStyle w:val="HFUTAbstractLabelCNChar"/>
          <w:rFonts w:hint="eastAsia"/>
        </w:rPr>
        <w:t xml:space="preserve">摘要：</w:t>
      </w:r>
      <w:r>
        <w:rPr>
          <w:rFonts w:hint="eastAsia"/>
        </w:rPr>
        <w:t xml:space="preserve">针对Jetson端工业缺陷检测中网络低精度化不能直接消除输入形成与主机—设备数据移动开销的问题，本文在固定YOLOv8n和TensorRT</w:t>
      </w:r>
      <w:r>
        <w:t xml:space="preserve"> </w:t>
      </w:r>
      <w:r>
        <w:rPr>
          <w:rFonts w:hint="eastAsia"/>
        </w:rPr>
        <w:t xml:space="preserve">INT8混合精度Engine的条件下，将CPU/OpenCV侧形成FP32</w:t>
      </w:r>
      <w:r>
        <w:t xml:space="preserve"> </w:t>
      </w:r>
      <w:r>
        <w:rPr>
          <w:rFonts w:hint="eastAsia"/>
        </w:rPr>
        <w:t xml:space="preserve">NCHW张量并复制至设备的基线路径，重构为packed</w:t>
      </w:r>
      <w:r>
        <w:t xml:space="preserve"> </w:t>
      </w:r>
      <w:r>
        <w:rPr>
          <w:rFonts w:hint="eastAsia"/>
        </w:rPr>
        <w:t xml:space="preserve">BGR原始图像暂存、二维主机到设备复制以及GPU侧融合CUDA预处理直接形成TensorRT设备输入的路径。在统一的任务正确性、逐帧E2E延迟、进程级FPS和合并样本P95/P99评价口径下，实验通过V0→V2R与V2R→V3R两级受控比较，分别考察完整输入形成路径重构和pageable→pinned主机暂存变化。三条路径在冻结的180幅测试集上获得一致的任务级指标。V2R相对V0达到2.24×</w:t>
      </w:r>
      <w:r>
        <w:t xml:space="preserve"> </w:t>
      </w:r>
      <w:r>
        <w:rPr>
          <w:rFonts w:hint="eastAsia"/>
        </w:rPr>
        <w:t xml:space="preserve">FPS，平均延迟降低55.45%，构成主要E2E性能增量；V3R相对V2R的FPS变化为+4.07%，平均延迟变化为−4.03%，P95变化为+0.15%、P99变化为−0.12%，两个尾延迟指标变化均低于0.2%且方向相反。结果表明，在本文固定Jetson平台、实现和离线回放工作负载下，完整输入形成与数据移动路径重构带来主要平均性能收益，pinned暂存只提供有限的平均增量，尚无一致的尾延迟改善证据。</w:t>
      </w:r>
    </w:p>
    <w:p>
      <w:pPr>
        <w:pStyle w:val="HFUTKeywordsBodyCN"/>
      </w:pPr>
      <w:r>
        <w:rPr>
          <w:rStyle w:val="HFUTKeywordsLabelCNChar"/>
          <w:rFonts w:hint="eastAsia"/>
        </w:rPr>
        <w:t xml:space="preserve">关键词：</w:t>
      </w:r>
      <w:r>
        <w:rPr>
          <w:rFonts w:hint="eastAsia"/>
        </w:rPr>
        <w:t xml:space="preserve">Jetson；工业缺陷检测；INT8混合精度推理；CUDA预处理；主机—设备数据路径</w:t>
      </w:r>
    </w:p>
    <w:p>
      <w:pPr>
        <w:pStyle w:val="HFUTTitleEN"/>
      </w:pPr>
      <w:r>
        <w:t xml:space="preserve">Input Data-Path Reconstruction for Industrial Defect Detection on Jetson</w:t>
      </w:r>
    </w:p>
    <w:p>
      <w:pPr>
        <w:pStyle w:val="HFUTAuthorsEN"/>
      </w:pPr>
      <w:r>
        <w:t xml:space="preserve">WANG Kailun, WANG Qi</w:t>
      </w:r>
    </w:p>
    <w:p>
      <w:pPr>
        <w:pStyle w:val="HFUTAffiliationEN"/>
      </w:pPr>
      <w:r>
        <w:t xml:space="preserve">School of Mathematics, Hefei University of Technology, Hefei 230601, China</w:t>
      </w:r>
    </w:p>
    <w:p>
      <w:pPr>
        <w:pStyle w:val="HFUTBody"/>
      </w:pPr>
      <w:r>
        <w:t xml:space="preserve">Corresponding author: WANG Qi</w:t>
      </w:r>
    </w:p>
    <w:p>
      <w:pPr>
        <w:pStyle w:val="HFUTAbstractBodyEN"/>
      </w:pPr>
      <w:r>
        <w:rPr>
          <w:rStyle w:val="HFUTAbstractLabelENChar"/>
        </w:rPr>
        <w:t xml:space="preserve">Abstract:</w:t>
      </w:r>
      <w:r>
        <w:t xml:space="preserve"> </w:t>
      </w:r>
      <w:r>
        <w:t xml:space="preserve">For Jetson-based industrial defect detection, reducing network precision does not by itself remove the costs of input formation and host-device data movement. With a fixed YOLOv8n detector and TensorRT INT8 mixed-precision Engine, this study restructures a baseline path that forms an FP32 NCHW tensor through CPU/OpenCV and copies it to the device into a path based on packed BGR raw-image staging, two-dimensional host-to-device copying, and fused CUDA preprocessing that directly forms the TensorRT device input. A unified protocol evaluates task correctness, source-to-pre-sink per-frame latency, process-level FPS, and pooled P95/P99 through two controlled comparisons: V0→V2R for the complete input-formation restructuring and V2R→V3R for pageable-to-pinned host staging. All three paths produce identical task-level metrics on the frozen 180-image test set. Relative to V0, V2R achieves 2.24× FPS and 55.45% lower mean latency, representing the principal end-to-end performance gain. Relative to V2R, the V3R changes are +4.07% in FPS and −4.03% in mean latency; the P95 and P99 changes are +0.15% and −0.12%, respectively, with both tail changes below 0.2% and in opposite directions. Under the fixed Jetson platform, implementation, and offline replay workload evaluated here, the complete input-formation and data-movement restructuring provides the main average-performance gain, whereas pinned staging adds only a limited mean improvement and does not provide evidence of consistent tail-latency improvement.</w:t>
      </w:r>
    </w:p>
    <w:p>
      <w:pPr>
        <w:pStyle w:val="HFUTKeywordsBodyEN"/>
      </w:pPr>
      <w:r>
        <w:rPr>
          <w:rStyle w:val="HFUTKeywordsLabelENChar"/>
        </w:rPr>
        <w:t xml:space="preserve">Keywords:</w:t>
      </w:r>
      <w:r>
        <w:t xml:space="preserve"> </w:t>
      </w:r>
      <w:r>
        <w:t xml:space="preserve">Jetson; industrial defect detection; INT8 mixed-precision inference; CUDA preprocessing; host-device data path</w:t>
      </w:r>
    </w:p>
    <w:p>
      <w:pPr>
        <w:pStyle w:val="HFUTClassification"/>
      </w:pPr>
      <w:r>
        <w:rPr>
          <w:rFonts w:hint="eastAsia"/>
        </w:rPr>
        <w:t xml:space="preserve">中图分类号：TP391.41</w:t>
      </w:r>
    </w:p>
    <w:p>
      <w:pPr>
        <w:pStyle w:val="HFUTSpecimenNotice"/>
        <w:sectPr>
          <w:footerReference ns1:id="rId4" w:type="default"/>
          <w:footerReference w:type="first" ns1:id="rId74"/>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工业产品表面缺陷会影响产品质量与后续制造过程，金属表面缺陷自动检测已成为工业视觉的重要应用方向</w:t>
      </w:r>
      <w:r>
        <w:rPr>
          <w:vertAlign w:val="superscript"/>
        </w:rPr>
        <w:t xml:space="preserve">[1]</w:t>
      </w:r>
      <w:r>
        <w:rPr>
          <w:rFonts w:hint="eastAsia"/>
        </w:rPr>
        <w:t xml:space="preserve">。东北大学钢材表面缺陷数据库包含开裂、夹杂、斑块、点蚀表面、轧制氧化皮和划痕等典型缺陷，为工业缺陷检测研究提供了常用实验基础</w:t>
      </w:r>
      <w:r>
        <w:rPr>
          <w:vertAlign w:val="superscript"/>
        </w:rPr>
        <w:t xml:space="preserve">[2]</w:t>
      </w:r>
      <w:r>
        <w:t xml:space="preserve">。</w:t>
      </w:r>
    </w:p>
    <w:p>
      <w:pPr>
        <w:pStyle w:val="HFUTBody"/>
      </w:pPr>
      <w:r>
        <w:rPr>
          <w:rFonts w:hint="eastAsia"/>
        </w:rPr>
        <w:t xml:space="preserve">现有表面缺陷检测研究多围绕检测器结构展开，通过轻量化骨干、注意力或多尺度特征融合改善缺陷表征，并讨论检测精度与模型复杂度之间的权衡</w:t>
      </w:r>
      <w:r>
        <w:rPr>
          <w:vertAlign w:val="superscript"/>
        </w:rPr>
        <w:t xml:space="preserve">[3–5]</w:t>
      </w:r>
      <w:r>
        <w:rPr>
          <w:rFonts w:hint="eastAsia"/>
        </w:rPr>
        <w:t xml:space="preserve">。YOLOv8模型系列提供多种规模的检测模型以及训练、推理和导出能力</w:t>
      </w:r>
      <w:r>
        <w:rPr>
          <w:vertAlign w:val="superscript"/>
        </w:rPr>
        <w:t xml:space="preserve">[6]</w:t>
      </w:r>
      <w:r>
        <w:rPr>
          <w:rFonts w:hint="eastAsia"/>
        </w:rPr>
        <w:t xml:space="preserve">。当检测器转移到资源受限的边缘平台后，研究对象还包括模型之外的部署执行过程。已有工作将边缘DNN运行时作为独立系统问题，并把预处理、推理和后处理纳入完整检测路径</w:t>
      </w:r>
      <w:r>
        <w:rPr>
          <w:vertAlign w:val="superscript"/>
        </w:rPr>
        <w:t xml:space="preserve">[7]</w:t>
      </w:r>
      <w:r>
        <w:rPr>
          <w:rFonts w:hint="eastAsia"/>
        </w:rPr>
        <w:t xml:space="preserve">；其他AI工作负载中的研究也表明，CPU预处理及其数据管理可能限制加速器利用率和端到端（end-to-end，E2E）性能</w:t>
      </w:r>
      <w:r>
        <w:rPr>
          <w:vertAlign w:val="superscript"/>
        </w:rPr>
        <w:t xml:space="preserve">[8]</w:t>
      </w:r>
      <w:r>
        <w:rPr>
          <w:rFonts w:hint="eastAsia"/>
        </w:rPr>
        <w:t xml:space="preserve">。工业现场附近的边缘部署则进一步要求系统在受限计算条件下完成完整处理流程</w:t>
      </w:r>
      <w:r>
        <w:rPr>
          <w:vertAlign w:val="superscript"/>
        </w:rPr>
        <w:t xml:space="preserve">[9]</w:t>
      </w:r>
      <w:r>
        <w:t xml:space="preserve">。</w:t>
      </w:r>
    </w:p>
    <w:p>
      <w:pPr>
        <w:pStyle w:val="HFUTBody"/>
      </w:pPr>
      <w:r>
        <w:t xml:space="preserve">TensorRT </w:t>
      </w:r>
      <w:r>
        <w:rPr>
          <w:rFonts w:hint="eastAsia"/>
        </w:rPr>
        <w:t xml:space="preserve">INT8混合精度部署可减少网络侧计算开销，后训练量化能够在既有模型基础上实施低比特近似，但量化扰动仍需通过任务正确性评价加以约束</w:t>
      </w:r>
      <w:r>
        <w:rPr>
          <w:vertAlign w:val="superscript"/>
        </w:rPr>
        <w:t xml:space="preserve">[10,11]</w:t>
      </w:r>
      <w:r>
        <w:rPr>
          <w:rFonts w:hint="eastAsia"/>
        </w:rPr>
        <w:t xml:space="preserve">。本文采用TensorRT</w:t>
      </w:r>
      <w:r>
        <w:t xml:space="preserve"> </w:t>
      </w:r>
      <w:r>
        <w:rPr>
          <w:rFonts w:hint="eastAsia"/>
        </w:rPr>
        <w:t xml:space="preserve">10.3中的校准式INT8路线作为固定推理前提；该版本的传统隐式INT8量化和calibrator接口已被标记为弃用，因而实验结论限定于本文的软件栈</w:t>
      </w:r>
      <w:r>
        <w:rPr>
          <w:vertAlign w:val="superscript"/>
        </w:rPr>
        <w:t xml:space="preserve">[12]</w:t>
      </w:r>
      <w:r>
        <w:rPr>
          <w:rFonts w:hint="eastAsia"/>
        </w:rPr>
        <w:t xml:space="preserve">。网络低精度化并不会自动重组图像解码后的主机侧数据表示、输入张量形成位置或主机—设备数据移动，完整E2E性能仍取决于这些阶段在实际部署路径中的组织方式。</w:t>
      </w:r>
    </w:p>
    <w:p>
      <w:pPr>
        <w:pStyle w:val="HFUTBody"/>
      </w:pPr>
      <w:r>
        <w:rPr>
          <w:rFonts w:hint="eastAsia"/>
        </w:rPr>
        <w:t xml:space="preserve">现有相关工作分别从检测模型、量化与推理、边缘运行时、GPU预处理或系统级部署等角度讨论边缘检测性能。为减少模型和推理后端差异带来的混杂，本文进一步将研究范围收敛到固定检测器与Engine条件下的输入形成位置、主机侧数据表示、输入复制载荷以及可分页（pageable）/锁页（pinned）暂存，并通过两级受控路径比较评价其完整E2E行为。本文据此将研究重点放在Jetson</w:t>
      </w:r>
      <w:r>
        <w:t xml:space="preserve"> TensorRT </w:t>
      </w:r>
      <w:r>
        <w:rPr>
          <w:rFonts w:hint="eastAsia"/>
        </w:rPr>
        <w:t xml:space="preserve">INT8输入形成与主机—设备数据路径工程：基线路径V0在主机侧通过CPU/OpenCV形成FP32</w:t>
      </w:r>
      <w:r>
        <w:t xml:space="preserve"> </w:t>
      </w:r>
      <w:r>
        <w:rPr>
          <w:rFonts w:hint="eastAsia"/>
        </w:rPr>
        <w:t xml:space="preserve">NCHW张量并复制至设备；V2R将其重构为packed</w:t>
      </w:r>
      <w:r>
        <w:t xml:space="preserve"> </w:t>
      </w:r>
      <w:r>
        <w:rPr>
          <w:rFonts w:hint="eastAsia"/>
        </w:rPr>
        <w:t xml:space="preserve">BGR原始图像暂存、通过</w:t>
      </w:r>
      <w:r>
        <w:rPr>
          <w:rStyle w:val="VerbatimChar"/>
        </w:rPr>
        <w:t xml:space="preserve">cudaMemcpy2DAsync</w:t>
      </w:r>
      <w:r>
        <w:rPr>
          <w:rFonts w:hint="eastAsia"/>
        </w:rPr>
        <w:t xml:space="preserve">执行二维H2D复制和GPU侧融合CUDA预处理，直接形成TensorRT设备输入；V3R保持相同CUDA预处理、CUDA</w:t>
      </w:r>
      <w:r>
        <w:t xml:space="preserve"> </w:t>
      </w:r>
      <w:r>
        <w:rPr>
          <w:rFonts w:hint="eastAsia"/>
        </w:rPr>
        <w:t xml:space="preserve">stream和下游拓扑，仅将pageable原始图像暂存替换为pinned暂存。</w:t>
      </w:r>
    </w:p>
    <w:p>
      <w:pPr>
        <w:pStyle w:val="HFUTBody"/>
      </w:pPr>
      <w:r>
        <w:rPr>
          <w:rFonts w:hint="eastAsia"/>
        </w:rPr>
        <w:t xml:space="preserve">本文的主要贡献包括两点：1）在固定YOLOv8n和TensorRT</w:t>
      </w:r>
      <w:r>
        <w:t xml:space="preserve"> </w:t>
      </w:r>
      <w:r>
        <w:rPr>
          <w:rFonts w:hint="eastAsia"/>
        </w:rPr>
        <w:t xml:space="preserve">INT8混合精度Engine的条件下，将CPU/OpenCV主机侧FP32张量输入形成路径重构为packed</w:t>
      </w:r>
      <w:r>
        <w:t xml:space="preserve"> </w:t>
      </w:r>
      <w:r>
        <w:rPr>
          <w:rFonts w:hint="eastAsia"/>
        </w:rPr>
        <w:t xml:space="preserve">BGR原始图像暂存、</w:t>
      </w:r>
      <w:r>
        <w:rPr>
          <w:rStyle w:val="VerbatimChar"/>
        </w:rPr>
        <w:t xml:space="preserve">cudaMemcpy2DAsync</w:t>
      </w:r>
      <w:r>
        <w:rPr>
          <w:rFonts w:hint="eastAsia"/>
        </w:rPr>
        <w:t xml:space="preserve">和融合CUDA预处理，使CUDA核函数直接形成TensorRT管理的FP32</w:t>
      </w:r>
      <w:r>
        <w:t xml:space="preserve"> </w:t>
      </w:r>
      <w:r>
        <w:rPr>
          <w:rFonts w:hint="eastAsia"/>
        </w:rPr>
        <w:t xml:space="preserve">NCHW设备输入，并通过pageable/pinned配置隔离主机暂存内存类型；2）在统一的任务正确性、E2E延迟、进程级FPS与合并样本P95/P99评价口径下，通过V0→V2R和V2R→V3R两级受控比较，区分完整输入路径重构的主要性能收益与pinned暂存的有限平均增量，并利用5次独立进程考察运行级分布和尾延迟行为。</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两级受控路径及其完整E2E观测关系见图1。</w:t>
      </w:r>
    </w:p>
    <w:p>
      <w:pPr>
        <w:pStyle w:val="BodyText"/>
        <w:keepNext/>
        <w:spacing w:before="0" w:after="0" w:line="320" w:lineRule="atLeast"/>
        <w:ind w:firstLine="0"/>
        <w:jc w:val="center"/>
      </w:pPr>
      <w:r>
        <w:drawing>
          <ns2:inline>
            <ns2:extent cx="5759999" cy="3353153"/>
            <ns2:effectExtent b="0" l="0" r="0" t="0"/>
            <ns2:docPr descr="" title="" id="14" name="Picture"/>
            <ns3:graphic>
              <ns3:graphicData uri="http://schemas.openxmlformats.org/drawingml/2006/picture">
                <ns4:pic>
                  <ns4:nvPicPr>
                    <ns4:cNvPr descr="fig1_hero_data_path_phase56.png" id="15" name="Picture"/>
                    <ns4:cNvPicPr>
                      <ns3:picLocks noChangeArrowheads="1" noChangeAspect="1"/>
                    </ns4:cNvPicPr>
                  </ns4:nvPicPr>
                  <ns4:blipFill>
                    <ns3:blip ns1:embed="rId13"/>
                    <ns3:stretch>
                      <ns3:fillRect/>
                    </ns3:stretch>
                  </ns4:blipFill>
                  <ns4:spPr bwMode="auto">
                    <ns3:xfrm>
                      <ns3:off x="0" y="0"/>
                      <ns3:ext cx="5759999" cy="3353153"/>
                    </ns3:xfrm>
                    <ns3:prstGeom prst="rect">
                      <ns3:avLst/>
                    </ns3:prstGeom>
                    <ns3:noFill/>
                    <ns3:ln w="9525">
                      <ns3:noFill/>
                      <ns3:headEnd/>
                      <ns3:tailEnd/>
                    </ns3:ln>
                  </ns4:spPr>
                </ns4:pic>
              </ns3:graphicData>
            </ns3:graphic>
          </ns2: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图1</w:t>
      </w:r>
      <w:r>
        <w:rPr>
          <w:b/>
          <w:bCs/>
        </w:rPr>
        <w:t xml:space="preserve">　</w:t>
      </w:r>
      <w:r>
        <w:rPr>
          <w:rFonts w:hint="eastAsia"/>
          <w:b/>
          <w:bCs/>
        </w:rPr>
        <w:t xml:space="preserve">V0、V2R和V3R受控数据路径及完整路径观测。V0在主机侧形成FP32</w:t>
      </w:r>
      <w:r>
        <w:rPr>
          <w:b/>
          <w:bCs/>
        </w:rPr>
        <w:t xml:space="preserve"> </w:t>
      </w:r>
      <w:r>
        <w:rPr>
          <w:rFonts w:hint="eastAsia"/>
          <w:b/>
          <w:bCs/>
        </w:rPr>
        <w:t xml:space="preserve">NCHW输入张量，V2R/V3R将打包原始图像复制到设备并在GPU侧形成TensorRT输入；V3R仅将V2R的pageable暂存替换为pinned暂存。性能数字表示完整端到端路径比较，不归因于单一组件。输入复制载荷为名义值，不等同于实测总线流量。</w:t>
      </w:r>
    </w:p>
    <w:p>
      <w:pPr>
        <w:pStyle w:val="HFUTBody"/>
      </w:pPr>
      <w:r>
        <w:rPr>
          <w:rFonts w:hint="eastAsia"/>
        </w:rPr>
        <w:t xml:space="preserve">全文首先定义模型、数据集、部署环境、E2E数据路径和研究问题；随后说明V0、V2R和V3R的输入形成实现及正确性控制；继而给出统一实验协议；最后从正确性、整体E2E性能、名义输入复制载荷、运行级分布、相关工作定位和适用边界六个方面讨论结果。</w:t>
      </w:r>
    </w:p>
    <w:p>
      <w:pPr>
        <w:pStyle w:val="HFUTHeading1"/>
      </w:pPr>
      <w:r>
        <w:t xml:space="preserve">1 </w:t>
      </w:r>
      <w:r>
        <w:rPr>
          <w:rFonts w:hint="eastAsia"/>
        </w:rPr>
        <w:t xml:space="preserve">系统对象与问题定义</w:t>
      </w:r>
    </w:p>
    <w:p>
      <w:pPr>
        <w:pStyle w:val="HFUTHeading2"/>
      </w:pPr>
      <w:r>
        <w:t xml:space="preserve">1.1 </w:t>
      </w:r>
      <w:r>
        <w:rPr>
          <w:rFonts w:hint="eastAsia"/>
        </w:rPr>
        <w:t xml:space="preserve">模型、数据集与部署环境</w:t>
      </w:r>
    </w:p>
    <w:p>
      <w:pPr>
        <w:pStyle w:val="HFUTBody"/>
      </w:pPr>
      <w:r>
        <w:rPr>
          <w:rFonts w:hint="eastAsia"/>
        </w:rPr>
        <w:t xml:space="preserve">本文研究对象为部署于NVIDIA</w:t>
      </w:r>
      <w:r>
        <w:t xml:space="preserve"> Jetson Orin Nano </w:t>
      </w:r>
      <w:r>
        <w:rPr>
          <w:rFonts w:hint="eastAsia"/>
        </w:rPr>
        <w:t xml:space="preserve">Super边缘平台的YOLOv8n工业缺陷检测模型。实际记录的软件环境为L4T</w:t>
      </w:r>
      <w:r>
        <w:t xml:space="preserve"> R36.5、CUDA </w:t>
      </w:r>
      <w:r>
        <w:rPr>
          <w:rFonts w:hint="eastAsia"/>
        </w:rPr>
        <w:t xml:space="preserve">12.6和TensorRT</w:t>
      </w:r>
      <w:r>
        <w:t xml:space="preserve"> </w:t>
      </w:r>
      <w:r>
        <w:rPr>
          <w:rFonts w:hint="eastAsia"/>
        </w:rPr>
        <w:t xml:space="preserve">10.3，模型输入固定为640×640、batch</w:t>
      </w:r>
      <w:r>
        <w:t xml:space="preserve"> </w:t>
      </w:r>
      <w:r>
        <w:rPr>
          <w:rFonts w:hint="eastAsia"/>
        </w:rPr>
        <w:t xml:space="preserve">size为1。NVIDIA官方资料显示，JetPack</w:t>
      </w:r>
      <w:r>
        <w:t xml:space="preserve"> </w:t>
      </w:r>
      <w:r>
        <w:rPr>
          <w:rFonts w:hint="eastAsia"/>
        </w:rPr>
        <w:t xml:space="preserve">6.2.2所含Jetson</w:t>
      </w:r>
      <w:r>
        <w:t xml:space="preserve"> Linux 36.5、CUDA </w:t>
      </w:r>
      <w:r>
        <w:rPr>
          <w:rFonts w:hint="eastAsia"/>
        </w:rPr>
        <w:t xml:space="preserve">12.6和TensorRT</w:t>
      </w:r>
      <w:r>
        <w:t xml:space="preserve"> </w:t>
      </w:r>
      <w:r>
        <w:rPr>
          <w:rFonts w:hint="eastAsia"/>
        </w:rPr>
        <w:t xml:space="preserve">10.3与上述组件版本相对应；本文仍以实际记录的组件版本而非JetPack</w:t>
      </w:r>
      <w:r>
        <w:t xml:space="preserve"> </w:t>
      </w:r>
      <w:r>
        <w:rPr>
          <w:rFonts w:hint="eastAsia"/>
        </w:rPr>
        <w:t xml:space="preserve">meta-package推断作为环境身份</w:t>
      </w:r>
      <w:r>
        <w:rPr>
          <w:vertAlign w:val="superscript"/>
        </w:rPr>
        <w:t xml:space="preserve">[13]</w:t>
      </w:r>
      <w:r>
        <w:t xml:space="preserve">。</w:t>
      </w:r>
    </w:p>
    <w:p>
      <w:pPr>
        <w:pStyle w:val="HFUTBody"/>
      </w:pPr>
      <w:r>
        <w:rPr>
          <w:rFonts w:hint="eastAsia"/>
        </w:rPr>
        <w:t xml:space="preserve">数据采用NEU-DET目标检测标注及去重后的split-v2。原始数据库包含6类钢材表面缺陷和1800幅200×200图像；去重后训练集、验证集和测试集分别包含1260、359和180幅图像，测试集成员保持不变。后续部署评价固定使用同一组180幅测试图像。固定推理对象由既有YOLOv8n通过校准式后训练量化构建；量化部署需要同时评价计算实现与任务性能</w:t>
      </w:r>
      <w:r>
        <w:rPr>
          <w:vertAlign w:val="superscript"/>
        </w:rPr>
        <w:t xml:space="preserve">[14]</w:t>
      </w:r>
      <w:r>
        <w:rPr>
          <w:rFonts w:hint="eastAsia"/>
        </w:rPr>
        <w:t xml:space="preserve">，因此本文只将该Engine作为数据路径研究的共同前提。</w:t>
      </w:r>
    </w:p>
    <w:p>
      <w:pPr>
        <w:pStyle w:val="HFUTBody"/>
      </w:pPr>
      <w:r>
        <w:rPr>
          <w:rFonts w:hint="eastAsia"/>
        </w:rPr>
        <w:t xml:space="preserve">正式校准使用去重训练集的1260幅图像并排除测试集，采用</w:t>
      </w:r>
      <w:r>
        <w:rPr>
          <w:rStyle w:val="VerbatimChar"/>
        </w:rPr>
        <w:t xml:space="preserve">IInt8EntropyCalibrator2</w:t>
      </w:r>
      <w:r>
        <w:t xml:space="preserve">、batch size </w:t>
      </w:r>
      <w:r>
        <w:rPr>
          <w:rFonts w:hint="eastAsia"/>
        </w:rPr>
        <w:t xml:space="preserve">1和640×640输入。校准数据经过与生产CPU</w:t>
      </w:r>
      <w:r>
        <w:t xml:space="preserve"> </w:t>
      </w:r>
      <w:r>
        <w:rPr>
          <w:rStyle w:val="VerbatimChar"/>
        </w:rPr>
        <w:t xml:space="preserve">Preprocessor</w:t>
      </w:r>
      <w:r>
        <w:rPr>
          <w:rFonts w:hint="eastAsia"/>
        </w:rPr>
        <w:t xml:space="preserve">一致的BGR</w:t>
      </w:r>
      <w:r>
        <w:t xml:space="preserve"> </w:t>
      </w:r>
      <w:r>
        <w:rPr>
          <w:rFonts w:hint="eastAsia"/>
        </w:rPr>
        <w:t xml:space="preserve">letterbox、RGB/NCHW与FP32/255预处理；构建同时启用INT8与FP16，并在支持位置保持FP32</w:t>
      </w:r>
      <w:r>
        <w:t xml:space="preserve"> </w:t>
      </w:r>
      <w:r>
        <w:rPr>
          <w:rFonts w:hint="eastAsia"/>
        </w:rPr>
        <w:t xml:space="preserve">I/O，故本文统一称其为TensorRT</w:t>
      </w:r>
      <w:r>
        <w:t xml:space="preserve"> </w:t>
      </w:r>
      <w:r>
        <w:rPr>
          <w:rFonts w:hint="eastAsia"/>
        </w:rPr>
        <w:t xml:space="preserve">INT8混合精度Engine。正式构建采用强制cache</w:t>
      </w:r>
      <w:r>
        <w:t xml:space="preserve"> </w:t>
      </w:r>
      <w:r>
        <w:rPr>
          <w:rFonts w:hint="eastAsia"/>
        </w:rPr>
        <w:t xml:space="preserve">miss，1260个校准batch全部执行；校准完成后生成并归档cache，未将既有cache复用为正式构建输入。</w:t>
      </w:r>
    </w:p>
    <w:p>
      <w:pPr>
        <w:pStyle w:val="HFUTHeading2"/>
      </w:pPr>
      <w:r>
        <w:t xml:space="preserve">1.2 </w:t>
      </w:r>
      <w:r>
        <w:rPr>
          <w:rFonts w:hint="eastAsia"/>
        </w:rPr>
        <w:t xml:space="preserve">E2E数据路径与受控变量</w:t>
      </w:r>
    </w:p>
    <w:p>
      <w:pPr>
        <w:pStyle w:val="HFUTBody"/>
      </w:pPr>
      <w:r>
        <w:rPr>
          <w:rFonts w:hint="eastAsia"/>
        </w:rPr>
        <w:t xml:space="preserve">完整部署路径不仅包含固定输入张量进入TensorRT</w:t>
      </w:r>
      <w:r>
        <w:t xml:space="preserve"> </w:t>
      </w:r>
      <w:r>
        <w:rPr>
          <w:rFonts w:hint="eastAsia"/>
        </w:rPr>
        <w:t xml:space="preserve">Engine后的网络计算，还包括图像获取与解码、主机暂存、输入形成、必要的数据移动、推理与同步、后处理和结果构造。Jetson检测部署通常同样区分预处理、模型推理和后处理</w:t>
      </w:r>
      <w:r>
        <w:rPr>
          <w:vertAlign w:val="superscript"/>
        </w:rPr>
        <w:t xml:space="preserve">[15]</w:t>
      </w:r>
      <w:r>
        <w:rPr>
          <w:rFonts w:hint="eastAsia"/>
        </w:rPr>
        <w:t xml:space="preserve">。本文用下式表示统一计时边界内各执行阶段共同构成E2E耗时：</w:t>
      </w:r>
    </w:p>
    <w:p>
      <w:pPr>
        <w:pStyle w:val="HFUTEquation"/>
      </w:pPr>
      <ns5:oMathPara>
        <ns5:oMathParaPr>
          <ns5:jc ns5:val="center"/>
        </ns5:oMathParaPr>
        <ns5:oMath>
          <ns5:sSub>
            <ns5:e>
              <ns5:r>
                <ns5:t>T</ns5:t>
              </ns5:r>
            </ns5:e>
            <ns5:sub>
              <ns5:r>
                <ns5:rPr>
                  <ns5:sty ns5:val="p"/>
                </ns5:rPr>
                <ns5:t>E</ns5:t>
              </ns5:r>
              <ns5:r>
                <ns5:rPr>
                  <ns5:sty ns5:val="p"/>
                </ns5:rPr>
                <ns5:t>2</ns5:t>
              </ns5:r>
              <ns5:r>
                <ns5:rPr>
                  <ns5:sty ns5:val="p"/>
                </ns5:rPr>
                <ns5:t>E</ns5:t>
              </ns5:r>
            </ns5:sub>
          </ns5:sSub>
          <ns5:r>
            <ns5:rPr>
              <ns5:sty ns5:val="p"/>
            </ns5:rPr>
            <ns5:t>=</ns5:t>
          </ns5:r>
          <ns5:nary>
            <ns5:naryPr>
              <ns5:chr ns5:val="∑"/>
              <ns5:limLoc ns5:val="undOvr"/>
              <ns5:subHide ns5:val="off"/>
              <ns5:supHide ns5:val="off"/>
            </ns5:naryPr>
            <ns5:sub>
              <ns5:r>
                <ns5:t>k</ns5:t>
              </ns5:r>
              <ns5:r>
                <ns5:rPr>
                  <ns5:sty ns5:val="p"/>
                </ns5:rPr>
                <ns5:t>=</ns5:t>
              </ns5:r>
              <ns5:r>
                <ns5:t>1</ns5:t>
              </ns5:r>
            </ns5:sub>
            <ns5:sup>
              <ns5:r>
                <ns5:t>m</ns5:t>
              </ns5:r>
            </ns5:sup>
            <ns5:e>
              <ns5:sSub>
                <ns5:e>
                  <ns5:r>
                    <ns5:t>T</ns5:t>
                  </ns5:r>
                </ns5:e>
                <ns5:sub>
                  <ns5:r>
                    <ns5:t>k</ns5:t>
                  </ns5:r>
                </ns5:sub>
              </ns5:sSub>
            </ns5:e>
          </ns5:nary>
          <ns5:r>
            <ns5:rPr>
              <ns5:sty ns5:val="p"/>
            </ns5:rPr>
            <ns5:t>.</ns5:t>
          </ns5:r>
        </ns5:oMath>
      </ns5:oMathPara>
    </w:p>
    <w:p>
      <w:pPr>
        <w:pStyle w:val="HFUTBody"/>
        <w:spacing w:before="0" w:after="0" w:line="360" w:lineRule="atLeast"/>
      </w:pPr>
      <w:r>
        <w:rPr>
          <w:rFonts w:hint="eastAsia"/>
        </w:rPr>
        <w:t xml:space="preserve">该式只说明本文统计完整处理路径，而非仅包含TensorRT网络推理时间；各个</w:t>
      </w:r>
      <ns5:oMath>
        <ns5:sSub>
          <ns5:e>
            <ns5:r>
              <ns5:t>T</ns5:t>
            </ns5:r>
          </ns5:e>
          <ns5:sub>
            <ns5:r>
              <ns5:t>k</ns5:t>
            </ns5:r>
          </ns5:sub>
        </ns5:sSub>
      </ns5:oMath>
      <w:r>
        <w:rPr>
          <w:rFonts w:hint="eastAsia"/>
        </w:rPr>
        <w:t xml:space="preserve">未被独立插桩或测量。</w:t>
      </w:r>
    </w:p>
    <w:p>
      <w:pPr>
        <w:pStyle w:val="HFUTBody"/>
      </w:pPr>
      <w:r>
        <w:rPr>
          <w:rFonts w:hint="eastAsia"/>
        </w:rPr>
        <w:t xml:space="preserve">V0将解码后的BGR图像在主机侧形成640×640</w:t>
      </w:r>
      <w:r>
        <w:t xml:space="preserve"> FP32 </w:t>
      </w:r>
      <w:r>
        <w:rPr>
          <w:rFonts w:hint="eastAsia"/>
        </w:rPr>
        <w:t xml:space="preserve">RGB/NCHW张量，再把该张量复制到TensorRT设备输入。V2R/V3R先暂存packed</w:t>
      </w:r>
      <w:r>
        <w:t xml:space="preserve"> BGR</w:t>
      </w:r>
      <w:r>
        <w:t xml:space="preserve"> </w:t>
      </w:r>
      <w:r>
        <w:rPr>
          <w:rStyle w:val="VerbatimChar"/>
        </w:rPr>
        <w:t xml:space="preserve">uint8</w:t>
      </w:r>
      <w:r>
        <w:rPr>
          <w:rFonts w:hint="eastAsia"/>
        </w:rPr>
        <w:t xml:space="preserve">原始图像，通过</w:t>
      </w:r>
      <w:r>
        <w:rPr>
          <w:rStyle w:val="VerbatimChar"/>
        </w:rPr>
        <w:t xml:space="preserve">cudaMemcpy2DAsync</w:t>
      </w:r>
      <w:r>
        <w:rPr>
          <w:rFonts w:hint="eastAsia"/>
        </w:rPr>
        <w:t xml:space="preserve">执行二维H2D复制，写入设备原始图像缓冲区，再由一个融合CUDA核函数完成resize、padding、BGR→RGB、归一化和布局转换，并直接写入TensorRT管理的FP32</w:t>
      </w:r>
      <w:r>
        <w:t xml:space="preserve"> </w:t>
      </w:r>
      <w:r>
        <w:rPr>
          <w:rFonts w:hint="eastAsia"/>
        </w:rPr>
        <w:t xml:space="preserve">NCHW设备输入。V2R与V3R复用同一CUDA</w:t>
      </w:r>
      <w:r>
        <w:t xml:space="preserve"> </w:t>
      </w:r>
      <w:r>
        <w:rPr>
          <w:rFonts w:hint="eastAsia"/>
        </w:rPr>
        <w:t xml:space="preserve">stream、相同CUDA预处理和相同下游拓扑；两者之间唯一隔离变量是原始图像主机暂存的分配类型。</w:t>
      </w:r>
    </w:p>
    <w:p>
      <w:pPr>
        <w:pStyle w:val="HFUTBody"/>
      </w:pPr>
      <w:r>
        <w:rPr>
          <w:rFonts w:hint="eastAsia"/>
        </w:rPr>
        <w:t xml:space="preserve">锁页内存可为满足条件的主机—设备异步传输与计算重叠提供支持，但它是有限资源，实际收益取决于具体实现</w:t>
      </w:r>
      <w:r>
        <w:rPr>
          <w:vertAlign w:val="superscript"/>
        </w:rPr>
        <w:t xml:space="preserve">[16]</w:t>
      </w:r>
      <w:r>
        <w:rPr>
          <w:rFonts w:hint="eastAsia"/>
        </w:rPr>
        <w:t xml:space="preserve">。集成CPU/GPU和GPU内存分配研究也表明，内存策略的表现取决于平台、工作负载和访问特征</w:t>
      </w:r>
      <w:r>
        <w:rPr>
          <w:vertAlign w:val="superscript"/>
        </w:rPr>
        <w:t xml:space="preserve">[17,18]</w:t>
      </w:r>
      <w:r>
        <w:rPr>
          <w:rFonts w:hint="eastAsia"/>
        </w:rPr>
        <w:t xml:space="preserve">。本文因此把pageable→pinned暂存作为独立变量，而不预设其收益。CUDA</w:t>
      </w:r>
      <w:r>
        <w:t xml:space="preserve"> </w:t>
      </w:r>
      <w:r>
        <w:rPr>
          <w:rFonts w:hint="eastAsia"/>
        </w:rPr>
        <w:t xml:space="preserve">stream与异步复制的通用语义参照CUDA官方文档</w:t>
      </w:r>
      <w:r>
        <w:rPr>
          <w:vertAlign w:val="superscript"/>
        </w:rPr>
        <w:t xml:space="preserve">[19]</w:t>
      </w:r>
      <w:r>
        <w:rPr>
          <w:rFonts w:hint="eastAsia"/>
        </w:rPr>
        <w:t xml:space="preserve">；当前实现仍为单帧顺序路径，不使用跨帧传输/计算重叠。</w:t>
      </w:r>
    </w:p>
    <w:p>
      <w:pPr>
        <w:pStyle w:val="HFUTBody"/>
      </w:pPr>
      <w:r>
        <w:rPr>
          <w:rFonts w:hint="eastAsia"/>
        </w:rPr>
        <w:t xml:space="preserve">V0→V2R覆盖主机FP32张量形成到原始图像H2D与GPU输入形成的完整重构；V2R→V3R仅替换主机暂存分配类型。完整检测系统与GPU预处理研究均提示，局部数据路径变化必须放回E2E执行边界评价</w:t>
      </w:r>
      <w:r>
        <w:rPr>
          <w:vertAlign w:val="superscript"/>
        </w:rPr>
        <w:t xml:space="preserve">[20]</w:t>
      </w:r>
      <w:r>
        <w:rPr>
          <w:rFonts w:hint="eastAsia"/>
        </w:rPr>
        <w:t xml:space="preserve">。局部优化对E2E性能的实际贡献取决于其在完整执行路径中的占比及瓶颈位置，因此组件级变化不能直接等价为完整系统加速</w:t>
      </w:r>
      <w:r>
        <w:rPr>
          <w:vertAlign w:val="superscript"/>
        </w:rPr>
        <w:t xml:space="preserve">[21]</w:t>
      </w:r>
      <w:r>
        <w:t xml:space="preserve">。</w:t>
      </w:r>
    </w:p>
    <w:p>
      <w:pPr>
        <w:pStyle w:val="HFUTHeading2"/>
      </w:pPr>
      <w:r>
        <w:t xml:space="preserve">1.3 </w:t>
      </w:r>
      <w:r>
        <w:rPr>
          <w:rFonts w:hint="eastAsia"/>
        </w:rPr>
        <w:t xml:space="preserve">统一计时边界与研究问题</w:t>
      </w:r>
    </w:p>
    <w:p>
      <w:pPr>
        <w:pStyle w:val="HFUTBody"/>
      </w:pPr>
      <w:r>
        <w:rPr>
          <w:rFonts w:hint="eastAsia"/>
        </w:rPr>
        <w:t xml:space="preserve">推理系统的延迟、吞吐率与尾延迟描述不同性能属性，平均延迟不能替代分布尾部</w:t>
      </w:r>
      <w:r>
        <w:rPr>
          <w:vertAlign w:val="superscript"/>
        </w:rPr>
        <w:t xml:space="preserve">[22]</w:t>
      </w:r>
      <w:r>
        <w:rPr>
          <w:rFonts w:hint="eastAsia"/>
        </w:rPr>
        <w:t xml:space="preserve">。系统基准也需要针对具体场景分别定义延迟和吞吐率边界</w:t>
      </w:r>
      <w:r>
        <w:rPr>
          <w:vertAlign w:val="superscript"/>
        </w:rPr>
        <w:t xml:space="preserve">[23]</w:t>
      </w:r>
      <w:r>
        <w:rPr>
          <w:rFonts w:hint="eastAsia"/>
        </w:rPr>
        <w:t xml:space="preserve">。本文采用固定离线回放协议，不采用MLPerf的查询生成、样本数或统计推断规则。</w:t>
      </w:r>
    </w:p>
    <w:p>
      <w:pPr>
        <w:pStyle w:val="HFUTBody"/>
      </w:pPr>
      <w:r>
        <w:rPr>
          <w:rFonts w:hint="eastAsia"/>
        </w:rPr>
        <w:t xml:space="preserve">逐帧延迟采用统一的源读取至结果写出前（source-to-pre-sink）外部边界：计时从获取数据源帧之前开始，包含图像获取与解码、路径对应的主机暂存和输入形成、H2D、TensorRT推理与同步、必要的D2H、CPU后处理/NMS及结果对象构造，在结果序列化和写文件之前结束。进程级FPS则以每个独立进程的1080个测量帧除以完整测量阶段的wall</w:t>
      </w:r>
      <w:r>
        <w:t xml:space="preserve"> </w:t>
      </w:r>
      <w:r>
        <w:rPr>
          <w:rFonts w:hint="eastAsia"/>
        </w:rPr>
        <w:t xml:space="preserve">time得到，包含协议中统一的结果输出处理。两类指标采用不同边界，FPS不由逐帧延迟取倒数获得。</w:t>
      </w:r>
    </w:p>
    <w:p>
      <w:pPr>
        <w:pStyle w:val="HFUTBody"/>
      </w:pPr>
      <w:r>
        <w:rPr>
          <w:rFonts w:hint="eastAsia"/>
        </w:rPr>
        <w:t xml:space="preserve">基于上述定义，本文只回答两个研究问题。RQ1：在固定模型、Engine和工作负载下，将主机FP32张量形成路径重构为原始图像H2D与GPU融合预处理，对完整E2E性能产生多大影响？RQ2：在GPU预处理、CUDA</w:t>
      </w:r>
      <w:r>
        <w:t xml:space="preserve"> </w:t>
      </w:r>
      <w:r>
        <w:rPr>
          <w:rFonts w:hint="eastAsia"/>
        </w:rPr>
        <w:t xml:space="preserve">stream和下游拓扑保持不变时，将pageable原始图像暂存替换为pinned暂存，是否进一步改善平均性能，以及P95/P99是否呈现一致的尾延迟改善？</w:t>
      </w:r>
    </w:p>
    <w:p>
      <w:pPr>
        <w:pStyle w:val="HFUTHeading1"/>
      </w:pPr>
      <w:r>
        <w:t xml:space="preserve">2 </w:t>
      </w:r>
      <w:r>
        <w:rPr>
          <w:rFonts w:hint="eastAsia"/>
        </w:rPr>
        <w:t xml:space="preserve">数据路径工程方法</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三条受控路径的主要配置及比较变量见表1。</w:t>
      </w:r>
    </w:p>
    <w:p>
      <w:pPr>
        <w:pStyle w:val="HFUTTableCaption"/>
        <w:jc w:val="center"/>
      </w:pPr>
      <w:r>
        <w:rPr>
          <w:rFonts w:hint="eastAsia"/>
          <w:b/>
          <w:bCs/>
        </w:rPr>
        <w:t xml:space="preserve">表1</w:t>
      </w:r>
      <w:r>
        <w:rPr>
          <w:b/>
          <w:bCs/>
        </w:rPr>
        <w:t xml:space="preserve">　</w:t>
      </w:r>
      <w:r>
        <w:rPr>
          <w:rFonts w:hint="eastAsia"/>
          <w:b/>
          <w:bCs/>
        </w:rPr>
        <w:t xml:space="preserve">V0、V2R和V3R受控数据路径的特征矩阵。三条路径使用相同检测器和TensorRT</w:t>
      </w:r>
      <w:r>
        <w:rPr>
          <w:b/>
          <w:bCs/>
        </w:rPr>
        <w:t xml:space="preserve"> </w:t>
      </w:r>
      <w:r>
        <w:rPr>
          <w:rFonts w:hint="eastAsia"/>
          <w:b/>
          <w:bCs/>
        </w:rPr>
        <w:t xml:space="preserve">Engine；V0在主机侧形成FP32输入张量，V2R/V3R在设备侧形成输入张量，且后两者仅在pageable与pinned原始图像暂存类型上不同。三条路径均为单帧顺序执行，无跨帧流水线。</w:t>
      </w:r>
    </w:p>
    <w:tbl>
      <w:tblPr>
        <w:tblStyle w:val="HFUTThreeLineTable"/>
        <w:tblW w:type="dxa" w:w="9072"/>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路径特征</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t xml:space="preserve">V0</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t xml:space="preserve">V2R</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t xml:space="preserve">V3R</w:t>
            </w:r>
          </w:p>
        </w:tc>
      </w:tr>
      <w:tr>
        <w:trPr>
          <w:cantSplit/>
        </w:trPr>
        <w:tc>
          <w:tcPr>
            <w:tcW w:w="3200" w:type="dxa"/>
            <w:tcBorders>
              <w:top w:val="nil"/>
              <w:left w:val="nil"/>
              <w:bottom w:val="nil"/>
              <w:right w:val="nil"/>
            </w:tcBorders>
          </w:tcPr>
          <w:p>
            <w:pPr>
              <w:pStyle w:val="HFUTTableContent"/>
              <w:ind w:left="0" w:right="0" w:firstLine="0"/>
              <w:jc w:val="left"/>
            </w:pPr>
            <w:r>
              <w:t xml:space="preserve">Detector / Engine</w:t>
            </w:r>
          </w:p>
        </w:tc>
        <w:tc>
          <w:tcPr>
            <w:tcW w:w="1957" w:type="dxa"/>
            <w:tcBorders>
              <w:top w:val="nil"/>
              <w:left w:val="nil"/>
              <w:bottom w:val="nil"/>
              <w:right w:val="nil"/>
            </w:tcBorders>
          </w:tcPr>
          <w:p>
            <w:pPr>
              <w:pStyle w:val="HFUTTableContent"/>
              <w:ind w:left="0" w:right="0" w:firstLine="0"/>
              <w:jc w:val="center"/>
            </w:pPr>
            <w:r>
              <w:rPr>
                <w:rFonts w:hint="eastAsia"/>
              </w:rPr>
              <w:t xml:space="preserve">相同</w:t>
            </w:r>
          </w:p>
        </w:tc>
        <w:tc>
          <w:tcPr>
            <w:tcW w:w="1957" w:type="dxa"/>
            <w:tcBorders>
              <w:top w:val="nil"/>
              <w:left w:val="nil"/>
              <w:bottom w:val="nil"/>
              <w:right w:val="nil"/>
            </w:tcBorders>
          </w:tcPr>
          <w:p>
            <w:pPr>
              <w:pStyle w:val="HFUTTableContent"/>
              <w:ind w:left="0" w:right="0" w:firstLine="0"/>
              <w:jc w:val="center"/>
            </w:pPr>
            <w:r>
              <w:rPr>
                <w:rFonts w:hint="eastAsia"/>
              </w:rPr>
              <w:t xml:space="preserve">相同</w:t>
            </w:r>
          </w:p>
        </w:tc>
        <w:tc>
          <w:tcPr>
            <w:tcW w:w="1958" w:type="dxa"/>
            <w:tcBorders>
              <w:top w:val="nil"/>
              <w:left w:val="nil"/>
              <w:bottom w:val="nil"/>
              <w:right w:val="nil"/>
            </w:tcBorders>
          </w:tcPr>
          <w:p>
            <w:pPr>
              <w:pStyle w:val="HFUTTableContent"/>
              <w:ind w:left="0" w:right="0" w:firstLine="0"/>
              <w:jc w:val="center"/>
            </w:pPr>
            <w:r>
              <w:rPr>
                <w:rFonts w:hint="eastAsia"/>
              </w:rPr>
              <w:t xml:space="preserve">相同</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CPU像素预处理</w:t>
            </w:r>
          </w:p>
        </w:tc>
        <w:tc>
          <w:tcPr>
            <w:tcW w:w="1957" w:type="dxa"/>
            <w:tcBorders>
              <w:top w:val="nil"/>
              <w:left w:val="nil"/>
              <w:bottom w:val="nil"/>
              <w:right w:val="nil"/>
            </w:tcBorders>
          </w:tcPr>
          <w:p>
            <w:pPr>
              <w:pStyle w:val="HFUTTableContent"/>
              <w:ind w:left="0" w:right="0" w:firstLine="0"/>
              <w:jc w:val="center"/>
            </w:pPr>
            <w:r>
              <w:rPr>
                <w:rFonts w:hint="eastAsia"/>
              </w:rPr>
              <w:t xml:space="preserve">是</w:t>
            </w:r>
          </w:p>
        </w:tc>
        <w:tc>
          <w:tcPr>
            <w:tcW w:w="1957" w:type="dxa"/>
            <w:tcBorders>
              <w:top w:val="nil"/>
              <w:left w:val="nil"/>
              <w:bottom w:val="nil"/>
              <w:right w:val="nil"/>
            </w:tcBorders>
          </w:tcPr>
          <w:p>
            <w:pPr>
              <w:pStyle w:val="HFUTTableContent"/>
              <w:ind w:left="0" w:right="0" w:firstLine="0"/>
              <w:jc w:val="center"/>
            </w:pPr>
            <w:r>
              <w:rPr>
                <w:rFonts w:hint="eastAsia"/>
              </w:rPr>
              <w:t xml:space="preserve">否</w:t>
            </w:r>
          </w:p>
        </w:tc>
        <w:tc>
          <w:tcPr>
            <w:tcW w:w="1958" w:type="dxa"/>
            <w:tcBorders>
              <w:top w:val="nil"/>
              <w:left w:val="nil"/>
              <w:bottom w:val="nil"/>
              <w:right w:val="nil"/>
            </w:tcBorders>
          </w:tcPr>
          <w:p>
            <w:pPr>
              <w:pStyle w:val="HFUTTableContent"/>
              <w:ind w:left="0" w:right="0" w:firstLine="0"/>
              <w:jc w:val="center"/>
            </w:pPr>
            <w:r>
              <w:rPr>
                <w:rFonts w:hint="eastAsia"/>
              </w:rPr>
              <w:t xml:space="preserve">否</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CUDA预处理</w:t>
            </w:r>
          </w:p>
        </w:tc>
        <w:tc>
          <w:tcPr>
            <w:tcW w:w="1957" w:type="dxa"/>
            <w:tcBorders>
              <w:top w:val="nil"/>
              <w:left w:val="nil"/>
              <w:bottom w:val="nil"/>
              <w:right w:val="nil"/>
            </w:tcBorders>
          </w:tcPr>
          <w:p>
            <w:pPr>
              <w:pStyle w:val="HFUTTableContent"/>
              <w:ind w:left="0" w:right="0" w:firstLine="0"/>
              <w:jc w:val="center"/>
            </w:pPr>
            <w:r>
              <w:rPr>
                <w:rFonts w:hint="eastAsia"/>
              </w:rPr>
              <w:t xml:space="preserve">否</w:t>
            </w:r>
          </w:p>
        </w:tc>
        <w:tc>
          <w:tcPr>
            <w:tcW w:w="1957" w:type="dxa"/>
            <w:tcBorders>
              <w:top w:val="nil"/>
              <w:left w:val="nil"/>
              <w:bottom w:val="nil"/>
              <w:right w:val="nil"/>
            </w:tcBorders>
          </w:tcPr>
          <w:p>
            <w:pPr>
              <w:pStyle w:val="HFUTTableContent"/>
              <w:ind w:left="0" w:right="0" w:firstLine="0"/>
              <w:jc w:val="center"/>
            </w:pPr>
            <w:r>
              <w:rPr>
                <w:rFonts w:hint="eastAsia"/>
              </w:rPr>
              <w:t xml:space="preserve">是</w:t>
            </w:r>
          </w:p>
        </w:tc>
        <w:tc>
          <w:tcPr>
            <w:tcW w:w="1958" w:type="dxa"/>
            <w:tcBorders>
              <w:top w:val="nil"/>
              <w:left w:val="nil"/>
              <w:bottom w:val="nil"/>
              <w:right w:val="nil"/>
            </w:tcBorders>
          </w:tcPr>
          <w:p>
            <w:pPr>
              <w:pStyle w:val="HFUTTableContent"/>
              <w:ind w:left="0" w:right="0" w:firstLine="0"/>
              <w:jc w:val="center"/>
            </w:pPr>
            <w:r>
              <w:rPr>
                <w:rFonts w:hint="eastAsia"/>
              </w:rPr>
              <w:t xml:space="preserve">是</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主机FP32输入张量</w:t>
            </w:r>
          </w:p>
        </w:tc>
        <w:tc>
          <w:tcPr>
            <w:tcW w:w="1957" w:type="dxa"/>
            <w:tcBorders>
              <w:top w:val="nil"/>
              <w:left w:val="nil"/>
              <w:bottom w:val="nil"/>
              <w:right w:val="nil"/>
            </w:tcBorders>
          </w:tcPr>
          <w:p>
            <w:pPr>
              <w:pStyle w:val="HFUTTableContent"/>
              <w:ind w:left="0" w:right="0" w:firstLine="0"/>
              <w:jc w:val="center"/>
            </w:pPr>
            <w:r>
              <w:rPr>
                <w:rFonts w:hint="eastAsia"/>
              </w:rPr>
              <w:t xml:space="preserve">是</w:t>
            </w:r>
          </w:p>
        </w:tc>
        <w:tc>
          <w:tcPr>
            <w:tcW w:w="1957" w:type="dxa"/>
            <w:tcBorders>
              <w:top w:val="nil"/>
              <w:left w:val="nil"/>
              <w:bottom w:val="nil"/>
              <w:right w:val="nil"/>
            </w:tcBorders>
          </w:tcPr>
          <w:p>
            <w:pPr>
              <w:pStyle w:val="HFUTTableContent"/>
              <w:ind w:left="0" w:right="0" w:firstLine="0"/>
              <w:jc w:val="center"/>
            </w:pPr>
            <w:r>
              <w:rPr>
                <w:rFonts w:hint="eastAsia"/>
              </w:rPr>
              <w:t xml:space="preserve">否</w:t>
            </w:r>
          </w:p>
        </w:tc>
        <w:tc>
          <w:tcPr>
            <w:tcW w:w="1958" w:type="dxa"/>
            <w:tcBorders>
              <w:top w:val="nil"/>
              <w:left w:val="nil"/>
              <w:bottom w:val="nil"/>
              <w:right w:val="nil"/>
            </w:tcBorders>
          </w:tcPr>
          <w:p>
            <w:pPr>
              <w:pStyle w:val="HFUTTableContent"/>
              <w:ind w:left="0" w:right="0" w:firstLine="0"/>
              <w:jc w:val="center"/>
            </w:pPr>
            <w:r>
              <w:rPr>
                <w:rFonts w:hint="eastAsia"/>
              </w:rPr>
              <w:t xml:space="preserve">否</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打包原始图像暂存</w:t>
            </w:r>
          </w:p>
        </w:tc>
        <w:tc>
          <w:tcPr>
            <w:tcW w:w="1957" w:type="dxa"/>
            <w:tcBorders>
              <w:top w:val="nil"/>
              <w:left w:val="nil"/>
              <w:bottom w:val="nil"/>
              <w:right w:val="nil"/>
            </w:tcBorders>
          </w:tcPr>
          <w:p>
            <w:pPr>
              <w:pStyle w:val="HFUTTableContent"/>
              <w:ind w:left="0" w:right="0" w:firstLine="0"/>
              <w:jc w:val="center"/>
            </w:pPr>
            <w:r>
              <w:rPr>
                <w:rFonts w:hint="eastAsia"/>
              </w:rPr>
              <w:t xml:space="preserve">否</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原始图像H2D</w:t>
            </w:r>
          </w:p>
        </w:tc>
        <w:tc>
          <w:tcPr>
            <w:tcW w:w="1957" w:type="dxa"/>
            <w:tcBorders>
              <w:top w:val="nil"/>
              <w:left w:val="nil"/>
              <w:bottom w:val="nil"/>
              <w:right w:val="nil"/>
            </w:tcBorders>
          </w:tcPr>
          <w:p>
            <w:pPr>
              <w:pStyle w:val="HFUTTableContent"/>
              <w:ind w:left="0" w:right="0" w:firstLine="0"/>
              <w:jc w:val="center"/>
            </w:pPr>
            <w:r>
              <w:rPr>
                <w:rFonts w:hint="eastAsia"/>
              </w:rPr>
              <w:t xml:space="preserve">否</w:t>
            </w:r>
          </w:p>
        </w:tc>
        <w:tc>
          <w:tcPr>
            <w:tcW w:w="1957" w:type="dxa"/>
            <w:tcBorders>
              <w:top w:val="nil"/>
              <w:left w:val="nil"/>
              <w:bottom w:val="nil"/>
              <w:right w:val="nil"/>
            </w:tcBorders>
          </w:tcPr>
          <w:p>
            <w:pPr>
              <w:pStyle w:val="HFUTTableContent"/>
              <w:ind w:left="0" w:right="0" w:firstLine="0"/>
              <w:jc w:val="center"/>
            </w:pPr>
            <w:r>
              <w:rPr>
                <w:rFonts w:hint="eastAsia"/>
              </w:rPr>
              <w:t xml:space="preserve">是</w:t>
            </w:r>
          </w:p>
        </w:tc>
        <w:tc>
          <w:tcPr>
            <w:tcW w:w="1958" w:type="dxa"/>
            <w:tcBorders>
              <w:top w:val="nil"/>
              <w:left w:val="nil"/>
              <w:bottom w:val="nil"/>
              <w:right w:val="nil"/>
            </w:tcBorders>
          </w:tcPr>
          <w:p>
            <w:pPr>
              <w:pStyle w:val="HFUTTableContent"/>
              <w:ind w:left="0" w:right="0" w:firstLine="0"/>
              <w:jc w:val="center"/>
            </w:pPr>
            <w:r>
              <w:rPr>
                <w:rFonts w:hint="eastAsia"/>
              </w:rPr>
              <w:t xml:space="preserve">是</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张量形成位置</w:t>
            </w:r>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直接形成TRT设备输入</w:t>
            </w:r>
          </w:p>
        </w:tc>
        <w:tc>
          <w:tcPr>
            <w:tcW w:w="1957" w:type="dxa"/>
            <w:tcBorders>
              <w:top w:val="nil"/>
              <w:left w:val="nil"/>
              <w:bottom w:val="nil"/>
              <w:right w:val="nil"/>
            </w:tcBorders>
          </w:tcPr>
          <w:p>
            <w:pPr>
              <w:pStyle w:val="HFUTTableContent"/>
              <w:ind w:left="0" w:right="0" w:firstLine="0"/>
              <w:jc w:val="center"/>
            </w:pPr>
            <w:r>
              <w:rPr>
                <w:rFonts w:hint="eastAsia"/>
              </w:rPr>
              <w:t xml:space="preserve">否</w:t>
            </w:r>
          </w:p>
        </w:tc>
        <w:tc>
          <w:tcPr>
            <w:tcW w:w="1957" w:type="dxa"/>
            <w:tcBorders>
              <w:top w:val="nil"/>
              <w:left w:val="nil"/>
              <w:bottom w:val="nil"/>
              <w:right w:val="nil"/>
            </w:tcBorders>
          </w:tcPr>
          <w:p>
            <w:pPr>
              <w:pStyle w:val="HFUTTableContent"/>
              <w:ind w:left="0" w:right="0" w:firstLine="0"/>
              <w:jc w:val="center"/>
            </w:pPr>
            <w:r>
              <w:rPr>
                <w:rFonts w:hint="eastAsia"/>
              </w:rPr>
              <w:t xml:space="preserve">是</w:t>
            </w:r>
          </w:p>
        </w:tc>
        <w:tc>
          <w:tcPr>
            <w:tcW w:w="1958" w:type="dxa"/>
            <w:tcBorders>
              <w:top w:val="nil"/>
              <w:left w:val="nil"/>
              <w:bottom w:val="nil"/>
              <w:right w:val="nil"/>
            </w:tcBorders>
          </w:tcPr>
          <w:p>
            <w:pPr>
              <w:pStyle w:val="HFUTTableContent"/>
              <w:ind w:left="0" w:right="0" w:firstLine="0"/>
              <w:jc w:val="center"/>
            </w:pPr>
            <w:r>
              <w:rPr>
                <w:rFonts w:hint="eastAsia"/>
              </w:rPr>
              <w:t xml:space="preserve">是</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复用TRT</w:t>
            </w:r>
            <w:r>
              <w:t xml:space="preserve"> CUDA stream</w:t>
            </w:r>
          </w:p>
        </w:tc>
        <w:tc>
          <w:tcPr>
            <w:tcW w:w="1957" w:type="dxa"/>
            <w:tcBorders>
              <w:top w:val="nil"/>
              <w:left w:val="nil"/>
              <w:bottom w:val="nil"/>
              <w:right w:val="nil"/>
            </w:tcBorders>
          </w:tcPr>
          <w:p>
            <w:pPr>
              <w:pStyle w:val="HFUTTableContent"/>
              <w:ind w:left="0" w:right="0" w:firstLine="0"/>
              <w:jc w:val="center"/>
            </w:pPr>
            <w:r>
              <w:t xml:space="preserve">—</w:t>
            </w:r>
          </w:p>
        </w:tc>
        <w:tc>
          <w:tcPr>
            <w:tcW w:w="1957" w:type="dxa"/>
            <w:tcBorders>
              <w:top w:val="nil"/>
              <w:left w:val="nil"/>
              <w:bottom w:val="nil"/>
              <w:right w:val="nil"/>
            </w:tcBorders>
          </w:tcPr>
          <w:p>
            <w:pPr>
              <w:pStyle w:val="HFUTTableContent"/>
              <w:ind w:left="0" w:right="0" w:firstLine="0"/>
              <w:jc w:val="center"/>
            </w:pPr>
            <w:r>
              <w:rPr>
                <w:rFonts w:hint="eastAsia"/>
              </w:rPr>
              <w:t xml:space="preserve">是</w:t>
            </w:r>
          </w:p>
        </w:tc>
        <w:tc>
          <w:tcPr>
            <w:tcW w:w="1958" w:type="dxa"/>
            <w:tcBorders>
              <w:top w:val="nil"/>
              <w:left w:val="nil"/>
              <w:bottom w:val="nil"/>
              <w:right w:val="nil"/>
            </w:tcBorders>
          </w:tcPr>
          <w:p>
            <w:pPr>
              <w:pStyle w:val="HFUTTableContent"/>
              <w:ind w:left="0" w:right="0" w:firstLine="0"/>
              <w:jc w:val="center"/>
            </w:pPr>
            <w:r>
              <w:rPr>
                <w:rFonts w:hint="eastAsia"/>
              </w:rPr>
              <w:t xml:space="preserve">是</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跨帧流水线</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否</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否</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否</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2.1 </w:t>
      </w:r>
      <w:r>
        <w:rPr>
          <w:rFonts w:hint="eastAsia"/>
        </w:rPr>
        <w:t xml:space="preserve">V0：主机侧FP32张量形成</w:t>
      </w:r>
    </w:p>
    <w:p>
      <w:pPr>
        <w:pStyle w:val="HFUTBody"/>
      </w:pPr>
      <w:r>
        <w:rPr>
          <w:rFonts w:hint="eastAsia"/>
        </w:rPr>
        <w:t xml:space="preserve">V0首先将数据源图像解码为主机侧</w:t>
      </w:r>
      <w:r>
        <w:rPr>
          <w:rStyle w:val="VerbatimChar"/>
        </w:rPr>
        <w:t xml:space="preserve">CV_8UC3</w:t>
      </w:r>
      <w:r>
        <w:t xml:space="preserve"> </w:t>
      </w:r>
      <w:r>
        <w:rPr>
          <w:rFonts w:hint="eastAsia"/>
        </w:rPr>
        <w:t xml:space="preserve">BGR图像。CPU/OpenCV随后执行640×640</w:t>
      </w:r>
      <w:r>
        <w:t xml:space="preserve"> </w:t>
      </w:r>
      <w:r>
        <w:rPr>
          <w:rFonts w:hint="eastAsia"/>
        </w:rPr>
        <w:t xml:space="preserve">letterbox：使用</w:t>
      </w:r>
      <w:r>
        <w:rPr>
          <w:rStyle w:val="VerbatimChar"/>
        </w:rPr>
        <w:t xml:space="preserve">INTER_LINEAR</w:t>
      </w:r>
      <w:r>
        <w:rPr>
          <w:rFonts w:hint="eastAsia"/>
        </w:rPr>
        <w:t xml:space="preserve">完成resize，以常数114填充，并依次进行BGR→RGB、HWC→CHW和</w:t>
      </w:r>
      <w:r>
        <w:rPr>
          <w:rStyle w:val="VerbatimChar"/>
        </w:rPr>
        <w:t xml:space="preserve">1/255</w:t>
      </w:r>
      <w:r>
        <w:rPr>
          <w:rFonts w:hint="eastAsia"/>
        </w:rPr>
        <w:t xml:space="preserve">归一化，最终在主机侧形成FP32</w:t>
      </w:r>
      <w:r>
        <w:t xml:space="preserve"> </w:t>
      </w:r>
      <w:r>
        <w:rPr>
          <w:rFonts w:hint="eastAsia"/>
        </w:rPr>
        <w:t xml:space="preserve">NCHW张量。该</w:t>
      </w:r>
      <w:r>
        <w:rPr>
          <w:rStyle w:val="VerbatimChar"/>
        </w:rPr>
        <w:t xml:space="preserve">1×3×640×640</w:t>
      </w:r>
      <w:r>
        <w:rPr>
          <w:rFonts w:hint="eastAsia"/>
        </w:rPr>
        <w:t xml:space="preserve">张量再通过TensorRT后端复制到设备输入缓冲区，Engine完成推理后将输出复制回主机并执行检测框解码、置信度筛选和NMS。</w:t>
      </w:r>
    </w:p>
    <w:p>
      <w:pPr>
        <w:pStyle w:val="HFUTBody"/>
      </w:pPr>
      <w:r>
        <w:rPr>
          <w:rFonts w:hint="eastAsia"/>
        </w:rPr>
        <w:t xml:space="preserve">V0的关键系统属性不是笼统的“CPU预处理”，而是主机侧FP32张量形成：像素变换、布局转换和浮点张量构造均在主机完成，H2D输入对象也是完整FP32</w:t>
      </w:r>
      <w:r>
        <w:t xml:space="preserve"> </w:t>
      </w:r>
      <w:r>
        <w:rPr>
          <w:rFonts w:hint="eastAsia"/>
        </w:rPr>
        <w:t xml:space="preserve">NCHW张量。该路径保留既有OpenCV语义，作为后续输入形成位置和主机侧数据表示重构的受控基线。</w:t>
      </w:r>
    </w:p>
    <w:p>
      <w:pPr>
        <w:pStyle w:val="HFUTHeading2"/>
      </w:pPr>
      <w:r>
        <w:t xml:space="preserve">2.2 </w:t>
      </w:r>
      <w:r>
        <w:rPr>
          <w:rFonts w:hint="eastAsia"/>
        </w:rPr>
        <w:t xml:space="preserve">V2R：pageable暂存与GPU输入形成</w:t>
      </w:r>
    </w:p>
    <w:p>
      <w:pPr>
        <w:pStyle w:val="HFUTBody"/>
      </w:pPr>
      <w:r>
        <w:rPr>
          <w:rFonts w:hint="eastAsia"/>
        </w:rPr>
        <w:t xml:space="preserve">V2R保留主机侧图像读取与解码，并将解码后的</w:t>
      </w:r>
      <w:r>
        <w:rPr>
          <w:rStyle w:val="VerbatimChar"/>
        </w:rPr>
        <w:t xml:space="preserve">CV_8UC3</w:t>
      </w:r>
      <w:r>
        <w:t xml:space="preserve"> </w:t>
      </w:r>
      <w:r>
        <w:rPr>
          <w:rFonts w:hint="eastAsia"/>
        </w:rPr>
        <w:t xml:space="preserve">BGR图像逐行复制到可复用的</w:t>
      </w:r>
      <w:r>
        <w:rPr>
          <w:rStyle w:val="VerbatimChar"/>
        </w:rPr>
        <w:t xml:space="preserve">std::vector&lt;uint8_t&gt;</w:t>
      </w:r>
      <w:r>
        <w:rPr>
          <w:rFonts w:hint="eastAsia"/>
        </w:rPr>
        <w:t xml:space="preserve">，形成连续packed</w:t>
      </w:r>
      <w:r>
        <w:t xml:space="preserve"> </w:t>
      </w:r>
      <w:r>
        <w:rPr>
          <w:rFonts w:hint="eastAsia"/>
        </w:rPr>
        <w:t xml:space="preserve">BGR原始图像暂存。对冻结工作负载中的200×200图像，暂存区的有效行宽为600</w:t>
      </w:r>
      <w:r>
        <w:t xml:space="preserve"> </w:t>
      </w:r>
      <w:r>
        <w:rPr>
          <w:rFonts w:hint="eastAsia"/>
        </w:rPr>
        <w:t xml:space="preserve">B。Letterbox几何参数仍由主机按照统一模型合同计算，不在GPU端重新决定缩放比例或padding位置。</w:t>
      </w:r>
    </w:p>
    <w:p>
      <w:pPr>
        <w:pStyle w:val="HFUTBody"/>
      </w:pPr>
      <w:r>
        <w:t xml:space="preserve">packed </w:t>
      </w:r>
      <w:r>
        <w:rPr>
          <w:rFonts w:hint="eastAsia"/>
        </w:rPr>
        <w:t xml:space="preserve">BGR原始图像通过</w:t>
      </w:r>
      <w:r>
        <w:rPr>
          <w:rStyle w:val="VerbatimChar"/>
        </w:rPr>
        <w:t xml:space="preserve">cudaMemcpy2DAsync</w:t>
      </w:r>
      <w:r>
        <w:rPr>
          <w:rFonts w:hint="eastAsia"/>
        </w:rPr>
        <w:t xml:space="preserve">执行二维H2D复制，写入持久化设备原始图像缓冲区。随后，一个融合CUDA预处理核函数在同一次launch内完成resize、padding、BGR→RGB、</w:t>
      </w:r>
      <w:r>
        <w:rPr>
          <w:rStyle w:val="VerbatimChar"/>
        </w:rPr>
        <w:t xml:space="preserve">1/255</w:t>
      </w:r>
      <w:r>
        <w:rPr>
          <w:rFonts w:hint="eastAsia"/>
        </w:rPr>
        <w:t xml:space="preserve">归一化和HWC→NCHW布局转换，并直接写入TensorRT管理的FP32</w:t>
      </w:r>
      <w:r>
        <w:t xml:space="preserve"> </w:t>
      </w:r>
      <w:r>
        <w:rPr>
          <w:rFonts w:hint="eastAsia"/>
        </w:rPr>
        <w:t xml:space="preserve">NCHW设备输入。该resize实现针对固定Jetson平台、</w:t>
      </w:r>
      <w:r>
        <w:rPr>
          <w:rStyle w:val="VerbatimChar"/>
        </w:rPr>
        <w:t xml:space="preserve">CV_8UC3</w:t>
      </w:r>
      <w:r>
        <w:rPr>
          <w:rFonts w:hint="eastAsia"/>
        </w:rPr>
        <w:t xml:space="preserve">输入和OpenCV</w:t>
      </w:r>
      <w:r>
        <w:t xml:space="preserve"> 4.5.4</w:t>
      </w:r>
      <w:r>
        <w:t xml:space="preserve"> </w:t>
      </w:r>
      <w:r>
        <w:rPr>
          <w:rStyle w:val="VerbatimChar"/>
        </w:rPr>
        <w:t xml:space="preserve">INTER_LINEAR</w:t>
      </w:r>
      <w:r>
        <w:rPr>
          <w:rFonts w:hint="eastAsia"/>
        </w:rPr>
        <w:t xml:space="preserve">行为建立对齐合同，不构成通用OpenCV</w:t>
      </w:r>
      <w:r>
        <w:t xml:space="preserve"> </w:t>
      </w:r>
      <w:r>
        <w:rPr>
          <w:rFonts w:hint="eastAsia"/>
        </w:rPr>
        <w:t xml:space="preserve">GPU实现。</w:t>
      </w:r>
    </w:p>
    <w:p>
      <w:pPr>
        <w:pStyle w:val="HFUTBody"/>
      </w:pPr>
      <w:r>
        <w:rPr>
          <w:rFonts w:hint="eastAsia"/>
        </w:rPr>
        <w:t xml:space="preserve">CUDA预处理器在帧循环前建立，复用TensorRT</w:t>
      </w:r>
      <w:r>
        <w:t xml:space="preserve"> </w:t>
      </w:r>
      <w:r>
        <w:rPr>
          <w:rFonts w:hint="eastAsia"/>
        </w:rPr>
        <w:t xml:space="preserve">Engine的CUDA</w:t>
      </w:r>
      <w:r>
        <w:t xml:space="preserve"> </w:t>
      </w:r>
      <w:r>
        <w:rPr>
          <w:rFonts w:hint="eastAsia"/>
        </w:rPr>
        <w:t xml:space="preserve">stream及其持久化设备输入缓冲区；TensorRT推理沿用同一CUDA</w:t>
      </w:r>
      <w:r>
        <w:t xml:space="preserve"> </w:t>
      </w:r>
      <w:r>
        <w:rPr>
          <w:rFonts w:hint="eastAsia"/>
        </w:rPr>
        <w:t xml:space="preserve">stream和单一execution</w:t>
      </w:r>
      <w:r>
        <w:t xml:space="preserve"> </w:t>
      </w:r>
      <w:r>
        <w:rPr>
          <w:rFonts w:hint="eastAsia"/>
        </w:rPr>
        <w:t xml:space="preserve">context。V2R由此把V0的主机FP32张量形成与FP32</w:t>
      </w:r>
      <w:r>
        <w:t xml:space="preserve"> </w:t>
      </w:r>
      <w:r>
        <w:rPr>
          <w:rFonts w:hint="eastAsia"/>
        </w:rPr>
        <w:t xml:space="preserve">H2D路径，重构为原始图像暂存、通过</w:t>
      </w:r>
      <w:r>
        <w:rPr>
          <w:rStyle w:val="VerbatimChar"/>
        </w:rPr>
        <w:t xml:space="preserve">cudaMemcpy2DAsync</w:t>
      </w:r>
      <w:r>
        <w:rPr>
          <w:rFonts w:hint="eastAsia"/>
        </w:rPr>
        <w:t xml:space="preserve">执行二维H2D复制以及设备侧输入形成。该实现是输入数据路径工程，不引入新的检测、量化或TensorRT算法。</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V2R/V3R的主机—设备内存域、缓冲区生命周期与单流执行语义见图2。</w:t>
      </w:r>
    </w:p>
    <w:p>
      <w:pPr>
        <w:pStyle w:val="BodyText"/>
        <w:keepNext/>
        <w:spacing w:before="0" w:after="0" w:line="320" w:lineRule="atLeast"/>
        <w:ind w:firstLine="0"/>
        <w:jc w:val="center"/>
      </w:pPr>
      <w:r>
        <w:drawing>
          <ns2:inline>
            <ns2:extent cx="5759999" cy="2957591"/>
            <ns2:effectExtent b="0" l="0" r="0" t="0"/>
            <ns2:docPr descr="" title="" id="17" name="Picture"/>
            <ns3:graphic>
              <ns3:graphicData uri="http://schemas.openxmlformats.org/drawingml/2006/picture">
                <ns4:pic>
                  <ns4:nvPicPr>
                    <ns4:cNvPr descr="fig2_technical_implementation_phase56.png" id="18" name="Picture"/>
                    <ns4:cNvPicPr>
                      <ns3:picLocks noChangeArrowheads="1" noChangeAspect="1"/>
                    </ns4:cNvPicPr>
                  </ns4:nvPicPr>
                  <ns4:blipFill>
                    <ns3:blip ns1:embed="rId16"/>
                    <ns3:stretch>
                      <ns3:fillRect/>
                    </ns3:stretch>
                  </ns4:blipFill>
                  <ns4:spPr bwMode="auto">
                    <ns3:xfrm>
                      <ns3:off x="0" y="0"/>
                      <ns3:ext cx="5759999" cy="2957591"/>
                    </ns3:xfrm>
                    <ns3:prstGeom prst="rect">
                      <ns3:avLst/>
                    </ns3:prstGeom>
                    <ns3:noFill/>
                    <ns3:ln w="9525">
                      <ns3:noFill/>
                      <ns3:headEnd/>
                      <ns3:tailEnd/>
                    </ns3:ln>
                  </ns4:spPr>
                </ns4:pic>
              </ns3:graphicData>
            </ns3:graphic>
          </ns2: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图2</w:t>
      </w:r>
      <w:r>
        <w:rPr>
          <w:b/>
          <w:bCs/>
        </w:rPr>
        <w:t xml:space="preserve">　</w:t>
      </w:r>
      <w:r>
        <w:rPr>
          <w:rFonts w:hint="eastAsia"/>
          <w:b/>
          <w:bCs/>
        </w:rPr>
        <w:t xml:space="preserve">V2R/V3R的主机—设备内存域、缓冲区生命周期与单流执行语义。两条路径仅在主机侧pageable/pinned暂存类型上不同；</w:t>
      </w:r>
      <w:r>
        <w:rPr>
          <w:rStyle w:val="VerbatimChar"/>
          <w:b/>
          <w:bCs/>
        </w:rPr>
        <w:t xml:space="preserve">cudaMemcpy2DAsync</w:t>
      </w:r>
      <w:r>
        <w:rPr>
          <w:rFonts w:hint="eastAsia"/>
          <w:b/>
          <w:bCs/>
        </w:rPr>
        <w:t xml:space="preserve">、融合CUDA预处理、</w:t>
      </w:r>
      <w:r>
        <w:rPr>
          <w:rStyle w:val="VerbatimChar"/>
          <w:b/>
          <w:bCs/>
        </w:rPr>
        <w:t xml:space="preserve">enqueueV3</w:t>
      </w:r>
      <w:r>
        <w:rPr>
          <w:rFonts w:hint="eastAsia"/>
          <w:b/>
          <w:bCs/>
        </w:rPr>
        <w:t xml:space="preserve">及输出D2H沿同一TensorRT</w:t>
      </w:r>
      <w:r>
        <w:rPr>
          <w:b/>
          <w:bCs/>
        </w:rPr>
        <w:t xml:space="preserve"> CUDA </w:t>
      </w:r>
      <w:r>
        <w:rPr>
          <w:rFonts w:hint="eastAsia"/>
          <w:b/>
          <w:bCs/>
        </w:rPr>
        <w:t xml:space="preserve">stream顺序执行，暂存区、设备原始图像缓冲区和后端输入缓冲区跨帧复用。图中不表示跨帧重叠或流水线。</w:t>
      </w:r>
    </w:p>
    <w:p>
      <w:pPr>
        <w:pStyle w:val="HFUTHeading2"/>
      </w:pPr>
      <w:r>
        <w:t xml:space="preserve">2.3 </w:t>
      </w:r>
      <w:r>
        <w:rPr>
          <w:rFonts w:hint="eastAsia"/>
        </w:rPr>
        <w:t xml:space="preserve">V3R：pinned原始图像暂存隔离变量</w:t>
      </w:r>
    </w:p>
    <w:p>
      <w:pPr>
        <w:pStyle w:val="HFUTBody"/>
      </w:pPr>
      <w:r>
        <w:rPr>
          <w:rFonts w:hint="eastAsia"/>
        </w:rPr>
        <w:t xml:space="preserve">V3R与V2R共享相同的packed</w:t>
      </w:r>
      <w:r>
        <w:t xml:space="preserve"> </w:t>
      </w:r>
      <w:r>
        <w:rPr>
          <w:rFonts w:hint="eastAsia"/>
        </w:rPr>
        <w:t xml:space="preserve">BGR语义、</w:t>
      </w:r>
      <w:r>
        <w:rPr>
          <w:rStyle w:val="VerbatimChar"/>
        </w:rPr>
        <w:t xml:space="preserve">cudaMemcpy2DAsync</w:t>
      </w:r>
      <w:r>
        <w:rPr>
          <w:rFonts w:hint="eastAsia"/>
        </w:rPr>
        <w:t xml:space="preserve">、融合CUDA预处理核函数、TensorRT</w:t>
      </w:r>
      <w:r>
        <w:t xml:space="preserve"> CUDA </w:t>
      </w:r>
      <w:r>
        <w:rPr>
          <w:rFonts w:hint="eastAsia"/>
        </w:rPr>
        <w:t xml:space="preserve">stream、Engine、后处理和下游执行拓扑。差异仅在于主机侧原始图像暂存：V3R在帧循环前通过</w:t>
      </w:r>
      <w:r>
        <w:rPr>
          <w:rStyle w:val="VerbatimChar"/>
        </w:rPr>
        <w:t xml:space="preserve">cudaHostAlloc(..., cudaHostAllocDefault)</w:t>
      </w:r>
      <w:r>
        <w:rPr>
          <w:rFonts w:hint="eastAsia"/>
        </w:rPr>
        <w:t xml:space="preserve">分配一个长生命周期锁页缓冲区，在全部帧之间复用，并在运行器生命周期结束时通过</w:t>
      </w:r>
      <w:r>
        <w:rPr>
          <w:rStyle w:val="VerbatimChar"/>
        </w:rPr>
        <w:t xml:space="preserve">cudaFreeHost</w:t>
      </w:r>
      <w:r>
        <w:rPr>
          <w:rFonts w:hint="eastAsia"/>
        </w:rPr>
        <w:t xml:space="preserve">释放。每帧仍按行复制</w:t>
      </w:r>
      <w:r>
        <w:rPr>
          <w:rStyle w:val="VerbatimChar"/>
        </w:rPr>
        <w:t xml:space="preserve">width×3</w:t>
      </w:r>
      <w:r>
        <w:rPr>
          <w:rFonts w:hint="eastAsia"/>
        </w:rPr>
        <w:t xml:space="preserve">字节，不发生逐帧锁页内存分配，也不存在失败后静默回退到pageable暂存。</w:t>
      </w:r>
    </w:p>
    <w:p>
      <w:pPr>
        <w:pStyle w:val="HFUTBody"/>
      </w:pPr>
      <w:r>
        <w:rPr>
          <w:rFonts w:hint="eastAsia"/>
        </w:rPr>
        <w:t xml:space="preserve">因此，V3R相对V2R的唯一隔离变量为原始图像主机暂存的分配类型。该受控关系使pageable与pinned暂存的观测差异不与第二套CUDA预处理、不同Engine或并发拓扑混合。既有嵌入式异构SoC研究同样说明内存与运行配置效果具有平台和负载依赖性</w:t>
      </w:r>
      <w:r>
        <w:rPr>
          <w:vertAlign w:val="superscript"/>
        </w:rPr>
        <w:t xml:space="preserve">[24]</w:t>
      </w:r>
      <w:r>
        <w:rPr>
          <w:rFonts w:hint="eastAsia"/>
        </w:rPr>
        <w:t xml:space="preserve">，本文据此只评价当前固定实现中的边际变化。</w:t>
      </w:r>
    </w:p>
    <w:p>
      <w:pPr>
        <w:pStyle w:val="HFUTBody"/>
      </w:pPr>
      <w:r>
        <w:rPr>
          <w:rFonts w:hint="eastAsia"/>
        </w:rPr>
        <w:t xml:space="preserve">三条正式路径均不使用zero-copy、double</w:t>
      </w:r>
      <w:r>
        <w:t xml:space="preserve"> </w:t>
      </w:r>
      <w:r>
        <w:rPr>
          <w:rFonts w:hint="eastAsia"/>
        </w:rPr>
        <w:t xml:space="preserve">buffering、multi-stream、跨帧流水线、显式传输/计算重叠或GPU</w:t>
      </w:r>
      <w:r>
        <w:t xml:space="preserve"> </w:t>
      </w:r>
      <w:r>
        <w:rPr>
          <w:rFonts w:hint="eastAsia"/>
        </w:rPr>
        <w:t xml:space="preserve">NMS。上述共同排除项只用于界定当前单帧顺序实现，不用于推断未测机制的性能。</w:t>
      </w:r>
    </w:p>
    <w:p>
      <w:pPr>
        <w:pStyle w:val="HFUTHeading2"/>
      </w:pPr>
      <w:r>
        <w:t xml:space="preserve">2.4 </w:t>
      </w:r>
      <w:r>
        <w:rPr>
          <w:rFonts w:hint="eastAsia"/>
        </w:rPr>
        <w:t xml:space="preserve">正确性与生命周期控制</w:t>
      </w:r>
    </w:p>
    <w:p>
      <w:pPr>
        <w:pStyle w:val="HFUTBody"/>
      </w:pPr>
      <w:r>
        <w:rPr>
          <w:rFonts w:hint="eastAsia"/>
        </w:rPr>
        <w:t xml:space="preserve">三条路径使用同一180幅测试图像、模型、Engine、输入尺寸、置信度阈值0.25、IoU阈值0.45、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后处理。V0提供既有任务正确性基线；V2R沿用正式任务级评价，指标包括precision、recall、mAP50、mAP50-95以及类别级AP50和recall。总体mAP50-95、mAP50、precision和recall的允许绝对差异分别为0.005、0.005、0.010和0.010，类别级最大AP50和recall差异阈值分别为0.020和0.030。</w:t>
      </w:r>
    </w:p>
    <w:p>
      <w:pPr>
        <w:pStyle w:val="HFUTBody"/>
      </w:pPr>
      <w:r>
        <w:rPr>
          <w:rFonts w:hint="eastAsia"/>
        </w:rPr>
        <w:t xml:space="preserve">V3R的任务指标来自对冻结预测结果的确定性统一评价，而非新的推理或第二次参数选择。该评价与V0/V2R使用相同的冻结工作负载和评价程序；V2R/V3R之间的张量摘要校验值、检测结果摘要校验值、帧顺序、处理数量、丢帧计数和EOS状态进一步验证了唯一隔离变量身份。由此，三条路径均给出任务级评价结果，同时生命周期证据继续约束V3R的实现身份。正确性相等只针对本文冻结工作负载及评价口径，不扩展为任意未来输入上的普适等价。</w:t>
      </w:r>
    </w:p>
    <w:p>
      <w:pPr>
        <w:pStyle w:val="HFUTHeading1"/>
      </w:pPr>
      <w:r>
        <w:t xml:space="preserve">3 </w:t>
      </w:r>
      <w:r>
        <w:rPr>
          <w:rFonts w:hint="eastAsia"/>
        </w:rPr>
        <w:t xml:space="preserve">实验设计</w:t>
      </w:r>
    </w:p>
    <w:p>
      <w:pPr>
        <w:pStyle w:val="HFUTHeading2"/>
      </w:pPr>
      <w:r>
        <w:t xml:space="preserve">3.1 </w:t>
      </w:r>
      <w:r>
        <w:rPr>
          <w:rFonts w:hint="eastAsia"/>
        </w:rPr>
        <w:t xml:space="preserve">实验平台与模型配置</w:t>
      </w:r>
    </w:p>
    <w:p>
      <w:pPr>
        <w:pStyle w:val="HFUTBody"/>
      </w:pPr>
      <w:r>
        <w:rPr>
          <w:rFonts w:hint="eastAsia"/>
        </w:rPr>
        <w:t xml:space="preserve">实验在NVIDIA</w:t>
      </w:r>
      <w:r>
        <w:t xml:space="preserve"> Jetson Orin Nano </w:t>
      </w:r>
      <w:r>
        <w:rPr>
          <w:rFonts w:hint="eastAsia"/>
        </w:rPr>
        <w:t xml:space="preserve">Super平台上完成。实际记录的软件环境为L4T</w:t>
      </w:r>
      <w:r>
        <w:t xml:space="preserve"> R36.5、CUDA </w:t>
      </w:r>
      <w:r>
        <w:rPr>
          <w:rFonts w:hint="eastAsia"/>
        </w:rPr>
        <w:t xml:space="preserve">12.6.11（runtime</w:t>
      </w:r>
      <w:r>
        <w:t xml:space="preserve"> </w:t>
      </w:r>
      <w:r>
        <w:rPr>
          <w:rFonts w:hint="eastAsia"/>
        </w:rPr>
        <w:t xml:space="preserve">12.6.68）、TensorRT</w:t>
      </w:r>
      <w:r>
        <w:t xml:space="preserve"> </w:t>
      </w:r>
      <w:r>
        <w:rPr>
          <w:rFonts w:hint="eastAsia"/>
        </w:rPr>
        <w:t xml:space="preserve">10.3.0.30和OpenCV</w:t>
      </w:r>
      <w:r>
        <w:t xml:space="preserve"> </w:t>
      </w:r>
      <w:r>
        <w:rPr>
          <w:rFonts w:hint="eastAsia"/>
        </w:rPr>
        <w:t xml:space="preserve">4.5.4。已有Jetson检测框架评估表明，框架与平台条件会影响部署性能，因此本文不进行跨研究的绝对FPS比较</w:t>
      </w:r>
      <w:r>
        <w:rPr>
          <w:vertAlign w:val="superscript"/>
        </w:rPr>
        <w:t xml:space="preserve">[25]</w:t>
      </w:r>
      <w:r>
        <w:rPr>
          <w:rFonts w:hint="eastAsia"/>
        </w:rPr>
        <w:t xml:space="preserve">。检测模型固定为YOLOv8n，输入尺寸为640×640、batch</w:t>
      </w:r>
      <w:r>
        <w:t xml:space="preserve"> </w:t>
      </w:r>
      <w:r>
        <w:rPr>
          <w:rFonts w:hint="eastAsia"/>
        </w:rPr>
        <w:t xml:space="preserve">size为1，推理对象为第1节所述TensorRT</w:t>
      </w:r>
      <w:r>
        <w:t xml:space="preserve"> </w:t>
      </w:r>
      <w:r>
        <w:rPr>
          <w:rFonts w:hint="eastAsia"/>
        </w:rPr>
        <w:t xml:space="preserve">INT8混合精度Engine。三条路径不重新构建或校准Engine，也不改变模型、检测阈值和后处理配置。</w:t>
      </w:r>
    </w:p>
    <w:p>
      <w:pPr>
        <w:pStyle w:val="HFUTBody"/>
      </w:pPr>
      <w:r>
        <w:rPr>
          <w:rFonts w:hint="eastAsia"/>
        </w:rPr>
        <w:t xml:space="preserve">实验将工作负载、正确性条件、计时边界和统计口径作为统一条件。该设计与表面缺陷基准研究强调明确数据和评价边界的取向一致</w:t>
      </w:r>
      <w:r>
        <w:rPr>
          <w:vertAlign w:val="superscript"/>
        </w:rPr>
        <w:t xml:space="preserve">[26]</w:t>
      </w:r>
      <w:r>
        <w:rPr>
          <w:rFonts w:hint="eastAsia"/>
        </w:rPr>
        <w:t xml:space="preserve">，但不声称遵循其他基准的正式规范。平台、模型和协议见表2。</w:t>
      </w:r>
    </w:p>
    <w:p>
      <w:pPr>
        <w:pStyle w:val="HFUTTableCaption"/>
        <w:jc w:val="center"/>
      </w:pPr>
      <w:r>
        <w:rPr>
          <w:rFonts w:hint="eastAsia"/>
          <w:b/>
          <w:bCs/>
        </w:rPr>
        <w:t xml:space="preserve">表2</w:t>
      </w:r>
      <w:r>
        <w:rPr>
          <w:b/>
          <w:bCs/>
        </w:rPr>
        <w:t xml:space="preserve">　</w:t>
      </w:r>
      <w:r>
        <w:rPr>
          <w:rFonts w:hint="eastAsia"/>
          <w:b/>
          <w:bCs/>
        </w:rPr>
        <w:t xml:space="preserve">平台、模型与统一基准协议。三条路径在相同Jetson平台、YOLOv8n、冻结TensorRT</w:t>
      </w:r>
      <w:r>
        <w:rPr>
          <w:b/>
          <w:bCs/>
        </w:rPr>
        <w:t xml:space="preserve"> </w:t>
      </w:r>
      <w:r>
        <w:rPr>
          <w:rFonts w:hint="eastAsia"/>
          <w:b/>
          <w:bCs/>
        </w:rPr>
        <w:t xml:space="preserve">INT8混合精度Engine、固定测试工作负载和统一预热/测量协议下执行；表内仅保留复现实验所需的紧凑条件。</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fallback）；host</w:t>
            </w:r>
            <w:r>
              <w:t xml:space="preserve"> input 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正式运行使用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。时钟频率没有独立归档，因而不作为固定频率条件。运行前温度约为46.8–47.1</w:t>
      </w:r>
      <w:r>
        <w:t xml:space="preserve"> </w:t>
      </w:r>
      <w:r>
        <w:rPr>
          <w:rFonts w:hint="eastAsia"/>
        </w:rPr>
        <w:t xml:space="preserve">℃，运行后约为48.7–49.6</w:t>
      </w:r>
      <w:r>
        <w:t xml:space="preserve"> </w:t>
      </w:r>
      <w:r>
        <w:rPr>
          <w:rFonts w:hint="eastAsia"/>
        </w:rPr>
        <w:t xml:space="preserve">℃；这些仅是非连续的前后观察，不用于判断持续温度、运行时降频或功耗状态。</w:t>
      </w:r>
    </w:p>
    <w:p>
      <w:pPr>
        <w:pStyle w:val="HFUTHeading2"/>
      </w:pPr>
      <w:r>
        <w:t xml:space="preserve">3.2 </w:t>
      </w:r>
      <w:r>
        <w:rPr>
          <w:rFonts w:hint="eastAsia"/>
        </w:rPr>
        <w:t xml:space="preserve">数据集与统一运行协议</w:t>
      </w:r>
    </w:p>
    <w:p>
      <w:pPr>
        <w:pStyle w:val="HFUTBody"/>
      </w:pPr>
      <w:r>
        <w:rPr>
          <w:rFonts w:hint="eastAsia"/>
        </w:rPr>
        <w:t xml:space="preserve">性能实验采用split-v2固定测试集的180幅图像。输入成员和顺序由同一manifest限定，每次独立运行先预热60帧，完成同步并重置测量窗口，再测量1080帧，即连续回放6个完整周期。每条路径执行5个独立进程，V0、V2R和V3R各形成5400个逐帧延迟样本，三条路径合计16200个样本。5次运行均为独立进程，不在不同路径之间构造逐次对应关系。</w:t>
      </w:r>
    </w:p>
    <w:p>
      <w:pPr>
        <w:pStyle w:val="HFUTBody"/>
      </w:pPr>
      <w:r>
        <w:rPr>
          <w:rFonts w:hint="eastAsia"/>
        </w:rPr>
        <w:t xml:space="preserve">15个进程按照运行前确定的交错顺序执行：V0–V2R–V3R、V3R–V2R–V0、V2R–V0–V3R、V0–V3R–V2R和V2R–V3R–V0。全部15个进程均处理1080个测量帧、丢帧为0，并通过输入顺序、EOS和生命周期准入。内部逐帧诊断计时与profiling保持关闭，避免不同路径采用不同测量机制。</w:t>
      </w:r>
    </w:p>
    <w:p>
      <w:pPr>
        <w:pStyle w:val="HFUTHeading2"/>
      </w:pPr>
      <w:r>
        <w:t xml:space="preserve">3.3 </w:t>
      </w:r>
      <w:r>
        <w:rPr>
          <w:rFonts w:hint="eastAsia"/>
        </w:rPr>
        <w:t xml:space="preserve">正确性与性能指标</w:t>
      </w:r>
    </w:p>
    <w:p>
      <w:pPr>
        <w:pStyle w:val="HFUTBody"/>
      </w:pPr>
      <w:r>
        <w:rPr>
          <w:rFonts w:hint="eastAsia"/>
        </w:rPr>
        <w:t xml:space="preserve">正确性评价采用冻结的180幅测试集和统一评价程序。V0/V2R沿用既有正式任务评价结果，包括Precision、Recall、mAP50、mAP50-95及类别级AP50/Recall；V3R通过同一评价程序对冻结预测结果进行确定性评价，并结合V2R/V3R张量与检测结果摘要校验值及生命周期身份检查。V3R评价不是新的推理或第二次参数选择环节。</w:t>
      </w:r>
    </w:p>
    <w:p>
      <w:pPr>
        <w:pStyle w:val="HFUTBody"/>
        <w:spacing w:before="0" w:after="0" w:line="360" w:lineRule="atLeast"/>
      </w:pPr>
      <w:r>
        <w:rPr>
          <w:rFonts w:hint="eastAsia"/>
        </w:rPr>
        <w:t xml:space="preserve">性能指标包括进程级FPS、逐帧平均延迟以及P95、P99。对第</w:t>
      </w:r>
      <ns5:oMath>
        <ns5:r>
          <ns5:t>i</ns5:t>
        </ns5:r>
      </ns5:oMath>
      <w:r>
        <w:rPr>
          <w:rFonts w:hint="eastAsia"/>
        </w:rPr>
        <w:t xml:space="preserve">个独立运行，FPS定义为</w:t>
      </w:r>
    </w:p>
    <w:p>
      <w:pPr>
        <w:pStyle w:val="HFUTEquation"/>
      </w:pPr>
      <ns5:oMathPara>
        <ns5:oMathParaPr>
          <ns5:jc ns5:val="center"/>
        </ns5:oMathParaPr>
        <ns5:oMath>
          <ns5:sSub>
            <ns5:e>
              <ns5:r>
                <ns5:t>f</ns5:t>
              </ns5:r>
            </ns5:e>
            <ns5:sub>
              <ns5:r>
                <ns5:t>i</ns5:t>
              </ns5:r>
            </ns5:sub>
          </ns5:sSub>
          <ns5:r>
            <ns5:rPr>
              <ns5:sty ns5:val="p"/>
            </ns5:rPr>
            <ns5:t>=</ns5:t>
          </ns5:r>
          <ns5:f>
            <ns5:fPr>
              <ns5:type ns5:val="bar"/>
            </ns5:fPr>
            <ns5:num>
              <ns5:r>
                <ns5:t>N</ns5:t>
              </ns5:r>
            </ns5:num>
            <ns5:den>
              <ns5:sSub>
                <ns5:e>
                  <ns5:r>
                    <ns5:t>T</ns5:t>
                  </ns5:r>
                </ns5:e>
                <ns5:sub>
                  <ns5:r>
                    <ns5:t>i</ns5:t>
                  </ns5:r>
                </ns5:sub>
              </ns5:sSub>
            </ns5:den>
          </ns5:f>
          <ns5:r>
            <ns5:rPr>
              <ns5:sty ns5:val="p"/>
            </ns5:rPr>
            <ns5:t>,</ns5:t>
          </ns5:r>
        </ns5:oMath>
      </ns5:oMathPara>
    </w:p>
    <w:p>
      <w:pPr>
        <w:pStyle w:val="HFUTBody"/>
        <w:spacing w:before="0" w:after="0" w:line="360" w:lineRule="atLeast"/>
      </w:pPr>
      <w:r>
        <w:rPr>
          <w:rFonts w:hint="eastAsia"/>
        </w:rPr>
        <w:t xml:space="preserve">其中</w:t>
      </w:r>
      <ns5:oMath>
        <ns5:r>
          <ns5:t>N</ns5:t>
        </ns5:r>
        <ns5:r>
          <ns5:rPr>
            <ns5:sty ns5:val="p"/>
          </ns5:rPr>
          <ns5:t>=</ns5:t>
        </ns5:r>
        <ns5:r>
          <ns5:t>1080</ns5:t>
        </ns5:r>
      </ns5:oMath>
      <w:r>
        <w:rPr>
          <w:rFonts w:hint="eastAsia"/>
        </w:rPr>
        <w:t xml:space="preserve">，</w:t>
      </w:r>
      <ns5:oMath>
        <ns5:sSub>
          <ns5:e>
            <ns5:r>
              <ns5:t>T</ns5:t>
            </ns5:r>
          </ns5:e>
          <ns5:sub>
            <ns5:r>
              <ns5:t>i</ns5:t>
            </ns5:r>
          </ns5:sub>
        </ns5:sSub>
      </ns5:oMath>
      <w:r>
        <w:rPr>
          <w:rFonts w:hint="eastAsia"/>
        </w:rPr>
        <w:t xml:space="preserve">为该进程测量阶段的wall</w:t>
      </w:r>
      <w:r>
        <w:t xml:space="preserve"> </w:t>
      </w:r>
      <w:r>
        <w:rPr>
          <w:rFonts w:hint="eastAsia"/>
        </w:rPr>
        <w:t xml:space="preserve">time（s）。每条路径的平均FPS由5个进程级FPS算术平均得到：</w:t>
      </w:r>
    </w:p>
    <w:p>
      <w:pPr>
        <w:pStyle w:val="HFUTEquation"/>
      </w:pPr>
      <ns5:oMathPara>
        <ns5:oMathParaPr>
          <ns5:jc ns5:val="center"/>
        </ns5:oMathParaPr>
        <ns5:oMath>
          <ns5:sSub>
            <ns5:e>
              <ns5:r>
                <ns5:t>μ</ns5:t>
              </ns5:r>
            </ns5:e>
            <ns5:sub>
              <ns5:r>
                <ns5:t>f</ns5:t>
              </ns5:r>
            </ns5:sub>
          </ns5:sSub>
          <ns5:r>
            <ns5:rPr>
              <ns5:sty ns5:val="p"/>
            </ns5:rPr>
            <ns5:t>=</ns5:t>
          </ns5:r>
          <ns5:f>
            <ns5:fPr>
              <ns5:type ns5:val="bar"/>
            </ns5:fPr>
            <ns5:num>
              <ns5:r>
                <ns5:t>1</ns5:t>
              </ns5:r>
            </ns5:num>
            <ns5:den>
              <ns5:r>
                <ns5:t>5</ns5:t>
              </ns5:r>
            </ns5:den>
          </ns5:f>
          <ns5:nary>
            <ns5:naryPr>
              <ns5:chr ns5:val="∑"/>
              <ns5:limLoc ns5:val="undOvr"/>
              <ns5:subHide ns5:val="off"/>
              <ns5:supHide ns5:val="off"/>
            </ns5:naryPr>
            <ns5:sub>
              <ns5:r>
                <ns5:t>i</ns5:t>
              </ns5:r>
              <ns5:r>
                <ns5:rPr>
                  <ns5:sty ns5:val="p"/>
                </ns5:rPr>
                <ns5:t>=</ns5:t>
              </ns5:r>
              <ns5:r>
                <ns5:t>1</ns5:t>
              </ns5:r>
            </ns5:sub>
            <ns5:sup>
              <ns5:r>
                <ns5:t>5</ns5:t>
              </ns5:r>
            </ns5:sup>
            <ns5:e>
              <ns5:sSub>
                <ns5:e>
                  <ns5:r>
                    <ns5:t>f</ns5:t>
                  </ns5:r>
                </ns5:e>
                <ns5:sub>
                  <ns5:r>
                    <ns5:t>i</ns5:t>
                  </ns5:r>
                </ns5:sub>
              </ns5:sSub>
            </ns5:e>
          </ns5:nary>
          <ns5:r>
            <ns5:rPr>
              <ns5:sty ns5:val="p"/>
            </ns5:rPr>
            <ns5:t>.</ns5:t>
          </ns5:r>
        </ns5:oMath>
      </ns5:oMathPara>
    </w:p>
    <w:p>
      <w:pPr>
        <w:pStyle w:val="HFUTBody"/>
        <w:spacing w:before="0" w:after="0" w:line="360" w:lineRule="atLeast"/>
      </w:pPr>
      <w:r>
        <w:rPr>
          <w:rFonts w:hint="eastAsia"/>
        </w:rPr>
        <w:t xml:space="preserve">FPS离散程度以这5个值的样本标准差表示，采用样本均值</w:t>
      </w:r>
      <ns5:oMath>
        <ns5:sSub>
          <ns5:e>
            <ns5:r>
              <ns5:t>μ</ns5:t>
            </ns5:r>
          </ns5:e>
          <ns5:sub>
            <ns5:r>
              <ns5:t>f</ns5:t>
            </ns5:r>
          </ns5:sub>
        </ns5:sSub>
      </ns5:oMath>
      <w:r>
        <w:rPr>
          <w:rFonts w:hint="eastAsia"/>
        </w:rPr>
        <w:t xml:space="preserve">并以</w:t>
      </w:r>
      <ns5:oMath>
        <ns5:r>
          <ns5:t>5</ns5:t>
        </ns5:r>
        <ns5:r>
          <ns5:rPr>
            <ns5:sty ns5:val="p"/>
          </ns5:rPr>
          <ns5:t>−</ns5:t>
        </ns5:r>
        <ns5:r>
          <ns5:t>1</ns5:t>
        </ns5:r>
        <ns5:r>
          <ns5:rPr>
            <ns5:sty ns5:val="p"/>
          </ns5:rPr>
          <ns5:t>=</ns5:t>
        </ns5:r>
        <ns5:r>
          <ns5:t>4</ns5:t>
        </ns5:r>
      </ns5:oMath>
      <w:r>
        <w:rPr>
          <w:rFonts w:hint="eastAsia"/>
        </w:rPr>
        <w:t xml:space="preserve">为方差分母。该标准差是运行级描述量，不是置信区间。逐帧延迟采用source-to-pre-sink外部边界，每条路径合并5次运行的5400个样本后计算均值、P95和P99。百分位采用Type-7线性插值。设升序样本为</w:t>
      </w:r>
      <ns5:oMath>
        <ns5:sSub>
          <ns5:e>
            <ns5:r>
              <ns5:t>x</ns5:t>
            </ns5:r>
          </ns5:e>
          <ns5:sub>
            <ns5:r>
              <ns5:rPr>
                <ns5:sty ns5:val="p"/>
              </ns5:rPr>
              <ns5:t>(</ns5:t>
            </ns5:r>
            <ns5:r>
              <ns5:t>1</ns5:t>
            </ns5:r>
            <ns5:r>
              <ns5:rPr>
                <ns5:sty ns5:val="p"/>
              </ns5:rPr>
              <ns5:t>)</ns5:t>
            </ns5:r>
          </ns5:sub>
        </ns5:sSub>
        <ns5:r>
          <ns5:rPr>
            <ns5:sty ns5:val="p"/>
          </ns5:rPr>
          <ns5:t>,</ns5:t>
        </ns5:r>
        <ns5:r>
          <ns5:rPr>
            <ns5:sty ns5:val="p"/>
          </ns5:rPr>
          <ns5:t>…</ns5:t>
        </ns5:r>
        <ns5:r>
          <ns5:rPr>
            <ns5:sty ns5:val="p"/>
          </ns5:rPr>
          <ns5:t>,</ns5:t>
        </ns5:r>
        <ns5:sSub>
          <ns5:e>
            <ns5:r>
              <ns5:t>x</ns5:t>
            </ns5:r>
          </ns5:e>
          <ns5:sub>
            <ns5:r>
              <ns5:rPr>
                <ns5:sty ns5:val="p"/>
              </ns5:rPr>
              <ns5:t>(</ns5:t>
            </ns5:r>
            <ns5:r>
              <ns5:t>n</ns5:t>
            </ns5:r>
            <ns5:r>
              <ns5:rPr>
                <ns5:sty ns5:val="p"/>
              </ns5:rPr>
              <ns5:t>)</ns5:t>
            </ns5:r>
          </ns5:sub>
        </ns5:sSub>
      </ns5:oMath>
      <w:r>
        <w:rPr>
          <w:rFonts w:hint="eastAsia"/>
        </w:rPr>
        <w:t xml:space="preserve">，对于概率</w:t>
      </w:r>
      <ns5:oMath>
        <ns5:r>
          <ns5:t>p</ns5:t>
        </ns5:r>
      </ns5:oMath>
      <w:r>
        <w:rPr>
          <w:rFonts w:hint="eastAsia"/>
        </w:rPr>
        <w:t xml:space="preserve">，令</w:t>
      </w:r>
    </w:p>
    <w:p>
      <w:pPr>
        <w:pStyle w:val="HFUTEquation"/>
      </w:pPr>
      <ns5:oMathPara>
        <ns5:oMathParaPr>
          <ns5:jc ns5:val="center"/>
        </ns5:oMathParaPr>
        <ns5:oMath>
          <ns5:r>
            <ns5:t>h</ns5:t>
          </ns5:r>
          <ns5:r>
            <ns5:rPr>
              <ns5:sty ns5:val="p"/>
            </ns5:rPr>
            <ns5:t>=</ns5:t>
          </ns5:r>
          <ns5:r>
            <ns5:t>1</ns5:t>
          </ns5:r>
          <ns5:r>
            <ns5:rPr>
              <ns5:sty ns5:val="p"/>
            </ns5:rPr>
            <ns5:t>+</ns5:t>
          </ns5:r>
          <ns5:r>
            <ns5:rPr>
              <ns5:sty ns5:val="p"/>
            </ns5:rPr>
            <ns5:t>(</ns5:t>
          </ns5:r>
          <ns5:r>
            <ns5:t>n</ns5:t>
          </ns5:r>
          <ns5:r>
            <ns5:rPr>
              <ns5:sty ns5:val="p"/>
            </ns5:rPr>
            <ns5:t>−</ns5:t>
          </ns5:r>
          <ns5:r>
            <ns5:t>1</ns5:t>
          </ns5:r>
          <ns5:r>
            <ns5:rPr>
              <ns5:sty ns5:val="p"/>
            </ns5:rPr>
            <ns5:t>)</ns5:t>
          </ns5:r>
          <ns5:r>
            <ns5:t>p</ns5:t>
          </ns5:r>
          <ns5:r>
            <ns5:rPr>
              <ns5:sty ns5:val="p"/>
            </ns5:rPr>
            <ns5:t>,</ns5:t>
          </ns5:r>
          <ns5:r>
            <ns5:t>  </ns5:t>
          </ns5:r>
          <ns5:r>
            <ns5:t>j</ns5:t>
          </ns5:r>
          <ns5:r>
            <ns5:rPr>
              <ns5:sty ns5:val="p"/>
            </ns5:rPr>
            <ns5:t>=</ns5:t>
          </ns5:r>
          <ns5:r>
            <ns5:rPr>
              <ns5:sty ns5:val="p"/>
            </ns5:rPr>
            <ns5:t>⌊</ns5:t>
          </ns5:r>
          <ns5:r>
            <ns5:t>h</ns5:t>
          </ns5:r>
          <ns5:r>
            <ns5:rPr>
              <ns5:sty ns5:val="p"/>
            </ns5:rPr>
            <ns5:t>⌋</ns5:t>
          </ns5:r>
          <ns5:r>
            <ns5:rPr>
              <ns5:sty ns5:val="p"/>
            </ns5:rPr>
            <ns5:t>,</ns5:t>
          </ns5:r>
          <ns5:r>
            <ns5:t>  </ns5:t>
          </ns5:r>
          <ns5:r>
            <ns5:t>γ</ns5:t>
          </ns5:r>
          <ns5:r>
            <ns5:rPr>
              <ns5:sty ns5:val="p"/>
            </ns5:rPr>
            <ns5:t>=</ns5:t>
          </ns5:r>
          <ns5:r>
            <ns5:t>h</ns5:t>
          </ns5:r>
          <ns5:r>
            <ns5:rPr>
              <ns5:sty ns5:val="p"/>
            </ns5:rPr>
            <ns5:t>−</ns5:t>
          </ns5:r>
          <ns5:r>
            <ns5:t>j</ns5:t>
          </ns5:r>
          <ns5:r>
            <ns5:rPr>
              <ns5:sty ns5:val="p"/>
            </ns5:rPr>
            <ns5:t>,</ns5:t>
          </ns5:r>
        </ns5:oMath>
      </ns5:oMathPara>
    </w:p>
    <w:p>
      <w:pPr>
        <w:pStyle w:val="HFUTBody"/>
      </w:pPr>
      <w:r>
        <w:rPr>
          <w:rFonts w:hint="eastAsia"/>
        </w:rPr>
        <w:t xml:space="preserve">则内部位置的百分位数为</w:t>
      </w:r>
    </w:p>
    <w:p>
      <w:pPr>
        <w:pStyle w:val="HFUTEquation"/>
      </w:pPr>
      <ns5:oMathPara>
        <ns5:oMathParaPr>
          <ns5:jc ns5:val="center"/>
        </ns5:oMathParaPr>
        <ns5:oMath>
          <ns5:sSub>
            <ns5:e>
              <ns5:r>
                <ns5:t>Q</ns5:t>
              </ns5:r>
            </ns5:e>
            <ns5:sub>
              <ns5:r>
                <ns5:t>p</ns5:t>
              </ns5:r>
            </ns5:sub>
          </ns5:sSub>
          <ns5:r>
            <ns5:rPr>
              <ns5:sty ns5:val="p"/>
            </ns5:rPr>
            <ns5:t>=</ns5:t>
          </ns5:r>
          <ns5:r>
            <ns5:rPr>
              <ns5:sty ns5:val="p"/>
            </ns5:rPr>
            <ns5:t>(</ns5:t>
          </ns5:r>
          <ns5:r>
            <ns5:t>1</ns5:t>
          </ns5:r>
          <ns5:r>
            <ns5:rPr>
              <ns5:sty ns5:val="p"/>
            </ns5:rPr>
            <ns5:t>−</ns5:t>
          </ns5:r>
          <ns5:r>
            <ns5:t>γ</ns5:t>
          </ns5:r>
          <ns5:r>
            <ns5:rPr>
              <ns5:sty ns5:val="p"/>
            </ns5:rPr>
            <ns5:t>)</ns5:t>
          </ns5:r>
          <ns5:sSub>
            <ns5:e>
              <ns5:r>
                <ns5:t>x</ns5:t>
              </ns5:r>
            </ns5:e>
            <ns5:sub>
              <ns5:r>
                <ns5:rPr>
                  <ns5:sty ns5:val="p"/>
                </ns5:rPr>
                <ns5:t>(</ns5:t>
              </ns5:r>
              <ns5:r>
                <ns5:t>j</ns5:t>
              </ns5:r>
              <ns5:r>
                <ns5:rPr>
                  <ns5:sty ns5:val="p"/>
                </ns5:rPr>
                <ns5:t>)</ns5:t>
              </ns5:r>
            </ns5:sub>
          </ns5:sSub>
          <ns5:r>
            <ns5:rPr>
              <ns5:sty ns5:val="p"/>
            </ns5:rPr>
            <ns5:t>+</ns5:t>
          </ns5:r>
          <ns5:r>
            <ns5:t>γ</ns5:t>
          </ns5:r>
          <ns5:sSub>
            <ns5:e>
              <ns5:r>
                <ns5:t>x</ns5:t>
              </ns5:r>
            </ns5:e>
            <ns5:sub>
              <ns5:r>
                <ns5:rPr>
                  <ns5:sty ns5:val="p"/>
                </ns5:rPr>
                <ns5:t>(</ns5:t>
              </ns5:r>
              <ns5:r>
                <ns5:t>j</ns5:t>
              </ns5:r>
              <ns5:r>
                <ns5:rPr>
                  <ns5:sty ns5:val="p"/>
                </ns5:rPr>
                <ns5:t>+</ns5:t>
              </ns5:r>
              <ns5:r>
                <ns5:t>1</ns5:t>
              </ns5:r>
              <ns5:r>
                <ns5:rPr>
                  <ns5:sty ns5:val="p"/>
                </ns5:rPr>
                <ns5:t>)</ns5:t>
              </ns5:r>
            </ns5:sub>
          </ns5:sSub>
          <ns5:r>
            <ns5:rPr>
              <ns5:sty ns5:val="p"/>
            </ns5:rPr>
            <ns5:t>.</ns5:t>
          </ns5:r>
        </ns5:oMath>
      </ns5:oMathPara>
    </w:p>
    <w:p>
      <w:pPr>
        <w:pStyle w:val="HFUTBody"/>
        <w:spacing w:before="0" w:after="0" w:line="360" w:lineRule="atLeast"/>
      </w:pPr>
      <w:r>
        <w:rPr>
          <w:rFonts w:hint="eastAsia"/>
        </w:rPr>
        <w:t xml:space="preserve">分别取</w:t>
      </w:r>
      <ns5:oMath>
        <ns5:r>
          <ns5:t>p</ns5:t>
        </ns5:r>
        <ns5:r>
          <ns5:rPr>
            <ns5:sty ns5:val="p"/>
          </ns5:rPr>
          <ns5:t>=</ns5:t>
        </ns5:r>
        <ns5:r>
          <ns5:t>0.95</ns5:t>
        </ns5:r>
      </ns5:oMath>
      <w:r>
        <w:rPr>
          <w:rFonts w:hint="eastAsia"/>
        </w:rPr>
        <w:t xml:space="preserve">和</w:t>
      </w:r>
      <ns5:oMath>
        <ns5:r>
          <ns5:t>p</ns5:t>
        </ns5:r>
        <ns5:r>
          <ns5:rPr>
            <ns5:sty ns5:val="p"/>
          </ns5:rPr>
          <ns5:t>=</ns5:t>
        </ns5:r>
        <ns5:r>
          <ns5:t>0.99</ns5:t>
        </ns5:r>
      </ns5:oMath>
      <w:r>
        <w:rPr>
          <w:rFonts w:hint="eastAsia"/>
        </w:rPr>
        <w:t xml:space="preserve">得到P95与P99。本文只报告上述固定工作负载下的描述性统计，不进行置信区间、假设检验或统计显著性推断。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w:t>
      </w:r>
    </w:p>
    <w:p>
      <w:pPr>
        <w:pStyle w:val="HFUTBody"/>
      </w:pPr>
      <w:r>
        <w:rPr>
          <w:rFonts w:hint="eastAsia"/>
        </w:rPr>
        <w:t xml:space="preserve">表3给出V0、V2R和V3R的任务级正确性结果。在冻结的180幅测试集和统一评价程序下，三条路径的Precision、Recall、mAP50和mAP50-95分别为0.6913、0.6991、0.6476和0.3523；类别级最大AP50和Recall路径间差异也均为0。</w:t>
      </w:r>
    </w:p>
    <w:p>
      <w:pPr>
        <w:pStyle w:val="HFUTTableCaption"/>
        <w:jc w:val="center"/>
      </w:pPr>
      <w:r>
        <w:rPr>
          <w:rFonts w:hint="eastAsia"/>
          <w:b/>
          <w:bCs/>
        </w:rPr>
        <w:t xml:space="preserve">表3</w:t>
      </w:r>
      <w:r>
        <w:rPr>
          <w:b/>
          <w:bCs/>
        </w:rPr>
        <w:t xml:space="preserve">　</w:t>
      </w:r>
      <w:r>
        <w:rPr>
          <w:rFonts w:hint="eastAsia"/>
          <w:b/>
          <w:bCs/>
        </w:rPr>
        <w:t xml:space="preserve">V0、V2R和V3R的任务级正确性。Precision、Recall、mAP50和mAP50-95均由冻结预测证据按统一评估口径获得；各路径的汇总指标一致，类别级AP50与Recall的最大路径间差异均为0。</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800"/>
        <w:gridCol w:w="900"/>
        <w:gridCol w:w="900"/>
        <w:gridCol w:w="900"/>
        <w:gridCol w:w="900"/>
      </w:tblGrid>
      <w:tr>
        <w:trPr>
          <w:tblHeader w:val="on"/>
          <w:cantSplit/>
        </w:trPr>
        <w:tc>
          <w:tcPr>
            <w:tcW w:w="8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Path</w:t>
            </w:r>
          </w:p>
        </w:tc>
        <w:tc>
          <w:tcPr>
            <w:tcW w:w="9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Precision</w:t>
            </w:r>
          </w:p>
        </w:tc>
        <w:tc>
          <w:tcPr>
            <w:tcW w:w="9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Recall</w:t>
            </w:r>
          </w:p>
        </w:tc>
        <w:tc>
          <w:tcPr>
            <w:tcW w:w="9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mAP50</w:t>
            </w:r>
          </w:p>
        </w:tc>
        <w:tc>
          <w:tcPr>
            <w:tcW w:w="9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mAP50-95</w:t>
            </w:r>
          </w:p>
        </w:tc>
      </w:tr>
      <w:tr>
        <w:trPr>
          <w:cantSplit/>
        </w:trPr>
        <w:tc>
          <w:tcPr>
            <w:tcW w:w="800" w:type="dxa"/>
            <w:tcBorders>
              <w:top w:val="nil"/>
              <w:left w:val="nil"/>
              <w:bottom w:val="nil"/>
              <w:right w:val="nil"/>
            </w:tcBorders>
            <w:tcMar>
              <w:top w:w="0" w:type="dxa"/>
              <w:left w:w="108" w:type="dxa"/>
              <w:bottom w:w="0" w:type="dxa"/>
              <w:right w:w="108" w:type="dxa"/>
            </w:tcMar>
          </w:tcPr>
          <w:p>
            <w:pPr>
              <w:pStyle w:val="HFUTTableContent"/>
              <w:jc w:val="left"/>
            </w:pPr>
            <w:r>
              <w:t xml:space="preserve">V0</w:t>
            </w:r>
          </w:p>
        </w:tc>
        <w:tc>
          <w:tcPr>
            <w:tcW w:w="900" w:type="dxa"/>
            <w:tcBorders>
              <w:top w:val="nil"/>
              <w:left w:val="nil"/>
              <w:bottom w:val="nil"/>
              <w:right w:val="nil"/>
            </w:tcBorders>
            <w:tcMar>
              <w:top w:w="0" w:type="dxa"/>
              <w:left w:w="108" w:type="dxa"/>
              <w:bottom w:w="0" w:type="dxa"/>
              <w:right w:w="108" w:type="dxa"/>
            </w:tcMar>
          </w:tcPr>
          <w:p>
            <w:pPr>
              <w:pStyle w:val="HFUTTableContent"/>
              <w:jc w:val="right"/>
            </w:pPr>
            <w:r>
              <w:t xml:space="preserve">0.6913</w:t>
            </w:r>
          </w:p>
        </w:tc>
        <w:tc>
          <w:tcPr>
            <w:tcW w:w="900" w:type="dxa"/>
            <w:tcBorders>
              <w:top w:val="nil"/>
              <w:left w:val="nil"/>
              <w:bottom w:val="nil"/>
              <w:right w:val="nil"/>
            </w:tcBorders>
            <w:tcMar>
              <w:top w:w="0" w:type="dxa"/>
              <w:left w:w="108" w:type="dxa"/>
              <w:bottom w:w="0" w:type="dxa"/>
              <w:right w:w="108" w:type="dxa"/>
            </w:tcMar>
          </w:tcPr>
          <w:p>
            <w:pPr>
              <w:pStyle w:val="HFUTTableContent"/>
              <w:jc w:val="right"/>
            </w:pPr>
            <w:r>
              <w:t xml:space="preserve">0.6991</w:t>
            </w:r>
          </w:p>
        </w:tc>
        <w:tc>
          <w:tcPr>
            <w:tcW w:w="900" w:type="dxa"/>
            <w:tcBorders>
              <w:top w:val="nil"/>
              <w:left w:val="nil"/>
              <w:bottom w:val="nil"/>
              <w:right w:val="nil"/>
            </w:tcBorders>
            <w:tcMar>
              <w:top w:w="0" w:type="dxa"/>
              <w:left w:w="108" w:type="dxa"/>
              <w:bottom w:w="0" w:type="dxa"/>
              <w:right w:w="108" w:type="dxa"/>
            </w:tcMar>
          </w:tcPr>
          <w:p>
            <w:pPr>
              <w:pStyle w:val="HFUTTableContent"/>
              <w:jc w:val="right"/>
            </w:pPr>
            <w:r>
              <w:t xml:space="preserve">0.6476</w:t>
            </w:r>
          </w:p>
        </w:tc>
        <w:tc>
          <w:tcPr>
            <w:tcW w:w="900" w:type="dxa"/>
            <w:tcBorders>
              <w:top w:val="nil"/>
              <w:left w:val="nil"/>
              <w:bottom w:val="nil"/>
              <w:right w:val="nil"/>
            </w:tcBorders>
            <w:tcMar>
              <w:top w:w="0" w:type="dxa"/>
              <w:left w:w="108" w:type="dxa"/>
              <w:bottom w:w="0" w:type="dxa"/>
              <w:right w:w="108" w:type="dxa"/>
            </w:tcMar>
          </w:tcPr>
          <w:p>
            <w:pPr>
              <w:pStyle w:val="HFUTTableContent"/>
              <w:jc w:val="center"/>
            </w:pPr>
            <w:r>
              <w:t xml:space="preserve">0.3523</w:t>
            </w:r>
          </w:p>
        </w:tc>
      </w:tr>
      <w:tr>
        <w:trPr>
          <w:cantSplit/>
        </w:trPr>
        <w:tc>
          <w:tcPr>
            <w:tcW w:w="800" w:type="dxa"/>
            <w:tcBorders>
              <w:top w:val="nil"/>
              <w:left w:val="nil"/>
              <w:bottom w:val="nil"/>
              <w:right w:val="nil"/>
            </w:tcBorders>
            <w:tcMar>
              <w:top w:w="0" w:type="dxa"/>
              <w:left w:w="108" w:type="dxa"/>
              <w:bottom w:w="0" w:type="dxa"/>
              <w:right w:w="108" w:type="dxa"/>
            </w:tcMar>
          </w:tcPr>
          <w:p>
            <w:pPr>
              <w:pStyle w:val="HFUTTableContent"/>
              <w:jc w:val="left"/>
            </w:pPr>
            <w:r>
              <w:t xml:space="preserve">V2R</w:t>
            </w:r>
          </w:p>
        </w:tc>
        <w:tc>
          <w:tcPr>
            <w:tcW w:w="900" w:type="dxa"/>
            <w:tcBorders>
              <w:top w:val="nil"/>
              <w:left w:val="nil"/>
              <w:bottom w:val="nil"/>
              <w:right w:val="nil"/>
            </w:tcBorders>
            <w:tcMar>
              <w:top w:w="0" w:type="dxa"/>
              <w:left w:w="108" w:type="dxa"/>
              <w:bottom w:w="0" w:type="dxa"/>
              <w:right w:w="108" w:type="dxa"/>
            </w:tcMar>
          </w:tcPr>
          <w:p>
            <w:pPr>
              <w:pStyle w:val="HFUTTableContent"/>
              <w:jc w:val="right"/>
            </w:pPr>
            <w:r>
              <w:t xml:space="preserve">0.6913</w:t>
            </w:r>
          </w:p>
        </w:tc>
        <w:tc>
          <w:tcPr>
            <w:tcW w:w="900" w:type="dxa"/>
            <w:tcBorders>
              <w:top w:val="nil"/>
              <w:left w:val="nil"/>
              <w:bottom w:val="nil"/>
              <w:right w:val="nil"/>
            </w:tcBorders>
            <w:tcMar>
              <w:top w:w="0" w:type="dxa"/>
              <w:left w:w="108" w:type="dxa"/>
              <w:bottom w:w="0" w:type="dxa"/>
              <w:right w:w="108" w:type="dxa"/>
            </w:tcMar>
          </w:tcPr>
          <w:p>
            <w:pPr>
              <w:pStyle w:val="HFUTTableContent"/>
              <w:jc w:val="right"/>
            </w:pPr>
            <w:r>
              <w:t xml:space="preserve">0.6991</w:t>
            </w:r>
          </w:p>
        </w:tc>
        <w:tc>
          <w:tcPr>
            <w:tcW w:w="900" w:type="dxa"/>
            <w:tcBorders>
              <w:top w:val="nil"/>
              <w:left w:val="nil"/>
              <w:bottom w:val="nil"/>
              <w:right w:val="nil"/>
            </w:tcBorders>
            <w:tcMar>
              <w:top w:w="0" w:type="dxa"/>
              <w:left w:w="108" w:type="dxa"/>
              <w:bottom w:w="0" w:type="dxa"/>
              <w:right w:w="108" w:type="dxa"/>
            </w:tcMar>
          </w:tcPr>
          <w:p>
            <w:pPr>
              <w:pStyle w:val="HFUTTableContent"/>
              <w:jc w:val="right"/>
            </w:pPr>
            <w:r>
              <w:t xml:space="preserve">0.6476</w:t>
            </w:r>
          </w:p>
        </w:tc>
        <w:tc>
          <w:tcPr>
            <w:tcW w:w="900" w:type="dxa"/>
            <w:tcBorders>
              <w:top w:val="nil"/>
              <w:left w:val="nil"/>
              <w:bottom w:val="nil"/>
              <w:right w:val="nil"/>
            </w:tcBorders>
            <w:tcMar>
              <w:top w:w="0" w:type="dxa"/>
              <w:left w:w="108" w:type="dxa"/>
              <w:bottom w:w="0" w:type="dxa"/>
              <w:right w:w="108" w:type="dxa"/>
            </w:tcMar>
          </w:tcPr>
          <w:p>
            <w:pPr>
              <w:pStyle w:val="HFUTTableContent"/>
              <w:jc w:val="center"/>
            </w:pPr>
            <w:r>
              <w:t xml:space="preserve">0.3523</w:t>
            </w:r>
          </w:p>
        </w:tc>
      </w:tr>
      <w:tr>
        <w:trPr>
          <w:cantSplit/>
        </w:trPr>
        <w:tc>
          <w:tcPr>
            <w:tcW w:w="8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900" w:type="dxa"/>
            <w:tcBorders>
              <w:top w:val="nil"/>
              <w:left w:val="nil"/>
              <w:bottom w:val="single" w:sz="8" w:space="0" w:color="000000"/>
              <w:right w:val="nil"/>
            </w:tcBorders>
            <w:tcMar>
              <w:top w:w="0" w:type="dxa"/>
              <w:left w:w="108" w:type="dxa"/>
              <w:bottom w:w="0" w:type="dxa"/>
              <w:right w:w="108" w:type="dxa"/>
            </w:tcMar>
          </w:tcPr>
          <w:p>
            <w:pPr>
              <w:pStyle w:val="HFUTTableContent"/>
              <w:jc w:val="right"/>
            </w:pPr>
            <w:r>
              <w:t xml:space="preserve">0.6913</w:t>
            </w:r>
          </w:p>
        </w:tc>
        <w:tc>
          <w:tcPr>
            <w:tcW w:w="900" w:type="dxa"/>
            <w:tcBorders>
              <w:top w:val="nil"/>
              <w:left w:val="nil"/>
              <w:bottom w:val="single" w:sz="8" w:space="0" w:color="000000"/>
              <w:right w:val="nil"/>
            </w:tcBorders>
            <w:tcMar>
              <w:top w:w="0" w:type="dxa"/>
              <w:left w:w="108" w:type="dxa"/>
              <w:bottom w:w="0" w:type="dxa"/>
              <w:right w:w="108" w:type="dxa"/>
            </w:tcMar>
          </w:tcPr>
          <w:p>
            <w:pPr>
              <w:pStyle w:val="HFUTTableContent"/>
              <w:jc w:val="right"/>
            </w:pPr>
            <w:r>
              <w:t xml:space="preserve">0.6991</w:t>
            </w:r>
          </w:p>
        </w:tc>
        <w:tc>
          <w:tcPr>
            <w:tcW w:w="900" w:type="dxa"/>
            <w:tcBorders>
              <w:top w:val="nil"/>
              <w:left w:val="nil"/>
              <w:bottom w:val="single" w:sz="8" w:space="0" w:color="000000"/>
              <w:right w:val="nil"/>
            </w:tcBorders>
            <w:tcMar>
              <w:top w:w="0" w:type="dxa"/>
              <w:left w:w="108" w:type="dxa"/>
              <w:bottom w:w="0" w:type="dxa"/>
              <w:right w:w="108" w:type="dxa"/>
            </w:tcMar>
          </w:tcPr>
          <w:p>
            <w:pPr>
              <w:pStyle w:val="HFUTTableContent"/>
              <w:jc w:val="right"/>
            </w:pPr>
            <w:r>
              <w:t xml:space="preserve">0.6476</w:t>
            </w:r>
          </w:p>
        </w:tc>
        <w:tc>
          <w:tcPr>
            <w:tcW w:w="9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0.3523</w:t>
            </w:r>
          </w:p>
        </w:tc>
      </w:tr>
    </w:tbl>
    <w:p>
      <w:pPr>
        <w:pStyle w:val="HFUTBody"/>
      </w:pPr>
      <w:r>
        <w:rPr>
          <w:rFonts w:hint="eastAsia"/>
        </w:rPr>
        <w:t xml:space="preserve">V3R冻结预测结果经同一评价口径得到Precision</w:t>
      </w:r>
      <w:r>
        <w:t xml:space="preserve"> 0.6913、Recall 0.6991、mAP50 </w:t>
      </w:r>
      <w:r>
        <w:rPr>
          <w:rFonts w:hint="eastAsia"/>
        </w:rPr>
        <w:t xml:space="preserve">0.6476和mAP50-95</w:t>
      </w:r>
      <w:r>
        <w:t xml:space="preserve"> </w:t>
      </w:r>
      <w:r>
        <w:rPr>
          <w:rFonts w:hint="eastAsia"/>
        </w:rPr>
        <w:t xml:space="preserve">0.3523；相对V0和V2R的类别级最大AP50与Recall差异均为0。由此，V0、V2R和V3R在该冻结工作负载上获得一致的任务级评价结果，说明本轮输入数据路径重构未改变该测试集上的检测评价。V3R结果来自冻结预测结果的确定性分析，而非新的推理或第二次参数选择；上述一致性不扩展为数学等价、逐位一致或未来输入上的普适结论。</w:t>
      </w:r>
    </w:p>
    <w:p>
      <w:pPr>
        <w:pStyle w:val="HFUTHeading2"/>
      </w:pPr>
      <w:r>
        <w:t xml:space="preserve">4.2 </w:t>
      </w:r>
      <w:r>
        <w:rPr>
          <w:rFonts w:hint="eastAsia"/>
        </w:rPr>
        <w:t xml:space="preserve">整体E2E性能</w:t>
      </w:r>
    </w:p>
    <w:p>
      <w:pPr>
        <w:pStyle w:val="HFUTBody"/>
      </w:pPr>
      <w:r>
        <w:rPr>
          <w:rFonts w:hint="eastAsia"/>
        </w:rPr>
        <w:t xml:space="preserve">V0→V2R形成主要E2E性能增量，而V2R→V3R仅进一步改善平均性能。V0的平均FPS为54.600，平均延迟为18.273</w:t>
      </w:r>
      <w:r>
        <w:t xml:space="preserve"> </w:t>
      </w:r>
      <w:r>
        <w:rPr>
          <w:rFonts w:hint="eastAsia"/>
        </w:rPr>
        <w:t xml:space="preserve">ms；V2R分别为122.122</w:t>
      </w:r>
      <w:r>
        <w:t xml:space="preserve"> </w:t>
      </w:r>
      <w:r>
        <w:rPr>
          <w:rFonts w:hint="eastAsia"/>
        </w:rPr>
        <w:t xml:space="preserve">FPS和8.140</w:t>
      </w:r>
      <w:r>
        <w:t xml:space="preserve"> </w:t>
      </w:r>
      <w:r>
        <w:rPr>
          <w:rFonts w:hint="eastAsia"/>
        </w:rPr>
        <w:t xml:space="preserve">ms。V2R相对V0达到2.24×</w:t>
      </w:r>
      <w:r>
        <w:t xml:space="preserve"> </w:t>
      </w:r>
      <w:r>
        <w:rPr>
          <w:rFonts w:hint="eastAsia"/>
        </w:rPr>
        <w:t xml:space="preserve">FPS，平均延迟降低55.45%。</w:t>
      </w:r>
    </w:p>
    <w:p>
      <w:pPr>
        <w:pStyle w:val="HFUTBody"/>
      </w:pPr>
      <w:r>
        <w:rPr>
          <w:rFonts w:hint="eastAsia"/>
        </w:rPr>
        <w:t xml:space="preserve">V3R的平均FPS为127.097，平均延迟为7.812</w:t>
      </w:r>
      <w:r>
        <w:t xml:space="preserve"> </w:t>
      </w:r>
      <w:r>
        <w:rPr>
          <w:rFonts w:hint="eastAsia"/>
        </w:rPr>
        <w:t xml:space="preserve">ms。相对V2R，其FPS变化为+4.07%，平均延迟变化为−4.03%。两级结果表明，主要平均性能变化对应从主机侧FP32张量形成到原始图像H2D与GPU侧输入形成的完整重构；pageable→pinned暂存是在该路径基础上的有限边际增量。</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图3统一给出三条路径的平均FPS、平均E2E延迟以及绝对P95/P99。FPS误差棒为5次独立进程级FPS的样本标准差，V0、V2R和V3R的样本标准差分别为0.223、0.492和1.279</w:t>
      </w:r>
      <w:r>
        <w:t xml:space="preserve"> </w:t>
      </w:r>
      <w:r>
        <w:rPr>
          <w:rFonts w:hint="eastAsia"/>
        </w:rPr>
        <w:t xml:space="preserve">FPS；延迟结果来自每条路径合并的5400个逐帧样本。</w:t>
      </w:r>
    </w:p>
    <w:p>
      <w:pPr>
        <w:pStyle w:val="BodyText"/>
        <w:keepNext/>
        <w:spacing w:before="0" w:after="0" w:line="320" w:lineRule="atLeast"/>
        <w:ind w:firstLine="0"/>
        <w:jc w:val="center"/>
      </w:pPr>
      <w:r>
        <w:drawing>
          <ns2:inline>
            <ns2:extent cx="5759999" cy="2212571"/>
            <ns2:effectExtent b="0" l="0" r="0" t="0"/>
            <ns2:docPr descr="" title="" id="20" name="Picture"/>
            <ns3:graphic>
              <ns3:graphicData uri="http://schemas.openxmlformats.org/drawingml/2006/picture">
                <ns4:pic>
                  <ns4:nvPicPr>
                    <ns4:cNvPr descr="fig3_main_e2e_phase56.png" id="21" name="Picture"/>
                    <ns4:cNvPicPr>
                      <ns3:picLocks noChangeArrowheads="1" noChangeAspect="1"/>
                    </ns4:cNvPicPr>
                  </ns4:nvPicPr>
                  <ns4:blipFill>
                    <ns3:blip ns1:embed="rId19"/>
                    <ns3:stretch>
                      <ns3:fillRect/>
                    </ns3:stretch>
                  </ns4:blipFill>
                  <ns4:spPr bwMode="auto">
                    <ns3:xfrm>
                      <ns3:off x="0" y="0"/>
                      <ns3:ext cx="5759999" cy="2212571"/>
                    </ns3:xfrm>
                    <ns3:prstGeom prst="rect">
                      <ns3:avLst/>
                    </ns3:prstGeom>
                    <ns3:noFill/>
                    <ns3:ln w="9525">
                      <ns3:noFill/>
                      <ns3:headEnd/>
                      <ns3:tailEnd/>
                    </ns3:ln>
                  </ns4:spPr>
                </ns4:pic>
              </ns3:graphicData>
            </ns3:graphic>
          </ns2: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图3</w:t>
      </w:r>
      <w:r>
        <w:rPr>
          <w:b/>
          <w:bCs/>
        </w:rPr>
        <w:t xml:space="preserve">　</w:t>
      </w:r>
      <w:r>
        <w:rPr>
          <w:rFonts w:hint="eastAsia"/>
          <w:b/>
          <w:bCs/>
        </w:rPr>
        <w:t xml:space="preserve">三条受控路径的端到端性能。(a)</w:t>
      </w:r>
      <w:r>
        <w:rPr>
          <w:b/>
          <w:bCs/>
        </w:rPr>
        <w:t xml:space="preserve"> </w:t>
      </w:r>
      <w:r>
        <w:rPr>
          <w:rFonts w:hint="eastAsia"/>
          <w:b/>
          <w:bCs/>
        </w:rPr>
        <w:t xml:space="preserve">柱高为每条路径5个独立进程FPS的均值，误差棒为5个进程级FPS值的样本标准差；(b)</w:t>
      </w:r>
      <w:r>
        <w:rPr>
          <w:b/>
          <w:bCs/>
        </w:rPr>
        <w:t xml:space="preserve"> </w:t>
      </w:r>
      <w:r>
        <w:rPr>
          <w:rFonts w:hint="eastAsia"/>
          <w:b/>
          <w:bCs/>
        </w:rPr>
        <w:t xml:space="preserve">为每条路径合并5400个延迟样本得到的平均端到端延迟；(c)</w:t>
      </w:r>
      <w:r>
        <w:rPr>
          <w:b/>
          <w:bCs/>
        </w:rPr>
        <w:t xml:space="preserve"> </w:t>
      </w:r>
      <w:r>
        <w:rPr>
          <w:rFonts w:hint="eastAsia"/>
          <w:b/>
          <w:bCs/>
        </w:rPr>
        <w:t xml:space="preserve">为相同5400个合并延迟样本的P95和P99。比较值描述完整路径差异，不构成对单一组件的因果归因。</w:t>
      </w:r>
    </w:p>
    <w:p>
      <w:pPr>
        <w:pStyle w:val="HFUTHeading2"/>
      </w:pPr>
      <w:r>
        <w:t xml:space="preserve">4.3 </w:t>
      </w:r>
      <w:r>
        <w:rPr>
          <w:rFonts w:hint="eastAsia"/>
        </w:rPr>
        <w:t xml:space="preserve">数据路径分析</w:t>
      </w:r>
    </w:p>
    <w:p>
      <w:pPr>
        <w:pStyle w:val="HFUTBody"/>
      </w:pPr>
      <w:r>
        <w:rPr>
          <w:rFonts w:hint="eastAsia"/>
        </w:rPr>
        <w:t xml:space="preserve">输入数据表示的变化可以用名义输入复制载荷（nominal</w:t>
      </w:r>
      <w:r>
        <w:t xml:space="preserve"> input-copy </w:t>
      </w:r>
      <w:r>
        <w:rPr>
          <w:rFonts w:hint="eastAsia"/>
        </w:rPr>
        <w:t xml:space="preserve">payload）描述。V0在主机端形成</w:t>
      </w:r>
      <w:r>
        <w:rPr>
          <w:rStyle w:val="VerbatimChar"/>
        </w:rPr>
        <w:t xml:space="preserve">1×3×640×640</w:t>
      </w:r>
      <w:r>
        <w:rPr>
          <w:rFonts w:hint="eastAsia"/>
        </w:rPr>
        <w:t xml:space="preserve">的FP32</w:t>
      </w:r>
      <w:r>
        <w:t xml:space="preserve"> </w:t>
      </w:r>
      <w:r>
        <w:rPr>
          <w:rFonts w:hint="eastAsia"/>
        </w:rPr>
        <w:t xml:space="preserve">NCHW张量后复制至设备，其名义载荷为</w:t>
      </w:r>
    </w:p>
    <w:p>
      <w:pPr>
        <w:pStyle w:val="HFUTBody"/>
      </w:pPr>
      <w:r>
        <w:rPr>
          <w:rStyle w:val="VerbatimChar"/>
        </w:rPr>
        <w:t xml:space="preserve">1 × 3 × 640 × 640 × 4 = 4,915,200 B = 4.9152 MB/frame</w:t>
      </w:r>
      <w:r>
        <w:t xml:space="preserve">。</w:t>
      </w:r>
    </w:p>
    <w:p>
      <w:pPr>
        <w:pStyle w:val="HFUTBody"/>
      </w:pPr>
      <w:r>
        <w:rPr>
          <w:rFonts w:hint="eastAsia"/>
        </w:rPr>
        <w:t xml:space="preserve">V2R/V3R在冻结工作负载中复制200×200</w:t>
      </w:r>
      <w:r>
        <w:t xml:space="preserve"> packed BGR</w:t>
      </w:r>
      <w:r>
        <w:t xml:space="preserve"> </w:t>
      </w:r>
      <w:r>
        <w:rPr>
          <w:rStyle w:val="VerbatimChar"/>
        </w:rPr>
        <w:t xml:space="preserve">uint8</w:t>
      </w:r>
      <w:r>
        <w:rPr>
          <w:rFonts w:hint="eastAsia"/>
        </w:rPr>
        <w:t xml:space="preserve">图像，</w:t>
      </w:r>
      <w:r>
        <w:rPr>
          <w:rStyle w:val="VerbatimChar"/>
        </w:rPr>
        <w:t xml:space="preserve">cudaMemcpy2DAsync</w:t>
      </w:r>
      <w:r>
        <w:rPr>
          <w:rFonts w:hint="eastAsia"/>
        </w:rPr>
        <w:t xml:space="preserve">的有效copy</w:t>
      </w:r>
      <w:r>
        <w:t xml:space="preserve"> </w:t>
      </w:r>
      <w:r>
        <w:rPr>
          <w:rFonts w:hint="eastAsia"/>
        </w:rPr>
        <w:t xml:space="preserve">width为600</w:t>
      </w:r>
      <w:r>
        <w:t xml:space="preserve"> </w:t>
      </w:r>
      <w:r>
        <w:rPr>
          <w:rFonts w:hint="eastAsia"/>
        </w:rPr>
        <w:t xml:space="preserve">B、height为200，名义载荷为</w:t>
      </w:r>
    </w:p>
    <w:p>
      <w:pPr>
        <w:pStyle w:val="HFUTBody"/>
      </w:pPr>
      <w:r>
        <w:rPr>
          <w:rStyle w:val="VerbatimChar"/>
        </w:rPr>
        <w:t xml:space="preserve">600 B × 200 = 120,000 B = 0.1200 MB/frame</w:t>
      </w:r>
      <w:r>
        <w:t xml:space="preserve">。</w:t>
      </w:r>
    </w:p>
    <w:p>
      <w:pPr>
        <w:pStyle w:val="HFUTBody"/>
      </w:pPr>
      <w:r>
        <w:rPr>
          <w:rFonts w:hint="eastAsia"/>
        </w:rPr>
        <w:t xml:space="preserve">两类路径的名义输入复制载荷比为40.96×。该确定性差异来自冻结图像几何和实现复制语义，表明输入形成位置与H2D数据表示发生了实质变化；它不等同于实际内存总线流量、带宽改善、H2D时间降低或40.96×传输加速，也不能单独解释测得的2.24×</w:t>
      </w:r>
      <w:r>
        <w:t xml:space="preserve"> E2E </w:t>
      </w:r>
      <w:r>
        <w:rPr>
          <w:rFonts w:hint="eastAsia"/>
        </w:rPr>
        <w:t xml:space="preserve">FPS比。E2E结果仍是包含全部计时边界阶段的完整路径观察。</w:t>
      </w:r>
    </w:p>
    <w:p>
      <w:pPr>
        <w:pStyle w:val="HFUTHeading2"/>
      </w:pPr>
      <w:r>
        <w:t xml:space="preserve">4.4 </w:t>
      </w:r>
      <w:r>
        <w:rPr>
          <w:rFonts w:hint="eastAsia"/>
        </w:rPr>
        <w:t xml:space="preserve">运行级分布与尾延迟</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图4给出运行级分布与尾延迟。5次独立进程的描述性分布支持V3R平均性能优势具有运行级重复性，而不是由单一异常进程独自产生。V2R的进程级FPS范围为121.443–122.759，V3R为125.595–128.301；对应的进程平均延迟范围分别为8.098–8.185</w:t>
      </w:r>
      <w:r>
        <w:t xml:space="preserve"> </w:t>
      </w:r>
      <w:r>
        <w:rPr>
          <w:rFonts w:hint="eastAsia"/>
        </w:rPr>
        <w:t xml:space="preserve">ms和7.740–7.894</w:t>
      </w:r>
      <w:r>
        <w:t xml:space="preserve"> </w:t>
      </w:r>
      <w:r>
        <w:rPr>
          <w:rFonts w:hint="eastAsia"/>
        </w:rPr>
        <w:t xml:space="preserve">ms。两个范围在本次5次运行样本中没有重叠，但不同路径的进程不按运行次序建立逐次对应关系，本文也不据此进行显著性推断。</w:t>
      </w:r>
    </w:p>
    <w:p>
      <w:pPr>
        <w:pStyle w:val="BodyText"/>
        <w:keepNext/>
        <w:spacing w:before="0" w:after="0" w:line="320" w:lineRule="atLeast"/>
        <w:ind w:firstLine="0"/>
        <w:jc w:val="center"/>
      </w:pPr>
      <w:r>
        <w:drawing>
          <ns2:inline>
            <ns2:extent cx="5759999" cy="2578285"/>
            <ns2:effectExtent b="0" l="0" r="0" t="0"/>
            <ns2:docPr descr="" title="" id="23" name="Picture"/>
            <ns3:graphic>
              <ns3:graphicData uri="http://schemas.openxmlformats.org/drawingml/2006/picture">
                <ns4:pic>
                  <ns4:nvPicPr>
                    <ns4:cNvPr descr="fig4_run_level_distribution_phase56.png" id="24" name="Picture"/>
                    <ns4:cNvPicPr>
                      <ns3:picLocks noChangeArrowheads="1" noChangeAspect="1"/>
                    </ns4:cNvPicPr>
                  </ns4:nvPicPr>
                  <ns4:blipFill>
                    <ns3:blip ns1:embed="rId22"/>
                    <ns3:stretch>
                      <ns3:fillRect/>
                    </ns3:stretch>
                  </ns4:blipFill>
                  <ns4:spPr bwMode="auto">
                    <ns3:xfrm>
                      <ns3:off x="0" y="0"/>
                      <ns3:ext cx="5759999" cy="2578285"/>
                    </ns3:xfrm>
                    <ns3:prstGeom prst="rect">
                      <ns3:avLst/>
                    </ns3:prstGeom>
                    <ns3:noFill/>
                    <ns3:ln w="9525">
                      <ns3:noFill/>
                      <ns3:headEnd/>
                      <ns3:tailEnd/>
                    </ns3:ln>
                  </ns4:spPr>
                </ns4:pic>
              </ns3:graphicData>
            </ns3:graphic>
          </ns2: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图4</w:t>
      </w:r>
      <w:r>
        <w:rPr>
          <w:b/>
          <w:bCs/>
        </w:rPr>
        <w:t xml:space="preserve">　</w:t>
      </w:r>
      <w:r>
        <w:rPr>
          <w:rFonts w:hint="eastAsia"/>
          <w:b/>
          <w:bCs/>
        </w:rPr>
        <w:t xml:space="preserve">运行级分布与尾延迟。(a)</w:t>
      </w:r>
      <w:r>
        <w:rPr>
          <w:b/>
          <w:bCs/>
        </w:rPr>
        <w:t xml:space="preserve"> </w:t>
      </w:r>
      <w:r>
        <w:rPr>
          <w:rFonts w:hint="eastAsia"/>
          <w:b/>
          <w:bCs/>
        </w:rPr>
        <w:t xml:space="preserve">展示每条路径5个独立进程的FPS及描述性均值与样本标准差；(b)</w:t>
      </w:r>
      <w:r>
        <w:rPr>
          <w:b/>
          <w:bCs/>
        </w:rPr>
        <w:t xml:space="preserve"> </w:t>
      </w:r>
      <w:r>
        <w:rPr>
          <w:rFonts w:hint="eastAsia"/>
          <w:b/>
          <w:bCs/>
        </w:rPr>
        <w:t xml:space="preserve">展示V2R/V3R各进程的平均、P95和P99延迟。各点为独立进程级描述量，横向偏移仅用于区分且不表示配对。正式合并样本P95/P99来自每条路径5400个延迟样本；P95变化+0.15%、P99变化−0.12%，方向相反，未形成一致的尾延迟改善证据。</w:t>
      </w:r>
    </w:p>
    <w:p>
      <w:pPr>
        <w:pStyle w:val="HFUTBody"/>
      </w:pPr>
      <w:r>
        <w:rPr>
          <w:rFonts w:hint="eastAsia"/>
        </w:rPr>
        <w:t xml:space="preserve">尾延迟没有形成相同方向。V2R的合并样本P95和P99分别为9.827和11.529</w:t>
      </w:r>
      <w:r>
        <w:t xml:space="preserve"> </w:t>
      </w:r>
      <w:r>
        <w:rPr>
          <w:rFonts w:hint="eastAsia"/>
        </w:rPr>
        <w:t xml:space="preserve">ms，V3R分别为9.842和11.515</w:t>
      </w:r>
      <w:r>
        <w:t xml:space="preserve"> </w:t>
      </w:r>
      <w:r>
        <w:rPr>
          <w:rFonts w:hint="eastAsia"/>
        </w:rPr>
        <w:t xml:space="preserve">ms。V3R相对V2R的P95为+0.15%（略慢），P99为−0.12%（略快）。两项相对变化均低于0.2%且方向相反，未形成一致的尾延迟改善证据。平均性能优势与尾部变化应分别解读，不把pinned暂存描述为稳定降低尾延迟的机制。</w:t>
      </w:r>
    </w:p>
    <w:p>
      <w:pPr>
        <w:pStyle w:val="HFUTHeading2"/>
      </w:pPr>
      <w:r>
        <w:t xml:space="preserve">4.5 </w:t>
      </w:r>
      <w:r>
        <w:rPr>
          <w:rFonts w:hint="eastAsia"/>
        </w:rPr>
        <w:t xml:space="preserve">相关工作定位</w:t>
      </w:r>
    </w:p>
    <w:p>
      <w:pPr>
        <w:pStyle w:val="HFUTBody"/>
      </w:pPr>
      <w:r>
        <w:rPr>
          <w:rFonts w:hint="eastAsia"/>
        </w:rPr>
        <w:t xml:space="preserve">表面缺陷研究通常以检测器结构和任务精度为中心，而边缘部署研究还涉及框架、预处理、内存管理和完整处理路径</w:t>
      </w:r>
      <w:r>
        <w:rPr>
          <w:vertAlign w:val="superscript"/>
        </w:rPr>
        <w:t xml:space="preserve">[3,7,8,25]</w:t>
      </w:r>
      <w:r>
        <w:rPr>
          <w:rFonts w:hint="eastAsia"/>
        </w:rPr>
        <w:t xml:space="preserve">。本文与这些工作的区别在于固定YOLOv8n和同一TensorRT</w:t>
      </w:r>
      <w:r>
        <w:t xml:space="preserve"> </w:t>
      </w:r>
      <w:r>
        <w:rPr>
          <w:rFonts w:hint="eastAsia"/>
        </w:rPr>
        <w:t xml:space="preserve">INT8混合精度Engine，把主机侧FP32张量形成、GPU侧融合预处理和pageable/pinned原始图像暂存组织成两级隔离比较，并同时报告统一工作负载下的任务正确性、E2E延迟、进程级FPS和合并样本尾延迟行为。</w:t>
      </w:r>
    </w:p>
    <w:p>
      <w:pPr>
        <w:pStyle w:val="HFUTBody"/>
      </w:pPr>
      <w:r>
        <w:rPr>
          <w:rFonts w:hint="eastAsia"/>
        </w:rPr>
        <w:t xml:space="preserve">这一定位不表示GPU预处理或pinned内存从未被研究，也不以不同论文之间的FPS绝对值建立优劣结论。本文提供的是固定检测器/Engine条件下的输入数据路径工程证据：V0→V2R用于观察完整输入形成重构，V2R→V3R用于观察主机暂存分配类型的边际变化。表4给出上述工作的研究属性定性比较，并区分“未报告”与“明确否”，避免将文献没有给出的实现信息推断为否定事实。</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4的判定口径为：边缘部署指在嵌入式或边缘设备上实际部署并报告实验结果；模型固定指所比较系统配置中的研究变量不包含检测网络结构、权重或模型参数变化；GPU预处理指论文明确由GPU/CUDA执行模型推理前的图像预处理；host内存策略指论文明确研究或配置主机侧内存分配、锁页/可分页或managed等策略；完整E2E指性能边界至少覆盖预处理、模型执行以及后处理或结果处理，而非仅网络推理；任务正确性指论文报告受比较部署或系统配置对应的任务级检测正确性指标；尾延迟指论文报告P95、P99或其他明确的百分位尾延迟指标，而非仅平均值或最大值。</w:t>
      </w:r>
    </w:p>
    <w:p>
      <w:pPr>
        <w:pStyle w:val="HFUTTableCaption"/>
        <w:jc w:val="center"/>
      </w:pPr>
      <w:r>
        <w:rPr>
          <w:rFonts w:hint="eastAsia"/>
          <w:b/>
          <w:bCs/>
        </w:rPr>
        <w:t xml:space="preserve">表4</w:t>
      </w:r>
      <w:r>
        <w:rPr>
          <w:b/>
          <w:bCs/>
        </w:rPr>
        <w:t xml:space="preserve">　</w:t>
      </w:r>
      <w:r>
        <w:rPr>
          <w:rFonts w:hint="eastAsia"/>
          <w:b/>
          <w:bCs/>
        </w:rPr>
        <w:t xml:space="preserve">相关工作的研究属性定性比较。表中汇总所审阅工作明确报告的研究属性；“明确否”仅用于原文明确排除的情形，“未报告”不等同于“否”。该比较用于定性定位，不表示优越性、首次性或唯一性。</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800"/>
        <w:gridCol w:w="1039"/>
        <w:gridCol w:w="1039"/>
        <w:gridCol w:w="1039"/>
        <w:gridCol w:w="1039"/>
        <w:gridCol w:w="1039"/>
        <w:gridCol w:w="1039"/>
        <w:gridCol w:w="1038"/>
      </w:tblGrid>
      <w:tr>
        <w:trPr>
          <w:tblHeader w:val="on"/>
          <w:cantSplit/>
        </w:trPr>
        <w:tc>
          <w:tcPr>
            <w:tcW w:w="18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工作</w:t>
            </w:r>
          </w:p>
        </w:tc>
        <w:tc>
          <w:tcPr>
            <w:tcW w:w="1039"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边缘部署</w:t>
            </w:r>
          </w:p>
        </w:tc>
        <w:tc>
          <w:tcPr>
            <w:tcW w:w="1039"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模型固定</w:t>
            </w:r>
          </w:p>
        </w:tc>
        <w:tc>
          <w:tcPr>
            <w:tcW w:w="1039"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GPU预处理</w:t>
            </w:r>
          </w:p>
        </w:tc>
        <w:tc>
          <w:tcPr>
            <w:tcW w:w="1039"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host内存策略</w:t>
            </w:r>
          </w:p>
        </w:tc>
        <w:tc>
          <w:tcPr>
            <w:tcW w:w="1039"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完整E2E</w:t>
            </w:r>
          </w:p>
        </w:tc>
        <w:tc>
          <w:tcPr>
            <w:tcW w:w="1039"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任务正确性</w:t>
            </w:r>
          </w:p>
        </w:tc>
        <w:tc>
          <w:tcPr>
            <w:tcW w:w="1038"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尾延迟</w:t>
            </w:r>
          </w:p>
        </w:tc>
      </w:tr>
      <w:tr>
        <w:trPr>
          <w:cantSplit/>
        </w:trPr>
        <w:tc>
          <w:tcPr>
            <w:tcW w:w="1800" w:type="dxa"/>
            <w:tcBorders>
              <w:top w:val="nil"/>
              <w:left w:val="nil"/>
              <w:bottom w:val="nil"/>
              <w:right w:val="nil"/>
            </w:tcBorders>
            <w:tcMar>
              <w:top w:w="0" w:type="dxa"/>
              <w:left w:w="108" w:type="dxa"/>
              <w:bottom w:w="0" w:type="dxa"/>
              <w:right w:w="108" w:type="dxa"/>
            </w:tcMar>
          </w:tcPr>
          <w:p>
            <w:pPr>
              <w:pStyle w:val="HFUTTableContent"/>
              <w:ind w:left="0" w:right="0" w:firstLine="0"/>
              <w:jc w:val="left"/>
            </w:pPr>
            <w:r>
              <w:t xml:space="preserve">Kim et al. (2025)</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8"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r>
      <w:tr>
        <w:trPr>
          <w:cantSplit/>
        </w:trPr>
        <w:tc>
          <w:tcPr>
            <w:tcW w:w="1800" w:type="dxa"/>
            <w:tcBorders>
              <w:top w:val="nil"/>
              <w:left w:val="nil"/>
              <w:bottom w:val="nil"/>
              <w:right w:val="nil"/>
            </w:tcBorders>
            <w:tcMar>
              <w:top w:w="0" w:type="dxa"/>
              <w:left w:w="108" w:type="dxa"/>
              <w:bottom w:w="0" w:type="dxa"/>
              <w:right w:w="108" w:type="dxa"/>
            </w:tcMar>
          </w:tcPr>
          <w:p>
            <w:pPr>
              <w:pStyle w:val="HFUTTableContent"/>
              <w:ind w:left="0" w:right="0" w:firstLine="0"/>
              <w:jc w:val="left"/>
            </w:pPr>
            <w:r>
              <w:t xml:space="preserve">PRESTO (2025)</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明确否</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8"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r>
      <w:tr>
        <w:trPr>
          <w:cantSplit/>
        </w:trPr>
        <w:tc>
          <w:tcPr>
            <w:tcW w:w="1800" w:type="dxa"/>
            <w:tcBorders>
              <w:top w:val="nil"/>
              <w:left w:val="nil"/>
              <w:bottom w:val="nil"/>
              <w:right w:val="nil"/>
            </w:tcBorders>
            <w:tcMar>
              <w:top w:w="0" w:type="dxa"/>
              <w:left w:w="108" w:type="dxa"/>
              <w:bottom w:w="0" w:type="dxa"/>
              <w:right w:w="108" w:type="dxa"/>
            </w:tcMar>
          </w:tcPr>
          <w:p>
            <w:pPr>
              <w:pStyle w:val="HFUTTableContent"/>
              <w:ind w:left="0" w:right="0" w:firstLine="0"/>
              <w:jc w:val="left"/>
            </w:pPr>
            <w:r>
              <w:t xml:space="preserve">Tang &amp; Qian (2024)</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明确否</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8"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r>
      <w:tr>
        <w:trPr>
          <w:cantSplit/>
        </w:trPr>
        <w:tc>
          <w:tcPr>
            <w:tcW w:w="1800" w:type="dxa"/>
            <w:tcBorders>
              <w:top w:val="nil"/>
              <w:left w:val="nil"/>
              <w:bottom w:val="nil"/>
              <w:right w:val="nil"/>
            </w:tcBorders>
            <w:tcMar>
              <w:top w:w="0" w:type="dxa"/>
              <w:left w:w="108" w:type="dxa"/>
              <w:bottom w:w="0" w:type="dxa"/>
              <w:right w:w="108" w:type="dxa"/>
            </w:tcMar>
          </w:tcPr>
          <w:p>
            <w:pPr>
              <w:pStyle w:val="HFUTTableContent"/>
              <w:ind w:left="0" w:right="0" w:firstLine="0"/>
              <w:jc w:val="left"/>
            </w:pPr>
            <w:r>
              <w:t xml:space="preserve">Shin &amp; Kim (2022)</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8"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r>
      <w:tr>
        <w:trPr>
          <w:cantSplit/>
        </w:trPr>
        <w:tc>
          <w:tcPr>
            <w:tcW w:w="1800" w:type="dxa"/>
            <w:tcBorders>
              <w:top w:val="nil"/>
              <w:left w:val="nil"/>
              <w:bottom w:val="nil"/>
              <w:right w:val="nil"/>
            </w:tcBorders>
            <w:tcMar>
              <w:top w:w="0" w:type="dxa"/>
              <w:left w:w="108" w:type="dxa"/>
              <w:bottom w:w="0" w:type="dxa"/>
              <w:right w:w="108" w:type="dxa"/>
            </w:tcMar>
          </w:tcPr>
          <w:p>
            <w:pPr>
              <w:pStyle w:val="HFUTTableContent"/>
              <w:ind w:left="0" w:right="0" w:firstLine="0"/>
              <w:jc w:val="left"/>
            </w:pPr>
            <w:r>
              <w:t xml:space="preserve">Bateni et al. (2020)</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明确否</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明确否</w:t>
            </w:r>
          </w:p>
        </w:tc>
        <w:tc>
          <w:tcPr>
            <w:tcW w:w="1039"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c>
          <w:tcPr>
            <w:tcW w:w="1038" w:type="dxa"/>
            <w:tcBorders>
              <w:top w:val="nil"/>
              <w:left w:val="nil"/>
              <w:bottom w:val="nil"/>
              <w:right w:val="nil"/>
            </w:tcBorders>
            <w:tcMar>
              <w:top w:w="0" w:type="dxa"/>
              <w:left w:w="108" w:type="dxa"/>
              <w:bottom w:w="0" w:type="dxa"/>
              <w:right w:w="108" w:type="dxa"/>
            </w:tcMar>
          </w:tcPr>
          <w:p>
            <w:pPr>
              <w:pStyle w:val="HFUTTableContent"/>
              <w:ind w:left="0" w:right="0" w:firstLine="0"/>
              <w:jc w:val="center"/>
            </w:pPr>
            <w:r>
              <w:rPr>
                <w:rFonts w:hint="eastAsia"/>
              </w:rPr>
              <w:t xml:space="preserve">未报告</w:t>
            </w:r>
          </w:p>
        </w:tc>
      </w:tr>
      <w:tr>
        <w:trPr>
          <w:cantSplit/>
        </w:trPr>
        <w:tc>
          <w:tcPr>
            <w:tcW w:w="1800"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left"/>
            </w:pPr>
            <w:r>
              <w:rPr>
                <w:rFonts w:hint="eastAsia"/>
              </w:rPr>
              <w:t xml:space="preserve">本文</w:t>
            </w:r>
          </w:p>
        </w:tc>
        <w:tc>
          <w:tcPr>
            <w:tcW w:w="1039"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9"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c>
          <w:tcPr>
            <w:tcW w:w="1038" w:type="dxa"/>
            <w:tcBorders>
              <w:top w:val="nil"/>
              <w:left w:val="nil"/>
              <w:bottom w:val="single" w:sz="8" w:space="0" w:color="000000"/>
              <w:right w:val="nil"/>
            </w:tcBorders>
            <w:tcMar>
              <w:top w:w="0" w:type="dxa"/>
              <w:left w:w="108" w:type="dxa"/>
              <w:bottom w:w="0" w:type="dxa"/>
              <w:right w:w="108" w:type="dxa"/>
            </w:tcMar>
          </w:tcPr>
          <w:p>
            <w:pPr>
              <w:pStyle w:val="HFUTTableContent"/>
              <w:ind w:left="0" w:right="0" w:firstLine="0"/>
              <w:jc w:val="center"/>
            </w:pPr>
            <w:r>
              <w:rPr>
                <w:rFonts w:hint="eastAsia"/>
              </w:rPr>
              <w:t xml:space="preserve">是</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4.6 </w:t>
      </w:r>
      <w:r>
        <w:rPr>
          <w:rFonts w:hint="eastAsia"/>
        </w:rPr>
        <w:t xml:space="preserve">局限性</w:t>
      </w:r>
    </w:p>
    <w:p>
      <w:pPr>
        <w:pStyle w:val="HFUTBody"/>
      </w:pPr>
      <w:r>
        <w:rPr>
          <w:rFonts w:hint="eastAsia"/>
        </w:rPr>
        <w:t xml:space="preserve">本文证据来自单一Jetson</w:t>
      </w:r>
      <w:r>
        <w:t xml:space="preserve"> Orin Nano </w:t>
      </w:r>
      <w:r>
        <w:rPr>
          <w:rFonts w:hint="eastAsia"/>
        </w:rPr>
        <w:t xml:space="preserve">Super、单一YOLOv8n</w:t>
      </w:r>
      <w:r>
        <w:t xml:space="preserve"> TensorRT </w:t>
      </w:r>
      <w:r>
        <w:rPr>
          <w:rFonts w:hint="eastAsia"/>
        </w:rPr>
        <w:t xml:space="preserve">INT8混合精度Engine、单一NEU-DET数据集及固定180幅图像工作负载。输入采用离线文件回放，未覆盖真实相机、长期在线流或跨平台/跨模型泛化。运行状态只有非连续的前后温度观察；没有连续运行状态监测、独立归档的时钟频率、功耗测量或稳定电源状态证据。</w:t>
      </w:r>
    </w:p>
    <w:p>
      <w:pPr>
        <w:pStyle w:val="HFUTBody"/>
      </w:pPr>
      <w:r>
        <w:rPr>
          <w:rFonts w:hint="eastAsia"/>
        </w:rPr>
        <w:t xml:space="preserve">实验也没有阶段级因果计时分解。40.96×名义输入复制载荷由实现和冻结几何确定，但H2D时间、预处理阶段时间、实际总线流量与总DRAM流量均未测量。因此，完整E2E差异不能分配为单个核函数、复制或像素操作的独立因果贡献。最后，5次独立进程只用于描述运行级分布，本文没有置信区间、假设检验或统计显著性推断。</w:t>
      </w:r>
    </w:p>
    <w:p>
      <w:pPr>
        <w:pStyle w:val="HFUTHeading1"/>
      </w:pPr>
      <w:r>
        <w:t xml:space="preserve">5 </w:t>
      </w:r>
      <w:r>
        <w:rPr>
          <w:rFonts w:hint="eastAsia"/>
        </w:rPr>
        <w:t xml:space="preserve">结论</w:t>
      </w:r>
    </w:p>
    <w:p>
      <w:pPr>
        <w:pStyle w:val="HFUTBody"/>
      </w:pPr>
      <w:r>
        <w:rPr>
          <w:rFonts w:hint="eastAsia"/>
        </w:rPr>
        <w:t xml:space="preserve">本文面向Jetson端YOLOv8n</w:t>
      </w:r>
      <w:r>
        <w:t xml:space="preserve"> TensorRT </w:t>
      </w:r>
      <w:r>
        <w:rPr>
          <w:rFonts w:hint="eastAsia"/>
        </w:rPr>
        <w:t xml:space="preserve">INT8混合精度部署，重构了输入形成与主机—设备数据路径：由CPU/OpenCV在主机侧形成FP32</w:t>
      </w:r>
      <w:r>
        <w:t xml:space="preserve"> </w:t>
      </w:r>
      <w:r>
        <w:rPr>
          <w:rFonts w:hint="eastAsia"/>
        </w:rPr>
        <w:t xml:space="preserve">NCHW张量并复制至设备，转为packed</w:t>
      </w:r>
      <w:r>
        <w:t xml:space="preserve"> </w:t>
      </w:r>
      <w:r>
        <w:rPr>
          <w:rFonts w:hint="eastAsia"/>
        </w:rPr>
        <w:t xml:space="preserve">BGR原始图像暂存、通过</w:t>
      </w:r>
      <w:r>
        <w:rPr>
          <w:rStyle w:val="VerbatimChar"/>
        </w:rPr>
        <w:t xml:space="preserve">cudaMemcpy2DAsync</w:t>
      </w:r>
      <w:r>
        <w:rPr>
          <w:rFonts w:hint="eastAsia"/>
        </w:rPr>
        <w:t xml:space="preserve">执行二维H2D复制，并由融合CUDA预处理直接形成TensorRT设备输入。在冻结180幅测试集上保持任务级评价一致的条件下，V2R相对V0达到2.24×</w:t>
      </w:r>
      <w:r>
        <w:t xml:space="preserve"> </w:t>
      </w:r>
      <w:r>
        <w:rPr>
          <w:rFonts w:hint="eastAsia"/>
        </w:rPr>
        <w:t xml:space="preserve">FPS，平均延迟降低55.45%，表明完整输入形成路径重构构成本文受测配置中的主要E2E性能增量。</w:t>
      </w:r>
    </w:p>
    <w:p>
      <w:pPr>
        <w:pStyle w:val="HFUTBody"/>
      </w:pPr>
      <w:r>
        <w:rPr>
          <w:rFonts w:hint="eastAsia"/>
        </w:rPr>
        <w:t xml:space="preserve">在GPU预处理、CUDA</w:t>
      </w:r>
      <w:r>
        <w:t xml:space="preserve"> </w:t>
      </w:r>
      <w:r>
        <w:rPr>
          <w:rFonts w:hint="eastAsia"/>
        </w:rPr>
        <w:t xml:space="preserve">stream、Engine和下游拓扑不变时，V3R只将pageable暂存替换为pinned暂存。其相对V2R的FPS变化为+4.07%，平均延迟变化为−4.03%；该平均优势在5次独立进程的描述性分布中可见，并非由单一进程独自产生。P95为+0.15%、P99为−0.12%，两项变化均低于0.2%且方向相反，未形成一致的尾延迟改善证据。当前证据只支持固定实现中的有限平均增量，不支持普适的pinned内存收益或一致尾延迟改善。</w:t>
      </w:r>
    </w:p>
    <w:p>
      <w:pPr>
        <w:pStyle w:val="HFUTBody"/>
      </w:pPr>
      <w:r>
        <w:rPr>
          <w:rFonts w:hint="eastAsia"/>
        </w:rPr>
        <w:t xml:space="preserve">上述结论限定于单一Jetson平台、检测器/Engine、数据集和离线回放工作负载，且没有连续运行状态监测、功耗测量、独立时钟频率记录或阶段级因果计时。后续工作可在保持统一正确性与计时边界的前提下，补充真实相机和长期运行评价，测量H2D、GPU预处理与实际内存流量，并在其他模型和边缘平台上检验数据路径重构的适用范围。</w:t>
      </w:r>
    </w:p>
    <w:p>
      <w:pPr>
        <w:pStyle w:val="HFUTReferenceHeading"/>
      </w:pPr>
      <w:r>
        <w:rPr>
          <w:rFonts w:hint="eastAsia"/>
        </w:rPr>
        <w:t xml:space="preserve">参考文献</w:t>
      </w:r>
    </w:p>
    <w:bookmarkStart w:id="75" w:name="refs"/>
    <w:bookmarkStart w:id="26"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J，等.</w:t>
      </w:r>
      <w:r>
        <w:t xml:space="preserve"> Deep Metallic Surface Defect Detection: The New Benchmark and Detection Network[J]. </w:t>
      </w:r>
      <w:r>
        <w:rPr>
          <w:rFonts w:hint="eastAsia"/>
        </w:rPr>
        <w:t xml:space="preserve">Sensors，2020，20（6）：1562.</w:t>
      </w:r>
      <w:r>
        <w:t xml:space="preserve"> DOI:</w:t>
      </w:r>
      <w:hyperlink ns1:id="rId25">
        <w:r>
          <w:rPr>
            <w:rStyle w:val="Hyperlink"/>
          </w:rPr>
          <w:t xml:space="preserve">10.3390/s20061562</w:t>
        </w:r>
      </w:hyperlink>
      <w:r>
        <w:t xml:space="preserve">.</w:t>
      </w:r>
    </w:p>
    <w:bookmarkEnd w:id="26"/>
    <w:bookmarkStart w:id="28"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 A noise robust method based on completed local binary patterns for hot-rolled steel strip surface defects[J]. Applied Surface </w:t>
      </w:r>
      <w:r>
        <w:rPr>
          <w:rFonts w:hint="eastAsia"/>
        </w:rPr>
        <w:t xml:space="preserve">Science，2013，285：858-864.</w:t>
      </w:r>
      <w:r>
        <w:t xml:space="preserve"> DOI:</w:t>
      </w:r>
      <w:hyperlink ns1:id="rId27">
        <w:r>
          <w:rPr>
            <w:rStyle w:val="Hyperlink"/>
          </w:rPr>
          <w:t xml:space="preserve">10.1016/j.apsusc.2013.09.002</w:t>
        </w:r>
      </w:hyperlink>
      <w:r>
        <w:t xml:space="preserve">.</w:t>
      </w:r>
    </w:p>
    <w:bookmarkEnd w:id="28"/>
    <w:bookmarkStart w:id="30"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M，等.</w:t>
      </w:r>
      <w:r>
        <w:t xml:space="preserve"> TD-Net: tiny defect detection network for industrial products[J]. Complex &amp; Intelligent </w:t>
      </w:r>
      <w:r>
        <w:rPr>
          <w:rFonts w:hint="eastAsia"/>
        </w:rPr>
        <w:t xml:space="preserve">Systems，2024，10：3943-3954.</w:t>
      </w:r>
      <w:r>
        <w:t xml:space="preserve"> DOI:</w:t>
      </w:r>
      <w:hyperlink ns1:id="rId29">
        <w:r>
          <w:rPr>
            <w:rStyle w:val="Hyperlink"/>
          </w:rPr>
          <w:t xml:space="preserve">10.1007/s40747-024-01362-x</w:t>
        </w:r>
      </w:hyperlink>
      <w:r>
        <w:t xml:space="preserve">.</w:t>
      </w:r>
    </w:p>
    <w:bookmarkEnd w:id="30"/>
    <w:bookmarkStart w:id="32"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 A Lightweight Strip Steel Surface Defect Detection Network Based on Improved YOLOv8[J]. </w:t>
      </w:r>
      <w:r>
        <w:rPr>
          <w:rFonts w:hint="eastAsia"/>
        </w:rPr>
        <w:t xml:space="preserve">Sensors，2024，24（19）：6495.</w:t>
      </w:r>
      <w:r>
        <w:t xml:space="preserve"> DOI:</w:t>
      </w:r>
      <w:hyperlink ns1:id="rId31">
        <w:r>
          <w:rPr>
            <w:rStyle w:val="Hyperlink"/>
          </w:rPr>
          <w:t xml:space="preserve">10.3390/s24196495</w:t>
        </w:r>
      </w:hyperlink>
      <w:r>
        <w:t xml:space="preserve">.</w:t>
      </w:r>
    </w:p>
    <w:bookmarkEnd w:id="32"/>
    <w:bookmarkStart w:id="34"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 GDM-YOLO: A Model for Steel Surface Defect Detection Based on YOLOv8s[J]. IEEE </w:t>
      </w:r>
      <w:r>
        <w:rPr>
          <w:rFonts w:hint="eastAsia"/>
        </w:rPr>
        <w:t xml:space="preserve">Access，2024，12：148817-148825.</w:t>
      </w:r>
      <w:r>
        <w:t xml:space="preserve"> DOI:</w:t>
      </w:r>
      <w:hyperlink ns1:id="rId33">
        <w:r>
          <w:rPr>
            <w:rStyle w:val="Hyperlink"/>
          </w:rPr>
          <w:t xml:space="preserve">10.1109/ACCESS.2024.3476908</w:t>
        </w:r>
      </w:hyperlink>
      <w:r>
        <w:t xml:space="preserve">.</w:t>
      </w:r>
    </w:p>
    <w:bookmarkEnd w:id="34"/>
    <w:bookmarkStart w:id="36"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5">
        <w:r>
          <w:rPr>
            <w:rStyle w:val="Hyperlink"/>
          </w:rPr>
          <w:t xml:space="preserve">https://docs.ultralytics.com/models/yolov8/</w:t>
        </w:r>
      </w:hyperlink>
      <w:r>
        <w:t xml:space="preserve">.</w:t>
      </w:r>
    </w:p>
    <w:bookmarkEnd w:id="36"/>
    <w:bookmarkStart w:id="38"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P，等.</w:t>
      </w:r>
      <w:r>
        <w:t xml:space="preserve"> Deployment of Deep Neural Networks for Object Detection on Edge AI Devices With Runtime Optimization[C]//2021 IEEE/CVF International Conference on Computer Vision Workshops (ICCVW). </w:t>
      </w:r>
      <w:r>
        <w:rPr>
          <w:rFonts w:hint="eastAsia"/>
        </w:rPr>
        <w:t xml:space="preserve">IEEE，2021：1015-1022.</w:t>
      </w:r>
      <w:r>
        <w:t xml:space="preserve"> DOI:</w:t>
      </w:r>
      <w:hyperlink ns1:id="rId37">
        <w:r>
          <w:rPr>
            <w:rStyle w:val="Hyperlink"/>
          </w:rPr>
          <w:t xml:space="preserve">10.1109/ICCVW54120.2021.00118</w:t>
        </w:r>
      </w:hyperlink>
      <w:r>
        <w:t xml:space="preserve">.</w:t>
      </w:r>
    </w:p>
    <w:bookmarkEnd w:id="38"/>
    <w:bookmarkStart w:id="40"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 PRESTO: Hybrid CPU-GPU Preprocessing Framework for Video-based AI Inference System[C]//Proceedings of the 23rd Annual International Conference on Mobile Systems, Applications and Services. </w:t>
      </w:r>
      <w:r>
        <w:rPr>
          <w:rFonts w:hint="eastAsia"/>
        </w:rPr>
        <w:t xml:space="preserve">ACM，2025：735-740.</w:t>
      </w:r>
      <w:r>
        <w:t xml:space="preserve"> DOI:</w:t>
      </w:r>
      <w:hyperlink ns1:id="rId39">
        <w:r>
          <w:rPr>
            <w:rStyle w:val="Hyperlink"/>
          </w:rPr>
          <w:t xml:space="preserve">10.1145/3711875.3736688</w:t>
        </w:r>
      </w:hyperlink>
      <w:r>
        <w:t xml:space="preserve">.</w:t>
      </w:r>
    </w:p>
    <w:bookmarkEnd w:id="40"/>
    <w:bookmarkStart w:id="42"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K，等.</w:t>
      </w:r>
      <w:r>
        <w:t xml:space="preserve"> Real-Time Defect Detection in Electronic Components during Assembly through Deep Learning[J]. </w:t>
      </w:r>
      <w:r>
        <w:rPr>
          <w:rFonts w:hint="eastAsia"/>
        </w:rPr>
        <w:t xml:space="preserve">Electronics，2024，13（8）：1551.</w:t>
      </w:r>
      <w:r>
        <w:t xml:space="preserve"> DOI:</w:t>
      </w:r>
      <w:hyperlink ns1:id="rId41">
        <w:r>
          <w:rPr>
            <w:rStyle w:val="Hyperlink"/>
          </w:rPr>
          <w:t xml:space="preserve">10.3390/electronics13081551</w:t>
        </w:r>
      </w:hyperlink>
      <w:r>
        <w:t xml:space="preserve">.</w:t>
      </w:r>
    </w:p>
    <w:bookmarkEnd w:id="42"/>
    <w:bookmarkStart w:id="43"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B，等.</w:t>
      </w:r>
      <w:r>
        <w:t xml:space="preserve"> Quantization and Training of Neural Networks for Efficient Integer-Arithmetic-Only Inference[C]//Proceedings of the IEEE Conference on Computer Vision and Pattern Recognition (CVPR). </w:t>
      </w:r>
      <w:r>
        <w:rPr>
          <w:rFonts w:hint="eastAsia"/>
        </w:rPr>
        <w:t xml:space="preserve">2018：2704-2713.</w:t>
      </w:r>
    </w:p>
    <w:bookmarkEnd w:id="43"/>
    <w:bookmarkStart w:id="44"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M，等.</w:t>
      </w:r>
      <w:r>
        <w:t xml:space="preserve"> Up or Down? Adaptive Rounding for Post-Training Quantization[C]//Proceedings of the 37th International Conference on Machine </w:t>
      </w:r>
      <w:r>
        <w:rPr>
          <w:rFonts w:hint="eastAsia"/>
        </w:rPr>
        <w:t xml:space="preserve">Learning：卷119.</w:t>
      </w:r>
      <w:r>
        <w:t xml:space="preserve"> </w:t>
      </w:r>
      <w:r>
        <w:rPr>
          <w:rFonts w:hint="eastAsia"/>
        </w:rPr>
        <w:t xml:space="preserve">PMLR，2020：7197-7206.</w:t>
      </w:r>
    </w:p>
    <w:bookmarkEnd w:id="44"/>
    <w:bookmarkStart w:id="46"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5">
        <w:r>
          <w:rPr>
            <w:rStyle w:val="Hyperlink"/>
          </w:rPr>
          <w:t xml:space="preserve">https://docs.nvidia.com/deeplearning/tensorrt/archives/tensorrt-1030/pdf/TensorRT-Release-Notes.pdf</w:t>
        </w:r>
      </w:hyperlink>
      <w:r>
        <w:t xml:space="preserve">.</w:t>
      </w:r>
    </w:p>
    <w:bookmarkEnd w:id="46"/>
    <w:bookmarkStart w:id="48" w:name="ref-nvidia_jetpack_6_2_2"/>
    <w:p>
      <w:pPr>
        <w:pStyle w:val="Bibliography"/>
      </w:pPr>
      <w:r>
        <w:t xml:space="preserve">[13]</w:t>
      </w:r>
      <w:r>
        <w:t xml:space="preserve"> </w:t>
      </w:r>
      <w:r>
        <w:t xml:space="preserve">	</w:t>
      </w:r>
      <w:r>
        <w:t xml:space="preserve">NVIDIA Corporation. JetPack SDK[EB/OL]. [2026-08-07].</w:t>
      </w:r>
      <w:r>
        <w:t xml:space="preserve"> </w:t>
      </w:r>
      <w:hyperlink ns1:id="rId47">
        <w:r>
          <w:rPr>
            <w:rStyle w:val="Hyperlink"/>
          </w:rPr>
          <w:t xml:space="preserve">https://developer.nvidia.com/embedded/jetpack-sdk-622</w:t>
        </w:r>
      </w:hyperlink>
      <w:r>
        <w:t xml:space="preserve">.</w:t>
      </w:r>
    </w:p>
    <w:bookmarkEnd w:id="48"/>
    <w:bookmarkStart w:id="50" w:name="ref-kim_lee_kim_2024_hyq"/>
    <w:p>
      <w:pPr>
        <w:pStyle w:val="Bibliography"/>
      </w:pPr>
      <w:r>
        <w:t xml:space="preserve">[14]</w:t>
      </w:r>
      <w:r>
        <w:t xml:space="preserve"> </w:t>
      </w:r>
      <w:r>
        <w:t xml:space="preserve">	</w:t>
      </w:r>
      <w:r>
        <w:t xml:space="preserve">Kim N </w:t>
      </w:r>
      <w:r>
        <w:rPr>
          <w:rFonts w:hint="eastAsia"/>
        </w:rPr>
        <w:t xml:space="preserve">J，Lee</w:t>
      </w:r>
      <w:r>
        <w:t xml:space="preserve"> </w:t>
      </w:r>
      <w:r>
        <w:rPr>
          <w:rFonts w:hint="eastAsia"/>
        </w:rPr>
        <w:t xml:space="preserve">J，Kim</w:t>
      </w:r>
      <w:r>
        <w:t xml:space="preserve"> H. HyQ: Hardware-Friendly Post-Training Quantization for CNN-Transformer Hybrid Networks[C]//Proceedings of the Thirty-Third International Joint Conference on Artificial Intelligence, IJCAI-24. International Joint Conferences on Artificial Intelligence </w:t>
      </w:r>
      <w:r>
        <w:rPr>
          <w:rFonts w:hint="eastAsia"/>
        </w:rPr>
        <w:t xml:space="preserve">Organization，2024：4291-4299.</w:t>
      </w:r>
      <w:r>
        <w:t xml:space="preserve"> DOI:</w:t>
      </w:r>
      <w:hyperlink ns1:id="rId49">
        <w:r>
          <w:rPr>
            <w:rStyle w:val="Hyperlink"/>
          </w:rPr>
          <w:t xml:space="preserve">10.24963/ijcai.2024/474</w:t>
        </w:r>
      </w:hyperlink>
      <w:r>
        <w:t xml:space="preserve">.</w:t>
      </w:r>
    </w:p>
    <w:bookmarkEnd w:id="50"/>
    <w:bookmarkStart w:id="52" w:name="ref-tang_qian_2024_yolov8_jetson_orin"/>
    <w:p>
      <w:pPr>
        <w:pStyle w:val="Bibliography"/>
      </w:pPr>
      <w:r>
        <w:t xml:space="preserve">[15]</w:t>
      </w:r>
      <w:r>
        <w:t xml:space="preserve"> </w:t>
      </w:r>
      <w:r>
        <w:t xml:space="preserve">	</w:t>
      </w:r>
      <w:r>
        <w:t xml:space="preserve">Tang </w:t>
      </w:r>
      <w:r>
        <w:rPr>
          <w:rFonts w:hint="eastAsia"/>
        </w:rPr>
        <w:t xml:space="preserve">Y，Qian</w:t>
      </w:r>
      <w:r>
        <w:t xml:space="preserve"> Y. High-speed railway track components inspection framework based on YOLOv8 with high-performance model deployment[J]. High-speed </w:t>
      </w:r>
      <w:r>
        <w:rPr>
          <w:rFonts w:hint="eastAsia"/>
        </w:rPr>
        <w:t xml:space="preserve">Railway，2024，2：42-50.</w:t>
      </w:r>
      <w:r>
        <w:t xml:space="preserve"> DOI:</w:t>
      </w:r>
      <w:hyperlink ns1:id="rId51">
        <w:r>
          <w:rPr>
            <w:rStyle w:val="Hyperlink"/>
          </w:rPr>
          <w:t xml:space="preserve">10.1016/j.hspr.2024.02.001</w:t>
        </w:r>
      </w:hyperlink>
      <w:r>
        <w:t xml:space="preserve">.</w:t>
      </w:r>
    </w:p>
    <w:bookmarkEnd w:id="52"/>
    <w:bookmarkStart w:id="54" w:name="ref-nvidia_cuda_best_practices_12_6"/>
    <w:p>
      <w:pPr>
        <w:pStyle w:val="Bibliography"/>
      </w:pPr>
      <w:r>
        <w:t xml:space="preserve">[16]</w:t>
      </w:r>
      <w:r>
        <w:t xml:space="preserve"> </w:t>
      </w:r>
      <w:r>
        <w:t xml:space="preserve">	</w:t>
      </w:r>
      <w:r>
        <w:t xml:space="preserve">NVIDIA Corporation. CUDA C++ Best Practices Guide: Release 12.6[EB/OL]. </w:t>
      </w:r>
      <w:r>
        <w:rPr>
          <w:rFonts w:hint="eastAsia"/>
        </w:rPr>
        <w:t xml:space="preserve">（2024）[2026-08-07].</w:t>
      </w:r>
      <w:r>
        <w:t xml:space="preserve"> </w:t>
      </w:r>
      <w:hyperlink ns1:id="rId53">
        <w:r>
          <w:rPr>
            <w:rStyle w:val="Hyperlink"/>
          </w:rPr>
          <w:t xml:space="preserve">https://docs.nvidia.com/cuda/archive/12.6.0/cuda-c-best-practices-guide/index.html</w:t>
        </w:r>
      </w:hyperlink>
      <w:r>
        <w:t xml:space="preserve">.</w:t>
      </w:r>
    </w:p>
    <w:bookmarkEnd w:id="54"/>
    <w:bookmarkStart w:id="56" w:name="ref-bateni_et_al_2020_integrated_memory"/>
    <w:p>
      <w:pPr>
        <w:pStyle w:val="Bibliography"/>
      </w:pPr>
      <w:r>
        <w:t xml:space="preserve">[17]</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Y，等.</w:t>
      </w:r>
      <w:r>
        <w:t xml:space="preserve"> Co-Optimizing Performance and Memory Footprint Via Integrated CPU/GPU Memory Management, an Implementation on Autonomous Driving Platform[C]//2020 IEEE Real-Time and Embedded Technology and Applications Symposium (RTAS). </w:t>
      </w:r>
      <w:r>
        <w:rPr>
          <w:rFonts w:hint="eastAsia"/>
        </w:rPr>
        <w:t xml:space="preserve">IEEE，2020：310-323.</w:t>
      </w:r>
      <w:r>
        <w:t xml:space="preserve"> DOI:</w:t>
      </w:r>
      <w:hyperlink ns1:id="rId55">
        <w:r>
          <w:rPr>
            <w:rStyle w:val="Hyperlink"/>
          </w:rPr>
          <w:t xml:space="preserve">10.1109/RTAS48715.2020.00007</w:t>
        </w:r>
      </w:hyperlink>
      <w:r>
        <w:t xml:space="preserve">.</w:t>
      </w:r>
    </w:p>
    <w:bookmarkEnd w:id="56"/>
    <w:bookmarkStart w:id="58" w:name="X881c6431a49a2524d16166655dd1f283b779e51"/>
    <w:p>
      <w:pPr>
        <w:pStyle w:val="Bibliography"/>
      </w:pPr>
      <w:r>
        <w:t xml:space="preserve">[18]</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L，等.</w:t>
      </w:r>
      <w:r>
        <w:t xml:space="preserve"> Analysis of GPU Memory Allocation Characteristics[C]//16th Workshop on Parallel Programming and Run-Time Management Techniques for Many-Core Architectures and 14th Workshop on Design Tools and Architectures for Multicore Embedded Computing Platforms (PARMA-DITAM </w:t>
      </w:r>
      <w:r>
        <w:rPr>
          <w:rFonts w:hint="eastAsia"/>
        </w:rPr>
        <w:t xml:space="preserve">2025)：卷127.</w:t>
      </w:r>
      <w:r>
        <w:t xml:space="preserve"> Schloss Dagstuhl – Leibniz-Zentrum f</w:t>
      </w:r>
      <w:r>
        <w:t xml:space="preserve">ü</w:t>
      </w:r>
      <w:r>
        <w:t xml:space="preserve">r </w:t>
      </w:r>
      <w:r>
        <w:rPr>
          <w:rFonts w:hint="eastAsia"/>
        </w:rPr>
        <w:t xml:space="preserve">Informatik，2025：1:1-1:15.</w:t>
      </w:r>
      <w:r>
        <w:t xml:space="preserve"> DOI:</w:t>
      </w:r>
      <w:hyperlink ns1:id="rId57">
        <w:r>
          <w:rPr>
            <w:rStyle w:val="Hyperlink"/>
          </w:rPr>
          <w:t xml:space="preserve">10.4230/OASIcs.PARMA-DITAM.2025.1</w:t>
        </w:r>
      </w:hyperlink>
      <w:r>
        <w:t xml:space="preserve">.</w:t>
      </w:r>
    </w:p>
    <w:bookmarkEnd w:id="58"/>
    <w:bookmarkStart w:id="60" w:name="ref-nvidia_cuda_programming_guide_12_6"/>
    <w:p>
      <w:pPr>
        <w:pStyle w:val="Bibliography"/>
      </w:pPr>
      <w:r>
        <w:t xml:space="preserve">[19]</w:t>
      </w:r>
      <w:r>
        <w:t xml:space="preserve"> </w:t>
      </w:r>
      <w:r>
        <w:t xml:space="preserve">	</w:t>
      </w:r>
      <w:r>
        <w:t xml:space="preserve">NVIDIA Corporation. CUDA C++ Programming Guide: Release 12.6[EB/OL]. </w:t>
      </w:r>
      <w:r>
        <w:rPr>
          <w:rFonts w:hint="eastAsia"/>
        </w:rPr>
        <w:t xml:space="preserve">（2024）[2026-08-07].</w:t>
      </w:r>
      <w:r>
        <w:t xml:space="preserve"> </w:t>
      </w:r>
      <w:hyperlink ns1:id="rId59">
        <w:r>
          <w:rPr>
            <w:rStyle w:val="Hyperlink"/>
          </w:rPr>
          <w:t xml:space="preserve">https://docs.nvidia.com/cuda/archive/12.6.0/cuda-c-programming-guide/index.html</w:t>
        </w:r>
      </w:hyperlink>
      <w:r>
        <w:t xml:space="preserve">.</w:t>
      </w:r>
    </w:p>
    <w:bookmarkEnd w:id="60"/>
    <w:bookmarkStart w:id="62" w:name="X5eac914f9fdc977465bff71c2e51c3ea52c72b4"/>
    <w:p>
      <w:pPr>
        <w:pStyle w:val="Bibliography"/>
      </w:pPr>
      <w:r>
        <w:t xml:space="preserve">[20]</w:t>
      </w:r>
      <w:r>
        <w:t xml:space="preserve"> </w:t>
      </w:r>
      <w:r>
        <w:t xml:space="preserve">	</w:t>
      </w:r>
      <w:r>
        <w:t xml:space="preserve">Kim </w:t>
      </w:r>
      <w:r>
        <w:rPr>
          <w:rFonts w:hint="eastAsia"/>
        </w:rPr>
        <w:t xml:space="preserve">S，Kim</w:t>
      </w:r>
      <w:r>
        <w:t xml:space="preserve"> </w:t>
      </w:r>
      <w:r>
        <w:rPr>
          <w:rFonts w:hint="eastAsia"/>
        </w:rPr>
        <w:t xml:space="preserve">C，Kim</w:t>
      </w:r>
      <w:r>
        <w:t xml:space="preserve"> S. Improving Performance of Real-Time Object Detection in Edge Device Through Concurrent Multi-Frame Processing[J]. IEEE </w:t>
      </w:r>
      <w:r>
        <w:rPr>
          <w:rFonts w:hint="eastAsia"/>
        </w:rPr>
        <w:t xml:space="preserve">Access，2025，13：1522-1533.</w:t>
      </w:r>
      <w:r>
        <w:t xml:space="preserve"> DOI:</w:t>
      </w:r>
      <w:hyperlink ns1:id="rId61">
        <w:r>
          <w:rPr>
            <w:rStyle w:val="Hyperlink"/>
          </w:rPr>
          <w:t xml:space="preserve">10.1109/ACCESS.2024.3520240</w:t>
        </w:r>
      </w:hyperlink>
      <w:r>
        <w:t xml:space="preserve">.</w:t>
      </w:r>
    </w:p>
    <w:bookmarkEnd w:id="62"/>
    <w:bookmarkStart w:id="64" w:name="ref-hill_marty_2008_amdahl"/>
    <w:p>
      <w:pPr>
        <w:pStyle w:val="Bibliography"/>
      </w:pPr>
      <w:r>
        <w:t xml:space="preserve">[21]</w:t>
      </w:r>
      <w:r>
        <w:t xml:space="preserve"> </w:t>
      </w:r>
      <w:r>
        <w:t xml:space="preserve">	</w:t>
      </w:r>
      <w:r>
        <w:t xml:space="preserve">Hill M </w:t>
      </w:r>
      <w:r>
        <w:rPr>
          <w:rFonts w:hint="eastAsia"/>
        </w:rPr>
        <w:t xml:space="preserve">D，Marty</w:t>
      </w:r>
      <w:r>
        <w:t xml:space="preserve"> M R. Amdahl’s Law in the Multicore Era[J]. </w:t>
      </w:r>
      <w:r>
        <w:rPr>
          <w:rFonts w:hint="eastAsia"/>
        </w:rPr>
        <w:t xml:space="preserve">Computer，2008，41（7）：33-38.</w:t>
      </w:r>
      <w:r>
        <w:t xml:space="preserve"> DOI:</w:t>
      </w:r>
      <w:hyperlink ns1:id="rId63">
        <w:r>
          <w:rPr>
            <w:rStyle w:val="Hyperlink"/>
          </w:rPr>
          <w:t xml:space="preserve">10.1109/MC.2008.209</w:t>
        </w:r>
      </w:hyperlink>
      <w:r>
        <w:t xml:space="preserve">.</w:t>
      </w:r>
    </w:p>
    <w:bookmarkEnd w:id="64"/>
    <w:bookmarkStart w:id="66" w:name="ref-dean_barroso_2013_tail_scale"/>
    <w:p>
      <w:pPr>
        <w:pStyle w:val="Bibliography"/>
      </w:pPr>
      <w:r>
        <w:t xml:space="preserve">[22]</w:t>
      </w:r>
      <w:r>
        <w:t xml:space="preserve"> </w:t>
      </w:r>
      <w:r>
        <w:t xml:space="preserve">	</w:t>
      </w:r>
      <w:r>
        <w:t xml:space="preserve">Dean </w:t>
      </w:r>
      <w:r>
        <w:rPr>
          <w:rFonts w:hint="eastAsia"/>
        </w:rPr>
        <w:t xml:space="preserve">J，Barroso</w:t>
      </w:r>
      <w:r>
        <w:t xml:space="preserve"> L A. The Tail at Scale[J]. Communications of the </w:t>
      </w:r>
      <w:r>
        <w:rPr>
          <w:rFonts w:hint="eastAsia"/>
        </w:rPr>
        <w:t xml:space="preserve">ACM，2013，56（2）：74-80.</w:t>
      </w:r>
      <w:r>
        <w:t xml:space="preserve"> DOI:</w:t>
      </w:r>
      <w:hyperlink ns1:id="rId65">
        <w:r>
          <w:rPr>
            <w:rStyle w:val="Hyperlink"/>
          </w:rPr>
          <w:t xml:space="preserve">10.1145/2408776.2408794</w:t>
        </w:r>
      </w:hyperlink>
      <w:r>
        <w:t xml:space="preserve">.</w:t>
      </w:r>
    </w:p>
    <w:bookmarkEnd w:id="66"/>
    <w:bookmarkStart w:id="68" w:name="ref-reddi_et_al_2019_mlperf_inference"/>
    <w:p>
      <w:pPr>
        <w:pStyle w:val="Bibliography"/>
      </w:pPr>
      <w:r>
        <w:t xml:space="preserve">[23]</w:t>
      </w:r>
      <w:r>
        <w:t xml:space="preserve"> </w:t>
      </w:r>
      <w:r>
        <w:t xml:space="preserve">	</w:t>
      </w:r>
      <w:r>
        <w:t xml:space="preserve">Reddi V </w:t>
      </w:r>
      <w:r>
        <w:rPr>
          <w:rFonts w:hint="eastAsia"/>
        </w:rPr>
        <w:t xml:space="preserve">J，Cheng</w:t>
      </w:r>
      <w:r>
        <w:t xml:space="preserve"> </w:t>
      </w:r>
      <w:r>
        <w:rPr>
          <w:rFonts w:hint="eastAsia"/>
        </w:rPr>
        <w:t xml:space="preserve">C，Kanter</w:t>
      </w:r>
      <w:r>
        <w:t xml:space="preserve"> </w:t>
      </w:r>
      <w:r>
        <w:rPr>
          <w:rFonts w:hint="eastAsia"/>
        </w:rPr>
        <w:t xml:space="preserve">D，等.</w:t>
      </w:r>
      <w:r>
        <w:t xml:space="preserve"> MLPerf Inference Benchmark[C]//2020 ACM/IEEE 47th Annual International Symposium on Computer Architecture (ISCA). </w:t>
      </w:r>
      <w:r>
        <w:rPr>
          <w:rFonts w:hint="eastAsia"/>
        </w:rPr>
        <w:t xml:space="preserve">IEEE，2020：446-459.</w:t>
      </w:r>
      <w:r>
        <w:t xml:space="preserve"> DOI:</w:t>
      </w:r>
      <w:hyperlink ns1:id="rId67">
        <w:r>
          <w:rPr>
            <w:rStyle w:val="Hyperlink"/>
          </w:rPr>
          <w:t xml:space="preserve">10.1109/ISCA45697.2020.00045</w:t>
        </w:r>
      </w:hyperlink>
      <w:r>
        <w:t xml:space="preserve">.</w:t>
      </w:r>
    </w:p>
    <w:bookmarkEnd w:id="68"/>
    <w:bookmarkStart w:id="70" w:name="ref-archet_et_al_2023_embedded_soc"/>
    <w:p>
      <w:pPr>
        <w:pStyle w:val="Bibliography"/>
      </w:pPr>
      <w:r>
        <w:t xml:space="preserve">[24]</w:t>
      </w:r>
      <w:r>
        <w:t xml:space="preserve"> </w:t>
      </w:r>
      <w:r>
        <w:t xml:space="preserve">	</w:t>
      </w:r>
      <w:r>
        <w:t xml:space="preserve">Archet </w:t>
      </w:r>
      <w:r>
        <w:rPr>
          <w:rFonts w:hint="eastAsia"/>
        </w:rPr>
        <w:t xml:space="preserve">A，Ventroux</w:t>
      </w:r>
      <w:r>
        <w:t xml:space="preserve"> </w:t>
      </w:r>
      <w:r>
        <w:rPr>
          <w:rFonts w:hint="eastAsia"/>
        </w:rPr>
        <w:t xml:space="preserve">N，Gac</w:t>
      </w:r>
      <w:r>
        <w:t xml:space="preserve"> </w:t>
      </w:r>
      <w:r>
        <w:rPr>
          <w:rFonts w:hint="eastAsia"/>
        </w:rPr>
        <w:t xml:space="preserve">N，等.</w:t>
      </w:r>
      <w:r>
        <w:t xml:space="preserve"> Energy-Efficient Use of an Embedded Heterogeneous SoC for the Inference of CNNs[C]//2023 26th Euromicro Conference on Digital System Design (DSD). </w:t>
      </w:r>
      <w:r>
        <w:rPr>
          <w:rFonts w:hint="eastAsia"/>
        </w:rPr>
        <w:t xml:space="preserve">IEEE，2023：30-38.</w:t>
      </w:r>
      <w:r>
        <w:t xml:space="preserve"> DOI:</w:t>
      </w:r>
      <w:hyperlink ns1:id="rId69">
        <w:r>
          <w:rPr>
            <w:rStyle w:val="Hyperlink"/>
          </w:rPr>
          <w:t xml:space="preserve">10.1109/DSD60849.2023.00015</w:t>
        </w:r>
      </w:hyperlink>
      <w:r>
        <w:t xml:space="preserve">.</w:t>
      </w:r>
    </w:p>
    <w:bookmarkEnd w:id="70"/>
    <w:bookmarkStart w:id="72" w:name="ref-shin_kim_2022_jetson_yolo_frameworks"/>
    <w:p>
      <w:pPr>
        <w:pStyle w:val="Bibliography"/>
      </w:pPr>
      <w:r>
        <w:t xml:space="preserve">[25]</w:t>
      </w:r>
      <w:r>
        <w:t xml:space="preserve"> </w:t>
      </w:r>
      <w:r>
        <w:t xml:space="preserve">	</w:t>
      </w:r>
      <w:r>
        <w:t xml:space="preserve">Shin </w:t>
      </w:r>
      <w:r>
        <w:rPr>
          <w:rFonts w:hint="eastAsia"/>
        </w:rPr>
        <w:t xml:space="preserve">D-J，Kim</w:t>
      </w:r>
      <w:r>
        <w:t xml:space="preserve"> J-J. A Deep Learning Framework Performance Evaluation to Use YOLO in Nvidia Jetson Platform[J]. Applied </w:t>
      </w:r>
      <w:r>
        <w:rPr>
          <w:rFonts w:hint="eastAsia"/>
        </w:rPr>
        <w:t xml:space="preserve">Sciences，2022，12（8）：3734.</w:t>
      </w:r>
      <w:r>
        <w:t xml:space="preserve"> DOI:</w:t>
      </w:r>
      <w:hyperlink ns1:id="rId71">
        <w:r>
          <w:rPr>
            <w:rStyle w:val="Hyperlink"/>
          </w:rPr>
          <w:t xml:space="preserve">10.3390/app12083734</w:t>
        </w:r>
      </w:hyperlink>
      <w:r>
        <w:t xml:space="preserve">.</w:t>
      </w:r>
    </w:p>
    <w:bookmarkEnd w:id="72"/>
    <w:bookmarkStart w:id="74" w:name="X4c8ed83c46bc651acbdbe066c419219a34e03ae"/>
    <w:p>
      <w:pPr>
        <w:pStyle w:val="Bibliography"/>
      </w:pPr>
      <w:r>
        <w:t xml:space="preserve">[26]</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R，等</w:t>
      </w:r>
      <w:r>
        <w:t xml:space="preserve">. Benchmarking deep learning models for surface defect detection: a reproducible and statistically-rigorous approach[J/OL]. Journal of Intelligent </w:t>
      </w:r>
      <w:r>
        <w:rPr>
          <w:rFonts w:hint="eastAsia"/>
        </w:rPr>
        <w:t xml:space="preserve">Manufacturing，2025.</w:t>
      </w:r>
      <w:r>
        <w:t xml:space="preserve"> DOI:</w:t>
      </w:r>
      <w:hyperlink ns1:id="rId73">
        <w:r>
          <w:rPr>
            <w:rStyle w:val="Hyperlink"/>
          </w:rPr>
          <w:t xml:space="preserve">10.1007/s10845-025-02672-8</w:t>
        </w:r>
      </w:hyperlink>
      <w:r>
        <w:t xml:space="preserve">.</w:t>
      </w:r>
    </w:p>
    <w:bookmarkEnd w:id="74"/>
    <w:bookmarkEnd w:id="75"/>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HFUTAuthorBiography"/>
    </w:pPr>
    <w:r>
      <w:t>王凯伦（1999—），男，山东潍坊人，工学学士，硕士研究生，主要研究方向为端侧人工智能推理部署与优化。</w:t>
    </w:r>
  </w:p>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hyperlink" Id="rId47" Target="https://developer.nvidia.com/embedded/jetpack-sdk-622" TargetMode="External" /><Relationship Type="http://schemas.openxmlformats.org/officeDocument/2006/relationships/hyperlink" Id="rId53" Target="https://docs.nvidia.com/cuda/archive/12.6.0/cuda-c-best-practices-guide/index.html" TargetMode="External" /><Relationship Type="http://schemas.openxmlformats.org/officeDocument/2006/relationships/hyperlink" Id="rId59" Target="https://docs.nvidia.com/cuda/archive/12.6.0/cuda-c-programming-guide/index.html" TargetMode="External" /><Relationship Type="http://schemas.openxmlformats.org/officeDocument/2006/relationships/hyperlink" Id="rId45" Target="https://docs.nvidia.com/deeplearning/tensorrt/archives/tensorrt-1030/pdf/TensorRT-Release-Notes.pdf" TargetMode="External" /><Relationship Type="http://schemas.openxmlformats.org/officeDocument/2006/relationships/hyperlink" Id="rId35" Target="https://docs.ultralytics.com/models/yolov8/" TargetMode="External" /><Relationship Type="http://schemas.openxmlformats.org/officeDocument/2006/relationships/hyperlink" Id="rId73" Target="https://doi.org/10.1007/s10845-025-02672-8" TargetMode="External" /><Relationship Type="http://schemas.openxmlformats.org/officeDocument/2006/relationships/hyperlink" Id="rId29" Target="https://doi.org/10.1007/s40747-024-01362-x" TargetMode="External" /><Relationship Type="http://schemas.openxmlformats.org/officeDocument/2006/relationships/hyperlink" Id="rId27" Target="https://doi.org/10.1016/j.apsusc.2013.09.002" TargetMode="External" /><Relationship Type="http://schemas.openxmlformats.org/officeDocument/2006/relationships/hyperlink" Id="rId51" Target="https://doi.org/10.1016/j.hspr.2024.02.001" TargetMode="External" /><Relationship Type="http://schemas.openxmlformats.org/officeDocument/2006/relationships/hyperlink" Id="rId33" Target="https://doi.org/10.1109/ACCESS.2024.3476908" TargetMode="External" /><Relationship Type="http://schemas.openxmlformats.org/officeDocument/2006/relationships/hyperlink" Id="rId61" Target="https://doi.org/10.1109/ACCESS.2024.3520240" TargetMode="External" /><Relationship Type="http://schemas.openxmlformats.org/officeDocument/2006/relationships/hyperlink" Id="rId69" Target="https://doi.org/10.1109/DSD60849.2023.00015" TargetMode="External" /><Relationship Type="http://schemas.openxmlformats.org/officeDocument/2006/relationships/hyperlink" Id="rId37" Target="https://doi.org/10.1109/ICCVW54120.2021.00118" TargetMode="External" /><Relationship Type="http://schemas.openxmlformats.org/officeDocument/2006/relationships/hyperlink" Id="rId67" Target="https://doi.org/10.1109/ISCA45697.2020.00045" TargetMode="External" /><Relationship Type="http://schemas.openxmlformats.org/officeDocument/2006/relationships/hyperlink" Id="rId63" Target="https://doi.org/10.1109/MC.2008.209" TargetMode="External" /><Relationship Type="http://schemas.openxmlformats.org/officeDocument/2006/relationships/hyperlink" Id="rId55" Target="https://doi.org/10.1109/RTAS48715.2020.00007" TargetMode="External" /><Relationship Type="http://schemas.openxmlformats.org/officeDocument/2006/relationships/hyperlink" Id="rId65" Target="https://doi.org/10.1145/2408776.2408794" TargetMode="External" /><Relationship Type="http://schemas.openxmlformats.org/officeDocument/2006/relationships/hyperlink" Id="rId39" Target="https://doi.org/10.1145/3711875.3736688" TargetMode="External" /><Relationship Type="http://schemas.openxmlformats.org/officeDocument/2006/relationships/hyperlink" Id="rId49" Target="https://doi.org/10.24963/ijcai.2024/474" TargetMode="External" /><Relationship Type="http://schemas.openxmlformats.org/officeDocument/2006/relationships/hyperlink" Id="rId71" Target="https://doi.org/10.3390/app12083734" TargetMode="External" /><Relationship Type="http://schemas.openxmlformats.org/officeDocument/2006/relationships/hyperlink" Id="rId41" Target="https://doi.org/10.3390/electronics13081551" TargetMode="External" /><Relationship Type="http://schemas.openxmlformats.org/officeDocument/2006/relationships/hyperlink" Id="rId25" Target="https://doi.org/10.3390/s20061562" TargetMode="External" /><Relationship Type="http://schemas.openxmlformats.org/officeDocument/2006/relationships/hyperlink" Id="rId31" Target="https://doi.org/10.3390/s24196495" TargetMode="External" /><Relationship Type="http://schemas.openxmlformats.org/officeDocument/2006/relationships/hyperlink" Id="rId57" Target="https://doi.org/10.4230/OASIcs.PARMA-DITAM.2025.1" TargetMode="External" /><Relationship Id="rId74"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7" Target="https://developer.nvidia.com/embedded/jetpack-sdk-622" TargetMode="External" /><Relationship Type="http://schemas.openxmlformats.org/officeDocument/2006/relationships/hyperlink" Id="rId53" Target="https://docs.nvidia.com/cuda/archive/12.6.0/cuda-c-best-practices-guide/index.html" TargetMode="External" /><Relationship Type="http://schemas.openxmlformats.org/officeDocument/2006/relationships/hyperlink" Id="rId59" Target="https://docs.nvidia.com/cuda/archive/12.6.0/cuda-c-programming-guide/index.html" TargetMode="External" /><Relationship Type="http://schemas.openxmlformats.org/officeDocument/2006/relationships/hyperlink" Id="rId45" Target="https://docs.nvidia.com/deeplearning/tensorrt/archives/tensorrt-1030/pdf/TensorRT-Release-Notes.pdf" TargetMode="External" /><Relationship Type="http://schemas.openxmlformats.org/officeDocument/2006/relationships/hyperlink" Id="rId35" Target="https://docs.ultralytics.com/models/yolov8/" TargetMode="External" /><Relationship Type="http://schemas.openxmlformats.org/officeDocument/2006/relationships/hyperlink" Id="rId73" Target="https://doi.org/10.1007/s10845-025-02672-8" TargetMode="External" /><Relationship Type="http://schemas.openxmlformats.org/officeDocument/2006/relationships/hyperlink" Id="rId29" Target="https://doi.org/10.1007/s40747-024-01362-x" TargetMode="External" /><Relationship Type="http://schemas.openxmlformats.org/officeDocument/2006/relationships/hyperlink" Id="rId27" Target="https://doi.org/10.1016/j.apsusc.2013.09.002" TargetMode="External" /><Relationship Type="http://schemas.openxmlformats.org/officeDocument/2006/relationships/hyperlink" Id="rId51" Target="https://doi.org/10.1016/j.hspr.2024.02.001" TargetMode="External" /><Relationship Type="http://schemas.openxmlformats.org/officeDocument/2006/relationships/hyperlink" Id="rId33" Target="https://doi.org/10.1109/ACCESS.2024.3476908" TargetMode="External" /><Relationship Type="http://schemas.openxmlformats.org/officeDocument/2006/relationships/hyperlink" Id="rId61" Target="https://doi.org/10.1109/ACCESS.2024.3520240" TargetMode="External" /><Relationship Type="http://schemas.openxmlformats.org/officeDocument/2006/relationships/hyperlink" Id="rId69" Target="https://doi.org/10.1109/DSD60849.2023.00015" TargetMode="External" /><Relationship Type="http://schemas.openxmlformats.org/officeDocument/2006/relationships/hyperlink" Id="rId37" Target="https://doi.org/10.1109/ICCVW54120.2021.00118" TargetMode="External" /><Relationship Type="http://schemas.openxmlformats.org/officeDocument/2006/relationships/hyperlink" Id="rId67" Target="https://doi.org/10.1109/ISCA45697.2020.00045" TargetMode="External" /><Relationship Type="http://schemas.openxmlformats.org/officeDocument/2006/relationships/hyperlink" Id="rId63" Target="https://doi.org/10.1109/MC.2008.209" TargetMode="External" /><Relationship Type="http://schemas.openxmlformats.org/officeDocument/2006/relationships/hyperlink" Id="rId55" Target="https://doi.org/10.1109/RTAS48715.2020.00007" TargetMode="External" /><Relationship Type="http://schemas.openxmlformats.org/officeDocument/2006/relationships/hyperlink" Id="rId65" Target="https://doi.org/10.1145/2408776.2408794" TargetMode="External" /><Relationship Type="http://schemas.openxmlformats.org/officeDocument/2006/relationships/hyperlink" Id="rId39" Target="https://doi.org/10.1145/3711875.3736688" TargetMode="External" /><Relationship Type="http://schemas.openxmlformats.org/officeDocument/2006/relationships/hyperlink" Id="rId49" Target="https://doi.org/10.24963/ijcai.2024/474" TargetMode="External" /><Relationship Type="http://schemas.openxmlformats.org/officeDocument/2006/relationships/hyperlink" Id="rId71" Target="https://doi.org/10.3390/app12083734" TargetMode="External" /><Relationship Type="http://schemas.openxmlformats.org/officeDocument/2006/relationships/hyperlink" Id="rId41" Target="https://doi.org/10.3390/electronics13081551" TargetMode="External" /><Relationship Type="http://schemas.openxmlformats.org/officeDocument/2006/relationships/hyperlink" Id="rId25" Target="https://doi.org/10.3390/s20061562" TargetMode="External" /><Relationship Type="http://schemas.openxmlformats.org/officeDocument/2006/relationships/hyperlink" Id="rId31" Target="https://doi.org/10.3390/s24196495" TargetMode="External" /><Relationship Type="http://schemas.openxmlformats.org/officeDocument/2006/relationships/hyperlink" Id="rId57"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Python standard library deterministic OOXML builder</Application>
  <DocSecurity>0</DocSecurity>
  <ScaleCrop>false</ScaleCrop>
  <Company>Project-owned candidate</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2026-08-13T14:28:10Z</dcterms:created>
  <dcterms:modified xsi:type="dcterms:W3CDTF">2026-08-13T14:28:10Z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ffiliation-cn">
    <ns1:lpwstr>合肥工业大学数学学院，安徽 合肥 230601</ns1:lpwstr>
  </ns0:property>
  <ns0:property fmtid="{D5CDD505-2E9C-101B-9397-08002B2CF9AE}" pid="3" name="affiliation-en">
    <ns1:lpwstr>School of Mathematics, Hefei University of Technology, Hefei 230601, China</ns1:lpwstr>
  </ns0:property>
  <ns0:property fmtid="{D5CDD505-2E9C-101B-9397-08002B2CF9AE}" pid="5" name="authors-cn">
    <ns1:lpwstr>王凯伦，王琦</ns1:lpwstr>
  </ns0:property>
  <ns0:property fmtid="{D5CDD505-2E9C-101B-9397-08002B2CF9AE}" pid="6" name="authors-en">
    <ns1:lpwstr>WANG Kailun, WANG Qi</ns1:lpwstr>
  </ns0:property>
  <ns0:property fmtid="{D5CDD505-2E9C-101B-9397-08002B2CF9AE}" pid="7" name="bibliography">
    <ns1:lpwstr/>
  </ns0:property>
  <ns0:property fmtid="{D5CDD505-2E9C-101B-9397-08002B2CF9AE}" pid="8" name="classification">
    <ns1:lpwstr>TP391.41</ns1:lpwstr>
  </ns0:property>
  <ns0:property fmtid="{D5CDD505-2E9C-101B-9397-08002B2CF9AE}" pid="9" name="corresponding-author-cn">
    <ns1:lpwstr>王琦</ns1:lpwstr>
  </ns0:property>
  <ns0:property fmtid="{D5CDD505-2E9C-101B-9397-08002B2CF9AE}" pid="10" name="corresponding-author-email">
    <ns1:lpwstr/>
  </ns0:property>
  <ns0:property fmtid="{D5CDD505-2E9C-101B-9397-08002B2CF9AE}" pid="11" name="corresponding-author-en">
    <ns1:lpwstr>WANG Qi</ns1:lpwstr>
  </ns0:property>
  <ns0:property fmtid="{D5CDD505-2E9C-101B-9397-08002B2CF9AE}" pid="12" name="csl">
    <ns1:lpwstr>docs/paper/manuscript/csl/hfut_gbt7714_2025_numeric_v1.0.csl</ns1:lpwstr>
  </ns0:property>
</ns0:Properties>
</file>