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math" xmlns:w="http://schemas.openxmlformats.org/wordprocessingml/2006/main">
  <w:body>
    <w:p>
      <w:pPr>
        <w:pStyle w:val="HFUTTitleCN"/>
      </w:pPr>
      <w:r>
        <w:rPr>
          <w:rFonts w:hint="eastAsia"/>
        </w:rPr>
        <w:t xml:space="preserve">Jetson端工业缺陷检测的输入数据路径重构</w:t>
      </w:r>
    </w:p>
    <w:p>
      <w:pPr>
        <w:pStyle w:val="HFUTAuthorsCN"/>
      </w:pPr>
      <w:r>
        <w:rPr>
          <w:rFonts w:hint="eastAsia"/>
        </w:rPr>
        <w:t xml:space="preserve">王凯伦，王琦</w:t>
      </w:r>
    </w:p>
    <w:p>
      <w:pPr>
        <w:pStyle w:val="HFUTAffiliationCN"/>
      </w:pPr>
      <w:r>
        <w:rPr>
          <w:rFonts w:hint="eastAsia"/>
        </w:rPr>
        <w:t xml:space="preserve">合肥工业大学数学学院，安徽</w:t>
      </w:r>
      <w:r>
        <w:t xml:space="preserve"> </w:t>
      </w:r>
      <w:r>
        <w:rPr>
          <w:rFonts w:hint="eastAsia"/>
        </w:rPr>
        <w:t xml:space="preserve">合肥</w:t>
      </w:r>
      <w:r>
        <w:t xml:space="preserve"> 230601</w:t>
      </w:r>
    </w:p>
    <w:p>
      <w:pPr>
        <w:pStyle w:val="HFUTBody"/>
      </w:pPr>
      <w:r>
        <w:rPr>
          <w:rFonts w:hint="eastAsia"/>
        </w:rPr>
        <w:t xml:space="preserve">通信作者：王琦</w:t>
      </w:r>
    </w:p>
    <w:p>
      <w:pPr>
        <w:pStyle w:val="HFUTAbstractBodyCN"/>
      </w:pPr>
      <w:r>
        <w:rPr>
          <w:rStyle w:val="HFUTAbstractLabelCNChar"/>
          <w:rFonts w:hint="eastAsia"/>
        </w:rPr>
        <w:t xml:space="preserve">摘要：</w:t>
      </w:r>
      <w:r>
        <w:rPr>
          <w:rFonts w:hint="eastAsia"/>
        </w:rPr>
        <w:t xml:space="preserve">针对Jetson端工业缺陷检测中网络低精度化不能直接消除输入形成与主机—设备数据移动开销的问题，本文在固定YOLOv8n和TensorRT</w:t>
      </w:r>
      <w:r>
        <w:t xml:space="preserve"> </w:t>
      </w:r>
      <w:r>
        <w:rPr>
          <w:rFonts w:hint="eastAsia"/>
        </w:rPr>
        <w:t xml:space="preserve">INT8混合精度Engine的条件下，将CPU/OpenCV侧形成FP32</w:t>
      </w:r>
      <w:r>
        <w:t xml:space="preserve"> </w:t>
      </w:r>
      <w:r>
        <w:rPr>
          <w:rFonts w:hint="eastAsia"/>
        </w:rPr>
        <w:t xml:space="preserve">NCHW张量并复制至设备的基线路径，重构为packed</w:t>
      </w:r>
      <w:r>
        <w:t xml:space="preserve"> </w:t>
      </w:r>
      <w:r>
        <w:rPr>
          <w:rFonts w:hint="eastAsia"/>
        </w:rPr>
        <w:t xml:space="preserve">BGR原始图像暂存、二维主机到设备复制以及GPU侧融合CUDA预处理直接形成TensorRT设备输入的路径。在统一的任务正确性、逐帧E2E延迟、进程级FPS和合并样本P95/P99评价口径下，实验通过V0→V2R与V2R→V3R两级受控比较，分别考察完整输入形成路径重构和pageable→pinned主机暂存变化。三条路径在冻结的180幅测试集上获得一致的任务级指标。V2R相对V0达到2.24×</w:t>
      </w:r>
      <w:r>
        <w:t xml:space="preserve"> </w:t>
      </w:r>
      <w:r>
        <w:rPr>
          <w:rFonts w:hint="eastAsia"/>
        </w:rPr>
        <w:t xml:space="preserve">FPS，平均延迟降低55.45%，构成主要E2E性能增量；V3R相对V2R的FPS变化为+4.07%，平均延迟变化为−4.03%，P95变化为+0.15%、P99变化为−0.12%，两个尾延迟指标变化均低于0.2%且方向相反。结果表明，在本文固定Jetson平台、实现和离线回放工作负载下，完整输入形成与数据移动路径重构带来主要平均性能收益，pinned暂存只提供有限的平均增量，尚无一致的尾延迟改善证据。</w:t>
      </w:r>
    </w:p>
    <w:p>
      <w:pPr>
        <w:pStyle w:val="HFUTKeywordsBodyCN"/>
      </w:pPr>
      <w:r>
        <w:rPr>
          <w:rStyle w:val="HFUTKeywordsLabelCNChar"/>
          <w:rFonts w:hint="eastAsia"/>
        </w:rPr>
        <w:t xml:space="preserve">关键词：</w:t>
      </w:r>
      <w:r>
        <w:rPr>
          <w:rFonts w:hint="eastAsia"/>
        </w:rPr>
        <w:t xml:space="preserve">Jetson；工业缺陷检测；INT8混合精度推理；CUDA预处理；主机—设备数据路径</w:t>
      </w:r>
    </w:p>
    <w:p>
      <w:pPr>
        <w:pStyle w:val="HFUTTitleEN"/>
      </w:pPr>
      <w:r>
        <w:t xml:space="preserve">Input Data-Path Reconstruction for Industrial Defect Detection on Jetson</w:t>
      </w:r>
    </w:p>
    <w:p>
      <w:pPr>
        <w:pStyle w:val="HFUTAuthorsEN"/>
      </w:pPr>
      <w:r>
        <w:t xml:space="preserve">WANG Kailun, WANG Qi</w:t>
      </w:r>
    </w:p>
    <w:p>
      <w:pPr>
        <w:pStyle w:val="HFUTAffiliationEN"/>
      </w:pPr>
      <w:r>
        <w:t xml:space="preserve">School of Mathematics, Hefei University of Technology, Hefei 230601, China</w:t>
      </w:r>
    </w:p>
    <w:p>
      <w:pPr>
        <w:pStyle w:val="HFUTBody"/>
      </w:pPr>
      <w:r>
        <w:t xml:space="preserve">Corresponding author: WANG Qi</w:t>
      </w:r>
    </w:p>
    <w:p>
      <w:pPr>
        <w:pStyle w:val="HFUTAbstractBodyEN"/>
      </w:pPr>
      <w:r>
        <w:rPr>
          <w:rStyle w:val="HFUTAbstractLabelENChar"/>
        </w:rPr>
        <w:t xml:space="preserve">Abstract:</w:t>
      </w:r>
      <w:r>
        <w:t xml:space="preserve"> </w:t>
      </w:r>
      <w:r>
        <w:t xml:space="preserve">For Jetson-based industrial defect detection, reducing network precision does not by itself remove the costs of input formation and host-device data movement. With a fixed YOLOv8n detector and TensorRT INT8 mixed-precision Engine, this study restructures a baseline path that forms an FP32 NCHW tensor through CPU/OpenCV and copies it to the device into a path based on packed BGR raw-image staging, two-dimensional host-to-device copying, and fused CUDA preprocessing that directly forms the TensorRT device input. A unified protocol evaluates task correctness, source-to-pre-sink per-frame latency, process-level FPS, and pooled P95/P99 through two controlled comparisons: V0→V2R for the complete input-formation restructuring and V2R→V3R for pageable-to-pinned host staging. All three paths produce identical task-level metrics on the frozen 180-image test set. Relative to V0, V2R achieves 2.24× FPS and 55.45% lower mean latency, representing the principal end-to-end performance gain. Relative to V2R, the V3R changes are +4.07% in FPS and −4.03% in mean latency; the P95 and P99 changes are +0.15% and −0.12%, respectively, with both tail changes below 0.2% and in opposite directions. Under the fixed Jetson platform, implementation, and offline replay workload evaluated here, the complete input-formation and data-movement restructuring provides the main average-performance gain, whereas pinned staging adds only a limited mean improvement and does not provide evidence of consistent tail-latency improvement.</w:t>
      </w:r>
    </w:p>
    <w:p>
      <w:pPr>
        <w:pStyle w:val="HFUTKeywordsBodyEN"/>
      </w:pPr>
      <w:r>
        <w:rPr>
          <w:rStyle w:val="HFUTKeywordsLabelENChar"/>
        </w:rPr>
        <w:t xml:space="preserve">Keywords:</w:t>
      </w:r>
      <w:r>
        <w:t xml:space="preserve"> </w:t>
      </w:r>
      <w:r>
        <w:t xml:space="preserve">Jetson; industrial defect detection; INT8 mixed-precision inference; CUDA preprocessing; host-device data path</w:t>
      </w:r>
    </w:p>
    <w:p>
      <w:pPr>
        <w:pStyle w:val="HFUTClassification"/>
      </w:pPr>
      <w:r>
        <w:rPr>
          <w:rFonts w:hint="eastAsia"/>
        </w:rPr>
        <w:t xml:space="preserve">中图分类号：TP391.41</w:t>
      </w:r>
    </w:p>
    <w:p>
      <w:pPr>
        <w:pStyle w:val="HFUTSpecimenNotice"/>
        <w:sectPr>
          <w:footerReference ns1:id="rId4" w:type="default"/>
          <w:footerReference w:type="first" ns1:id="rId66"/>
          <w:type w:val="continuous"/>
          <w:pgSz w:h="16838" w:orient="portrait" w:w="11906"/>
          <w:pgMar w:bottom="1134" w:footer="907" w:gutter="0" w:header="720" w:left="1304" w:right="1304" w:top="1361"/>
          <w:cols w:num="1" w:space="425"/>
          <w:titlePg/>
          <w:docGrid w:linePitch="360"/>
        </w:sectPr>
      </w:pPr>
    </w:p>
    <w:p>
      <w:pPr>
        <w:pStyle w:val="HFUTHeading1"/>
      </w:pPr>
      <w:r>
        <w:t xml:space="preserve">0 </w:t>
      </w:r>
      <w:r>
        <w:rPr>
          <w:rFonts w:hint="eastAsia"/>
        </w:rPr>
        <w:t xml:space="preserve">引言</w:t>
      </w:r>
    </w:p>
    <w:p>
      <w:pPr>
        <w:pStyle w:val="HFUTBody"/>
      </w:pPr>
      <w:r>
        <w:rPr>
          <w:rFonts w:hint="eastAsia"/>
        </w:rPr>
        <w:t xml:space="preserve">金属表面缺陷自动检测是工业视觉的重要应用，NEU-DET提供开裂、夹杂、斑块、点蚀表面、轧制氧化皮和划痕等典型缺陷数据</w:t>
      </w:r>
      <w:r>
        <w:rPr>
          <w:vertAlign w:val="superscript"/>
        </w:rPr>
        <w:t xml:space="preserve">[1,2]</w:t>
      </w:r>
      <w:r>
        <w:rPr>
          <w:rFonts w:hint="eastAsia"/>
        </w:rPr>
        <w:t xml:space="preserve">。现有研究通过轻量化骨干、注意力和多尺度特征融合改善检测精度与复杂度权衡</w:t>
      </w:r>
      <w:r>
        <w:rPr>
          <w:vertAlign w:val="superscript"/>
        </w:rPr>
        <w:t xml:space="preserve">[3–5]</w:t>
      </w:r>
      <w:r>
        <w:rPr>
          <w:rFonts w:hint="eastAsia"/>
        </w:rPr>
        <w:t xml:space="preserve">，YOLOv8提供多尺度检测模型及训练、推理和导出能力</w:t>
      </w:r>
      <w:r>
        <w:rPr>
          <w:vertAlign w:val="superscript"/>
        </w:rPr>
        <w:t xml:space="preserve">[6]</w:t>
      </w:r>
      <w:r>
        <w:rPr>
          <w:rFonts w:hint="eastAsia"/>
        </w:rPr>
        <w:t xml:space="preserve">。面向资源受限边缘平台时，完整检测还包括预处理、推理、后处理和数据管理</w:t>
      </w:r>
      <w:r>
        <w:rPr>
          <w:vertAlign w:val="superscript"/>
        </w:rPr>
        <w:t xml:space="preserve">[7,8]</w:t>
      </w:r>
      <w:r>
        <w:rPr>
          <w:rFonts w:hint="eastAsia"/>
        </w:rPr>
        <w:t xml:space="preserve">，并需在现场附近完成完整处理流程</w:t>
      </w:r>
      <w:r>
        <w:rPr>
          <w:vertAlign w:val="superscript"/>
        </w:rPr>
        <w:t xml:space="preserve">[9]</w:t>
      </w:r>
      <w:r>
        <w:t xml:space="preserve">。</w:t>
      </w:r>
    </w:p>
    <w:p>
      <w:pPr>
        <w:pStyle w:val="HFUTBody"/>
      </w:pPr>
      <w:r>
        <w:rPr>
          <w:rFonts w:hint="eastAsia"/>
        </w:rPr>
        <w:t xml:space="preserve">INT8部署可降低网络侧计算开销，但量化扰动仍需任务正确性约束</w:t>
      </w:r>
      <w:r>
        <w:rPr>
          <w:vertAlign w:val="superscript"/>
        </w:rPr>
        <w:t xml:space="preserve">[10,11]</w:t>
      </w:r>
      <w:r>
        <w:rPr>
          <w:rFonts w:hint="eastAsia"/>
        </w:rPr>
        <w:t xml:space="preserve">，且网络低精度化不会自动消除图像解码后的主机侧输入形成和主机—设备数据移动。本文以TensorRT</w:t>
      </w:r>
      <w:r>
        <w:t xml:space="preserve"> </w:t>
      </w:r>
      <w:r>
        <w:rPr>
          <w:rFonts w:hint="eastAsia"/>
        </w:rPr>
        <w:t xml:space="preserve">10.3校准式INT8混合精度推理为固定前提；该版本传统隐式INT8量化和calibrator接口已标记为弃用，结论因而限定于本文软件栈</w:t>
      </w:r>
      <w:r>
        <w:rPr>
          <w:vertAlign w:val="superscript"/>
        </w:rPr>
        <w:t xml:space="preserve">[12]</w:t>
      </w:r>
      <w:r>
        <w:rPr>
          <w:rFonts w:hint="eastAsia"/>
        </w:rPr>
        <w:t xml:space="preserve">。研究范围收敛到固定检测器与Engine条件下的输入形成位置、主机数据表示、输入复制载荷和pageable/pinned暂存。</w:t>
      </w:r>
    </w:p>
    <w:p>
      <w:pPr>
        <w:pStyle w:val="HFUTBody"/>
      </w:pPr>
      <w:r>
        <w:rPr>
          <w:rFonts w:hint="eastAsia"/>
        </w:rPr>
        <w:t xml:space="preserve">本文设置三条受控路径：V0在主机侧形成FP32</w:t>
      </w:r>
      <w:r>
        <w:t xml:space="preserve"> </w:t>
      </w:r>
      <w:r>
        <w:rPr>
          <w:rFonts w:hint="eastAsia"/>
        </w:rPr>
        <w:t xml:space="preserve">NCHW张量并复制至设备；V2R改为packed</w:t>
      </w:r>
      <w:r>
        <w:t xml:space="preserve"> </w:t>
      </w:r>
      <w:r>
        <w:rPr>
          <w:rFonts w:hint="eastAsia"/>
        </w:rPr>
        <w:t xml:space="preserve">BGR原始图像暂存、</w:t>
      </w:r>
      <w:r>
        <w:rPr>
          <w:rStyle w:val="VerbatimChar"/>
        </w:rPr>
        <w:t xml:space="preserve">cudaMemcpy2DAsync</w:t>
      </w:r>
      <w:r>
        <w:rPr>
          <w:rFonts w:hint="eastAsia"/>
        </w:rPr>
        <w:t xml:space="preserve">二维H2D复制和GPU融合预处理，直接形成TensorRT设备输入；V3R保持CUDA预处理、CUDA</w:t>
      </w:r>
      <w:r>
        <w:t xml:space="preserve"> </w:t>
      </w:r>
      <w:r>
        <w:rPr>
          <w:rFonts w:hint="eastAsia"/>
        </w:rPr>
        <w:t xml:space="preserve">stream和下游拓扑不变，仅将pageable暂存替换为pinned暂存。</w:t>
      </w:r>
    </w:p>
    <w:p>
      <w:pPr>
        <w:pStyle w:val="HFUTBody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2" w:space="425"/>
          <w:docGrid w:linePitch="360"/>
        </w:sectPr>
      </w:pPr>
      <w:r>
        <w:rPr>
          <w:rFonts w:hint="eastAsia"/>
        </w:rPr>
        <w:t xml:space="preserve">本文的主要贡献包括两点：1）在固定YOLOv8n和TensorRT</w:t>
      </w:r>
      <w:r>
        <w:t xml:space="preserve"> </w:t>
      </w:r>
      <w:r>
        <w:rPr>
          <w:rFonts w:hint="eastAsia"/>
        </w:rPr>
        <w:t xml:space="preserve">INT8混合精度Engine条件下，将主机FP32张量输入路径重构为原始图像H2D与GPU融合预处理，并通过pageable/pinned配置隔离主机暂存类型；2）在统一的任务正确性、E2E延迟、进程级FPS和合并样本P95/P99口径下，通过V0→V2R与V2R→V3R两级受控比较，区分完整输入路径重构的主要收益与pinned暂存的有限平均增量，并以每条路径5个独立进程考察运行级分布和尾延迟。受控路径见图1。</w:t>
      </w:r>
    </w:p>
    <w:p>
      <w:pPr>
        <w:pStyle w:val="BodyText"/>
        <w:keepNext/>
        <w:spacing w:before="0" w:after="0" w:line="320" w:lineRule="atLeast"/>
        <w:ind w:firstLine="0"/>
        <w:jc w:val="center"/>
      </w:pPr>
      <w:r>
        <w:drawing>
          <ns2:inline>
            <ns2:extent cx="5759999" cy="3353153"/>
            <ns2:effectExtent b="0" l="0" r="0" t="0"/>
            <ns2:docPr descr="" title="" id="14" name="Picture"/>
            <ns3:graphic>
              <ns3:graphicData uri="http://schemas.openxmlformats.org/drawingml/2006/picture">
                <ns4:pic>
                  <ns4:nvPicPr>
                    <ns4:cNvPr descr="fig1_hero_data_path_phase56.png" id="15" name="Picture"/>
                    <ns4:cNvPicPr>
                      <ns3:picLocks noChangeArrowheads="1" noChangeAspect="1"/>
                    </ns4:cNvPicPr>
                  </ns4:nvPicPr>
                  <ns4:blipFill>
                    <ns3:blip ns1:embed="rId1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59999" cy="3353153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HFUTFigureCaption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1" w:space="425"/>
          <w:docGrid w:linePitch="360"/>
        </w:sectPr>
      </w:pPr>
      <w:r>
        <w:rPr>
          <w:rFonts w:hint="eastAsia"/>
          <w:b/>
          <w:bCs/>
        </w:rPr>
        <w:t xml:space="preserve">图1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V0、V2R和V3R三条受控数据路径。图中数值为完整路径E2E观测，输入复制载荷为名义值。</w:t>
      </w:r>
    </w:p>
    <w:p>
      <w:pPr>
        <w:pStyle w:val="HFUTHeading1"/>
      </w:pPr>
      <w:r>
        <w:t xml:space="preserve">1 </w:t>
      </w:r>
      <w:r>
        <w:rPr>
          <w:rFonts w:hint="eastAsia"/>
        </w:rPr>
        <w:t xml:space="preserve">系统对象与问题定义</w:t>
      </w:r>
    </w:p>
    <w:p>
      <w:pPr>
        <w:pStyle w:val="HFUTHeading2"/>
      </w:pPr>
      <w:r>
        <w:t xml:space="preserve">1.1 </w:t>
      </w:r>
      <w:r>
        <w:rPr>
          <w:rFonts w:hint="eastAsia"/>
        </w:rPr>
        <w:t xml:space="preserve">模型、数据集与部署环境</w:t>
      </w:r>
    </w:p>
    <w:p>
      <w:pPr>
        <w:pStyle w:val="HFUTBody"/>
      </w:pPr>
      <w:r>
        <w:rPr>
          <w:rFonts w:hint="eastAsia"/>
        </w:rPr>
        <w:t xml:space="preserve">本文研究部署于NVIDIA</w:t>
      </w:r>
      <w:r>
        <w:t xml:space="preserve"> Jetson Orin Nano </w:t>
      </w:r>
      <w:r>
        <w:rPr>
          <w:rFonts w:hint="eastAsia"/>
        </w:rPr>
        <w:t xml:space="preserve">Super的YOLOv8n工业缺陷检测模型，输入为640×640、batch</w:t>
      </w:r>
      <w:r>
        <w:t xml:space="preserve"> </w:t>
      </w:r>
      <w:r>
        <w:rPr>
          <w:rFonts w:hint="eastAsia"/>
        </w:rPr>
        <w:t xml:space="preserve">size为1。数据采用NEU-DET目标检测标注及去重后的split-v2，固定测试工作负载为180幅图像。TensorRT</w:t>
      </w:r>
      <w:r>
        <w:t xml:space="preserve"> </w:t>
      </w:r>
      <w:r>
        <w:rPr>
          <w:rFonts w:hint="eastAsia"/>
        </w:rPr>
        <w:t xml:space="preserve">Engine使用排除测试集的1260幅去重训练图像校准，采用</w:t>
      </w:r>
      <w:r>
        <w:rPr>
          <w:rStyle w:val="VerbatimChar"/>
        </w:rPr>
        <w:t xml:space="preserve">IInt8EntropyCalibrator2</w:t>
      </w:r>
      <w:r>
        <w:t xml:space="preserve">、batch size </w:t>
      </w:r>
      <w:r>
        <w:rPr>
          <w:rFonts w:hint="eastAsia"/>
        </w:rPr>
        <w:t xml:space="preserve">1和与生产CPU</w:t>
      </w:r>
      <w:r>
        <w:t xml:space="preserve"> </w:t>
      </w:r>
      <w:r>
        <w:rPr>
          <w:rStyle w:val="VerbatimChar"/>
        </w:rPr>
        <w:t xml:space="preserve">Preprocessor</w:t>
      </w:r>
      <w:r>
        <w:rPr>
          <w:rFonts w:hint="eastAsia"/>
        </w:rPr>
        <w:t xml:space="preserve">一致的BGR</w:t>
      </w:r>
      <w:r>
        <w:t xml:space="preserve"> </w:t>
      </w:r>
      <w:r>
        <w:rPr>
          <w:rFonts w:hint="eastAsia"/>
        </w:rPr>
        <w:t xml:space="preserve">letterbox、RGB/NCHW及FP32/255预处理；构建启用INT8与FP16并保持FP32</w:t>
      </w:r>
      <w:r>
        <w:t xml:space="preserve"> </w:t>
      </w:r>
      <w:r>
        <w:rPr>
          <w:rFonts w:hint="eastAsia"/>
        </w:rPr>
        <w:t xml:space="preserve">I/O，本文称其为TensorRT</w:t>
      </w:r>
      <w:r>
        <w:t xml:space="preserve"> </w:t>
      </w:r>
      <w:r>
        <w:rPr>
          <w:rFonts w:hint="eastAsia"/>
        </w:rPr>
        <w:t xml:space="preserve">INT8混合精度Engine。量化部署需同时检验任务性能</w:t>
      </w:r>
      <w:r>
        <w:rPr>
          <w:vertAlign w:val="superscript"/>
        </w:rPr>
        <w:t xml:space="preserve">[13]</w:t>
      </w:r>
      <w:r>
        <w:rPr>
          <w:rFonts w:hint="eastAsia"/>
        </w:rPr>
        <w:t xml:space="preserve">，三条路径共用该Engine，软件版本见表2。</w:t>
      </w:r>
    </w:p>
    <w:p>
      <w:pPr>
        <w:pStyle w:val="HFUTHeading2"/>
      </w:pPr>
      <w:r>
        <w:t xml:space="preserve">1.2 </w:t>
      </w:r>
      <w:r>
        <w:rPr>
          <w:rFonts w:hint="eastAsia"/>
        </w:rPr>
        <w:t xml:space="preserve">E2E数据路径与受控变量</w:t>
      </w:r>
    </w:p>
    <w:p>
      <w:pPr>
        <w:pStyle w:val="HFUTBody"/>
      </w:pPr>
      <w:r>
        <w:rPr>
          <w:rFonts w:hint="eastAsia"/>
        </w:rPr>
        <w:t xml:space="preserve">完整路径包括图像获取与解码、主机暂存、输入形成、必要的数据移动、推理与同步、后处理和结果构造，Jetson检测部署也通常区分预处理、推理和后处理</w:t>
      </w:r>
      <w:r>
        <w:rPr>
          <w:vertAlign w:val="superscript"/>
        </w:rPr>
        <w:t xml:space="preserve">[14]</w:t>
      </w:r>
      <w:r>
        <w:rPr>
          <w:rFonts w:hint="eastAsia"/>
        </w:rPr>
        <w:t xml:space="preserve">。统一计时边界内的E2E耗时表示为</w:t>
      </w:r>
    </w:p>
    <w:p>
      <w:pPr>
        <w:pStyle w:val="HFUTEquation"/>
      </w:pPr>
      <ns5:oMathPara>
        <ns5:oMathParaPr>
          <ns5:jc ns5:val="center"/>
        </ns5:oMathParaPr>
        <ns5:oMath>
          <ns5:sSub>
            <ns5:e>
              <ns5:r>
                <ns5:t>T</ns5:t>
              </ns5:r>
            </ns5:e>
            <ns5:sub>
              <ns5:r>
                <ns5:rPr>
                  <ns5:sty ns5:val="p"/>
                </ns5:rPr>
                <ns5:t>E</ns5:t>
              </ns5:r>
              <ns5:r>
                <ns5:rPr>
                  <ns5:sty ns5:val="p"/>
                </ns5:rPr>
                <ns5:t>2</ns5:t>
              </ns5:r>
              <ns5:r>
                <ns5:rPr>
                  <ns5:sty ns5:val="p"/>
                </ns5:rPr>
                <ns5:t>E</ns5:t>
              </ns5:r>
            </ns5:sub>
          </ns5:sSub>
          <ns5:r>
            <ns5:rPr>
              <ns5:sty ns5:val="p"/>
            </ns5:rPr>
            <ns5:t>=</ns5:t>
          </ns5:r>
          <ns5:nary>
            <ns5:naryPr>
              <ns5:chr ns5:val="∑"/>
              <ns5:limLoc ns5:val="undOvr"/>
              <ns5:subHide ns5:val="off"/>
              <ns5:supHide ns5:val="off"/>
            </ns5:naryPr>
            <ns5:sub>
              <ns5:r>
                <ns5:t>k</ns5:t>
              </ns5:r>
              <ns5:r>
                <ns5:rPr>
                  <ns5:sty ns5:val="p"/>
                </ns5:rPr>
                <ns5:t>=</ns5:t>
              </ns5:r>
              <ns5:r>
                <ns5:t>1</ns5:t>
              </ns5:r>
            </ns5:sub>
            <ns5:sup>
              <ns5:r>
                <ns5:t>m</ns5:t>
              </ns5:r>
            </ns5:sup>
            <ns5:e>
              <ns5:sSub>
                <ns5:e>
                  <ns5:r>
                    <ns5:t>T</ns5:t>
                  </ns5:r>
                </ns5:e>
                <ns5:sub>
                  <ns5:r>
                    <ns5:t>k</ns5:t>
                  </ns5:r>
                </ns5:sub>
              </ns5:sSub>
            </ns5:e>
          </ns5:nary>
          <ns5:r>
            <ns5:rPr>
              <ns5:sty ns5:val="p"/>
            </ns5:rPr>
            <ns5:t>.</ns5:t>
          </ns5:r>
        </ns5:oMath>
      </ns5:oMathPara>
    </w:p>
    <w:p>
      <w:pPr>
        <w:pStyle w:val="HFUTBody"/>
      </w:pPr>
      <w:r>
        <w:rPr>
          <w:rFonts w:hint="eastAsia"/>
        </w:rPr>
        <w:t xml:space="preserve">该式定义完整计时边界，而非仅指TensorRT网络推理；各阶段未独立插桩，因此不用于阶段级归因。</w:t>
      </w:r>
    </w:p>
    <w:p>
      <w:pPr>
        <w:pStyle w:val="HFUTBody"/>
      </w:pPr>
      <w:r>
        <w:rPr>
          <w:rFonts w:hint="eastAsia"/>
        </w:rPr>
        <w:t xml:space="preserve">V0复制主机侧640×640</w:t>
      </w:r>
      <w:r>
        <w:t xml:space="preserve"> FP32 </w:t>
      </w:r>
      <w:r>
        <w:rPr>
          <w:rFonts w:hint="eastAsia"/>
        </w:rPr>
        <w:t xml:space="preserve">RGB/NCHW输入；V2R/V3R则复制packed</w:t>
      </w:r>
      <w:r>
        <w:t xml:space="preserve"> </w:t>
      </w:r>
      <w:r>
        <w:rPr>
          <w:rFonts w:hint="eastAsia"/>
        </w:rPr>
        <w:t xml:space="preserve">BGR原始图像，并在设备侧融合完成输入形成。两条GPU路径使用相同CUDA预处理、CUDA</w:t>
      </w:r>
      <w:r>
        <w:t xml:space="preserve"> </w:t>
      </w:r>
      <w:r>
        <w:rPr>
          <w:rFonts w:hint="eastAsia"/>
        </w:rPr>
        <w:t xml:space="preserve">stream和下游拓扑，唯一差异是pageable或pinned主机暂存。锁页内存的效果取决于平台、工作负载和访问特征</w:t>
      </w:r>
      <w:r>
        <w:rPr>
          <w:vertAlign w:val="superscript"/>
        </w:rPr>
        <w:t xml:space="preserve">[15–17]</w:t>
      </w:r>
      <w:r>
        <w:rPr>
          <w:rFonts w:hint="eastAsia"/>
        </w:rPr>
        <w:t xml:space="preserve">；本文依据CUDA</w:t>
      </w:r>
      <w:r>
        <w:t xml:space="preserve"> </w:t>
      </w:r>
      <w:r>
        <w:rPr>
          <w:rFonts w:hint="eastAsia"/>
        </w:rPr>
        <w:t xml:space="preserve">stream与复制语义</w:t>
      </w:r>
      <w:r>
        <w:rPr>
          <w:vertAlign w:val="superscript"/>
        </w:rPr>
        <w:t xml:space="preserve">[18]</w:t>
      </w:r>
      <w:r>
        <w:rPr>
          <w:rFonts w:hint="eastAsia"/>
        </w:rPr>
        <w:t xml:space="preserve">，在单帧顺序路径内把暂存分配类型作为独立变量。局部路径变化仍需在完整E2E边界评价</w:t>
      </w:r>
      <w:r>
        <w:rPr>
          <w:vertAlign w:val="superscript"/>
        </w:rPr>
        <w:t xml:space="preserve">[19]</w:t>
      </w:r>
      <w:r>
        <w:t xml:space="preserve">。</w:t>
      </w:r>
    </w:p>
    <w:p>
      <w:pPr>
        <w:pStyle w:val="HFUTHeading2"/>
      </w:pPr>
      <w:r>
        <w:t xml:space="preserve">1.3 </w:t>
      </w:r>
      <w:r>
        <w:rPr>
          <w:rFonts w:hint="eastAsia"/>
        </w:rPr>
        <w:t xml:space="preserve">统一计时边界与研究问题</w:t>
      </w:r>
    </w:p>
    <w:p>
      <w:pPr>
        <w:pStyle w:val="HFUTBody"/>
      </w:pPr>
      <w:r>
        <w:rPr>
          <w:rFonts w:hint="eastAsia"/>
        </w:rPr>
        <w:t xml:space="preserve">平均延迟、吞吐率和尾延迟描述不同性能属性，平均值不能替代分布尾部</w:t>
      </w:r>
      <w:r>
        <w:rPr>
          <w:vertAlign w:val="superscript"/>
        </w:rPr>
        <w:t xml:space="preserve">[20]</w:t>
      </w:r>
      <w:r>
        <w:rPr>
          <w:rFonts w:hint="eastAsia"/>
        </w:rPr>
        <w:t xml:space="preserve">。逐帧延迟采用source-to-pre-sink边界，从获取数据源帧前开始，包含图像获取与解码、路径对应的暂存和输入形成、H2D、TensorRT推理与同步、必要的D2H、CPU后处理/NMS及结果构造，在序列化和写文件前结束。进程级FPS以每个独立进程的1080个测量帧除以完整测量阶段wall</w:t>
      </w:r>
      <w:r>
        <w:t xml:space="preserve"> </w:t>
      </w:r>
      <w:r>
        <w:rPr>
          <w:rFonts w:hint="eastAsia"/>
        </w:rPr>
        <w:t xml:space="preserve">time得到，包含统一的结果输出处理，不由逐帧延迟取倒数。</w:t>
      </w:r>
    </w:p>
    <w:p>
      <w:pPr>
        <w:pStyle w:val="HFUTBody"/>
      </w:pPr>
      <w:r>
        <w:rPr>
          <w:rFonts w:hint="eastAsia"/>
        </w:rPr>
        <w:t xml:space="preserve">本文回答两个问题。RQ1：在固定模型、Engine和工作负载下，将主机FP32张量形成路径重构为原始图像H2D与GPU融合预处理，对完整E2E性能产生多大影响？RQ2：在GPU预处理、CUDA</w:t>
      </w:r>
      <w:r>
        <w:t xml:space="preserve"> </w:t>
      </w:r>
      <w:r>
        <w:rPr>
          <w:rFonts w:hint="eastAsia"/>
        </w:rPr>
        <w:t xml:space="preserve">stream和下游拓扑保持不变时，将pageable原始图像暂存替换为pinned暂存，是否进一步改善平均性能，以及P95/P99是否呈现一致的尾延迟改善？</w:t>
      </w:r>
    </w:p>
    <w:p>
      <w:pPr>
        <w:pStyle w:val="HFUTHeading1"/>
      </w:pPr>
      <w:r>
        <w:t xml:space="preserve">2 </w:t>
      </w:r>
      <w:r>
        <w:rPr>
          <w:rFonts w:hint="eastAsia"/>
        </w:rPr>
        <w:t xml:space="preserve">数据路径工程方法</w:t>
      </w:r>
    </w:p>
    <w:p>
      <w:pPr>
        <w:pStyle w:val="HFUTBody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2" w:space="425"/>
          <w:docGrid w:linePitch="360"/>
        </w:sectPr>
      </w:pPr>
      <w:r>
        <w:rPr>
          <w:rFonts w:hint="eastAsia"/>
        </w:rPr>
        <w:t xml:space="preserve">三条受控路径的主要配置见表1。</w:t>
      </w:r>
    </w:p>
    <w:p>
      <w:pPr>
        <w:pStyle w:val="HFUTTableCaption"/>
        <w:jc w:val="center"/>
      </w:pPr>
      <w:r>
        <w:rPr>
          <w:rFonts w:hint="eastAsia"/>
          <w:b/>
          <w:bCs/>
        </w:rPr>
        <w:t xml:space="preserve">表1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三条受控路径的特征矩阵。检测器和TensorRT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Engine相同；三条路径均为单帧顺序执行，无跨帧流水线。</w:t>
      </w:r>
    </w:p>
    <w:tbl>
      <w:tblPr>
        <w:tblStyle w:val="HFUTThreeLineTable"/>
        <w:tblW w:type="dxa" w:w="9072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3200"/>
        <w:gridCol w:w="1957"/>
        <w:gridCol w:w="1957"/>
        <w:gridCol w:w="1958"/>
      </w:tblGrid>
      <w:tr>
        <w:trPr>
          <w:tblHeader w:val="on"/>
          <w:cantSplit/>
        </w:trPr>
        <w:tc>
          <w:tcPr>
            <w:tcW w:w="32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路径特征</w:t>
            </w:r>
          </w:p>
        </w:tc>
        <w:tc>
          <w:tcPr>
            <w:tcW w:w="195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t xml:space="preserve">V0</w:t>
            </w:r>
          </w:p>
        </w:tc>
        <w:tc>
          <w:tcPr>
            <w:tcW w:w="195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t xml:space="preserve">V2R</w:t>
            </w:r>
          </w:p>
        </w:tc>
        <w:tc>
          <w:tcPr>
            <w:tcW w:w="195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t xml:space="preserve">V3R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CPU像素预处理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CUDA预处理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主机FP32输入张量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额外打包原始图像暂存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t xml:space="preserve">Pageable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t xml:space="preserve">Pinned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原始图像H2D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输入形成位置</w:t>
            </w:r>
            <w:r>
              <w:t xml:space="preserve"> / </w:t>
            </w:r>
            <w:r>
              <w:rPr>
                <w:rFonts w:hint="eastAsia"/>
              </w:rPr>
              <w:t xml:space="preserve">TRT直接输入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主机</w:t>
            </w:r>
            <w:r>
              <w:t xml:space="preserve"> / </w:t>
            </w:r>
            <w:r>
              <w:rPr>
                <w:rFonts w:hint="eastAsia"/>
              </w:rPr>
              <w:t xml:space="preserve">否</w:t>
            </w:r>
          </w:p>
        </w:tc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设备</w:t>
            </w:r>
            <w:r>
              <w:t xml:space="preserve"> / </w:t>
            </w:r>
            <w:r>
              <w:rPr>
                <w:rFonts w:hint="eastAsia"/>
              </w:rPr>
              <w:t xml:space="preserve">是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设备</w:t>
            </w:r>
            <w:r>
              <w:t xml:space="preserve"> / </w:t>
            </w:r>
            <w:r>
              <w:rPr>
                <w:rFonts w:hint="eastAsia"/>
              </w:rPr>
              <w:t xml:space="preserve">是</w:t>
            </w:r>
          </w:p>
        </w:tc>
      </w:tr>
      <w:tr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执行拓扑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单帧顺序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同一TRT</w:t>
            </w:r>
            <w:r>
              <w:t xml:space="preserve"> </w:t>
            </w:r>
            <w:r>
              <w:rPr>
                <w:rFonts w:hint="eastAsia"/>
              </w:rPr>
              <w:t xml:space="preserve">stream；单帧顺序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同一TRT</w:t>
            </w:r>
            <w:r>
              <w:t xml:space="preserve"> </w:t>
            </w:r>
            <w:r>
              <w:rPr>
                <w:rFonts w:hint="eastAsia"/>
              </w:rPr>
              <w:t xml:space="preserve">stream；单帧顺序</w:t>
            </w:r>
          </w:p>
        </w:tc>
      </w:tr>
    </w:tbl>
    <w:p>
      <w:pPr>
        <w:spacing w:before="0" w:after="0" w:line="1" w:lineRule="exact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1" w:space="425"/>
          <w:docGrid w:linePitch="360"/>
        </w:sectPr>
      </w:pPr>
    </w:p>
    <w:p>
      <w:pPr>
        <w:pStyle w:val="HFUTHeading2"/>
      </w:pPr>
      <w:r>
        <w:t xml:space="preserve">2.1 </w:t>
      </w:r>
      <w:r>
        <w:rPr>
          <w:rFonts w:hint="eastAsia"/>
        </w:rPr>
        <w:t xml:space="preserve">V0：主机侧FP32张量形成</w:t>
      </w:r>
    </w:p>
    <w:p>
      <w:pPr>
        <w:pStyle w:val="HFUTBody"/>
      </w:pPr>
      <w:r>
        <w:rPr>
          <w:rFonts w:hint="eastAsia"/>
        </w:rPr>
        <w:t xml:space="preserve">V0将数据源解码为主机侧</w:t>
      </w:r>
      <w:r>
        <w:rPr>
          <w:rStyle w:val="VerbatimChar"/>
        </w:rPr>
        <w:t xml:space="preserve">CV_8UC3</w:t>
      </w:r>
      <w:r>
        <w:t xml:space="preserve"> </w:t>
      </w:r>
      <w:r>
        <w:rPr>
          <w:rFonts w:hint="eastAsia"/>
        </w:rPr>
        <w:t xml:space="preserve">BGR图像，CPU/OpenCV使用</w:t>
      </w:r>
      <w:r>
        <w:rPr>
          <w:rStyle w:val="VerbatimChar"/>
        </w:rPr>
        <w:t xml:space="preserve">INTER_LINEAR</w:t>
      </w:r>
      <w:r>
        <w:rPr>
          <w:rFonts w:hint="eastAsia"/>
        </w:rPr>
        <w:t xml:space="preserve">执行640×640</w:t>
      </w:r>
      <w:r>
        <w:t xml:space="preserve"> </w:t>
      </w:r>
      <w:r>
        <w:rPr>
          <w:rFonts w:hint="eastAsia"/>
        </w:rPr>
        <w:t xml:space="preserve">letterbox和常数114填充，再完成BGR→RGB、HWC→CHW与</w:t>
      </w:r>
      <w:r>
        <w:rPr>
          <w:rStyle w:val="VerbatimChar"/>
        </w:rPr>
        <w:t xml:space="preserve">1/255</w:t>
      </w:r>
      <w:r>
        <w:rPr>
          <w:rFonts w:hint="eastAsia"/>
        </w:rPr>
        <w:t xml:space="preserve">归一化，在主机侧形成</w:t>
      </w:r>
      <w:r>
        <w:rPr>
          <w:rStyle w:val="VerbatimChar"/>
        </w:rPr>
        <w:t xml:space="preserve">1×3×640×640</w:t>
      </w:r>
      <w:r>
        <w:t xml:space="preserve"> </w:t>
      </w:r>
      <w:r>
        <w:t xml:space="preserve">FP32 </w:t>
      </w:r>
      <w:r>
        <w:rPr>
          <w:rFonts w:hint="eastAsia"/>
        </w:rPr>
        <w:t xml:space="preserve">NCHW输入并复制至设备；Engine推理后，输出回到主机进行检测框解码、置信度筛选和NMS。</w:t>
      </w:r>
    </w:p>
    <w:p>
      <w:pPr>
        <w:pStyle w:val="HFUTHeading2"/>
      </w:pPr>
      <w:r>
        <w:t xml:space="preserve">2.2 </w:t>
      </w:r>
      <w:r>
        <w:rPr>
          <w:rFonts w:hint="eastAsia"/>
        </w:rPr>
        <w:t xml:space="preserve">V2R：pageable暂存与GPU输入形成</w:t>
      </w:r>
    </w:p>
    <w:p>
      <w:pPr>
        <w:pStyle w:val="HFUTBody"/>
      </w:pPr>
      <w:r>
        <w:rPr>
          <w:rFonts w:hint="eastAsia"/>
        </w:rPr>
        <w:t xml:space="preserve">V2R保留主机图像读取与解码，将</w:t>
      </w:r>
      <w:r>
        <w:rPr>
          <w:rStyle w:val="VerbatimChar"/>
        </w:rPr>
        <w:t xml:space="preserve">CV_8UC3</w:t>
      </w:r>
      <w:r>
        <w:t xml:space="preserve"> </w:t>
      </w:r>
      <w:r>
        <w:rPr>
          <w:rFonts w:hint="eastAsia"/>
        </w:rPr>
        <w:t xml:space="preserve">BGR图像逐行复制到可复用的</w:t>
      </w:r>
      <w:r>
        <w:rPr>
          <w:rStyle w:val="VerbatimChar"/>
        </w:rPr>
        <w:t xml:space="preserve">std::vector&lt;uint8_t&gt;</w:t>
      </w:r>
      <w:r>
        <w:rPr>
          <w:rFonts w:hint="eastAsia"/>
        </w:rPr>
        <w:t xml:space="preserve">，形成连续packed</w:t>
      </w:r>
      <w:r>
        <w:t xml:space="preserve"> </w:t>
      </w:r>
      <w:r>
        <w:rPr>
          <w:rFonts w:hint="eastAsia"/>
        </w:rPr>
        <w:t xml:space="preserve">BGR暂存。冻结工作负载图像为200×200，有效行宽600</w:t>
      </w:r>
      <w:r>
        <w:t xml:space="preserve"> </w:t>
      </w:r>
      <w:r>
        <w:rPr>
          <w:rFonts w:hint="eastAsia"/>
        </w:rPr>
        <w:t xml:space="preserve">B；letterbox几何仍由主机按统一模型合同计算。</w:t>
      </w:r>
    </w:p>
    <w:p>
      <w:pPr>
        <w:pStyle w:val="HFUTBody"/>
      </w:pPr>
      <w:r>
        <w:t xml:space="preserve">packed </w:t>
      </w:r>
      <w:r>
        <w:rPr>
          <w:rFonts w:hint="eastAsia"/>
        </w:rPr>
        <w:t xml:space="preserve">BGR图像通过</w:t>
      </w:r>
      <w:r>
        <w:rPr>
          <w:rStyle w:val="VerbatimChar"/>
        </w:rPr>
        <w:t xml:space="preserve">cudaMemcpy2DAsync</w:t>
      </w:r>
      <w:r>
        <w:rPr>
          <w:rFonts w:hint="eastAsia"/>
        </w:rPr>
        <w:t xml:space="preserve">写入持久化设备原始图像缓冲区，随后一个融合CUDA核函数完成resize、padding、BGR→RGB、</w:t>
      </w:r>
      <w:r>
        <w:rPr>
          <w:rStyle w:val="VerbatimChar"/>
        </w:rPr>
        <w:t xml:space="preserve">1/255</w:t>
      </w:r>
      <w:r>
        <w:rPr>
          <w:rFonts w:hint="eastAsia"/>
        </w:rPr>
        <w:t xml:space="preserve">归一化和HWC→NCHW布局转换，直接写入TensorRT管理的FP32</w:t>
      </w:r>
      <w:r>
        <w:t xml:space="preserve"> </w:t>
      </w:r>
      <w:r>
        <w:rPr>
          <w:rFonts w:hint="eastAsia"/>
        </w:rPr>
        <w:t xml:space="preserve">NCHW设备输入。该resize按V0的OpenCV</w:t>
      </w:r>
      <w:r>
        <w:t xml:space="preserve"> 4.5.4</w:t>
      </w:r>
      <w:r>
        <w:t xml:space="preserve"> </w:t>
      </w:r>
      <w:r>
        <w:rPr>
          <w:rStyle w:val="VerbatimChar"/>
        </w:rPr>
        <w:t xml:space="preserve">INTER_LINEAR</w:t>
      </w:r>
      <w:r>
        <w:rPr>
          <w:rFonts w:hint="eastAsia"/>
        </w:rPr>
        <w:t xml:space="preserve">预处理语义建立受控对齐合同，仅适用于本文冻结实现和工作负载，不构成通用CUDA/OpenCV等价性声明。CUDA预处理器、设备缓冲区、同一TensorRT</w:t>
      </w:r>
      <w:r>
        <w:t xml:space="preserve"> CUDA </w:t>
      </w:r>
      <w:r>
        <w:rPr>
          <w:rFonts w:hint="eastAsia"/>
        </w:rPr>
        <w:t xml:space="preserve">stream和execution</w:t>
      </w:r>
      <w:r>
        <w:t xml:space="preserve"> </w:t>
      </w:r>
      <w:r>
        <w:rPr>
          <w:rFonts w:hint="eastAsia"/>
        </w:rPr>
        <w:t xml:space="preserve">context均跨帧复用。</w:t>
      </w:r>
    </w:p>
    <w:p>
      <w:pPr>
        <w:pStyle w:val="HFUTHeading2"/>
      </w:pPr>
      <w:r>
        <w:t xml:space="preserve">2.3 </w:t>
      </w:r>
      <w:r>
        <w:rPr>
          <w:rFonts w:hint="eastAsia"/>
        </w:rPr>
        <w:t xml:space="preserve">V3R：pinned原始图像暂存隔离变量</w:t>
      </w:r>
    </w:p>
    <w:p>
      <w:pPr>
        <w:pStyle w:val="HFUTBody"/>
      </w:pPr>
      <w:r>
        <w:rPr>
          <w:rFonts w:hint="eastAsia"/>
        </w:rPr>
        <w:t xml:space="preserve">V3R与V2R共享packed</w:t>
      </w:r>
      <w:r>
        <w:t xml:space="preserve"> </w:t>
      </w:r>
      <w:r>
        <w:rPr>
          <w:rFonts w:hint="eastAsia"/>
        </w:rPr>
        <w:t xml:space="preserve">BGR语义、</w:t>
      </w:r>
      <w:r>
        <w:rPr>
          <w:rStyle w:val="VerbatimChar"/>
        </w:rPr>
        <w:t xml:space="preserve">cudaMemcpy2DAsync</w:t>
      </w:r>
      <w:r>
        <w:rPr>
          <w:rFonts w:hint="eastAsia"/>
        </w:rPr>
        <w:t xml:space="preserve">、融合CUDA预处理、TensorRT</w:t>
      </w:r>
      <w:r>
        <w:t xml:space="preserve"> CUDA </w:t>
      </w:r>
      <w:r>
        <w:rPr>
          <w:rFonts w:hint="eastAsia"/>
        </w:rPr>
        <w:t xml:space="preserve">stream、Engine和下游拓扑，仅将主机暂存改为帧循环前由</w:t>
      </w:r>
      <w:r>
        <w:rPr>
          <w:rStyle w:val="VerbatimChar"/>
        </w:rPr>
        <w:t xml:space="preserve">cudaHostAlloc(..., cudaHostAllocDefault)</w:t>
      </w:r>
      <w:r>
        <w:rPr>
          <w:rFonts w:hint="eastAsia"/>
        </w:rPr>
        <w:t xml:space="preserve">分配的长生命周期pinned缓冲区。该缓冲区在全部帧之间复用，运行器结束时由</w:t>
      </w:r>
      <w:r>
        <w:rPr>
          <w:rStyle w:val="VerbatimChar"/>
        </w:rPr>
        <w:t xml:space="preserve">cudaFreeHost</w:t>
      </w:r>
      <w:r>
        <w:rPr>
          <w:rFonts w:hint="eastAsia"/>
        </w:rPr>
        <w:t xml:space="preserve">释放；每帧仍逐行复制</w:t>
      </w:r>
      <w:r>
        <w:rPr>
          <w:rStyle w:val="VerbatimChar"/>
        </w:rPr>
        <w:t xml:space="preserve">width×3</w:t>
      </w:r>
      <w:r>
        <w:rPr>
          <w:rFonts w:hint="eastAsia"/>
        </w:rPr>
        <w:t xml:space="preserve">字节，不逐帧分配，也不静默回退到pageable暂存。内存配置效果具有平台和负载依赖性</w:t>
      </w:r>
      <w:r>
        <w:rPr>
          <w:vertAlign w:val="superscript"/>
        </w:rPr>
        <w:t xml:space="preserve">[16,17]</w:t>
      </w:r>
      <w:r>
        <w:t xml:space="preserve">。</w:t>
      </w:r>
    </w:p>
    <w:p>
      <w:pPr>
        <w:pStyle w:val="HFUTBody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2" w:space="425"/>
          <w:docGrid w:linePitch="360"/>
        </w:sectPr>
      </w:pPr>
      <w:r>
        <w:rPr>
          <w:rFonts w:hint="eastAsia"/>
        </w:rPr>
        <w:t xml:space="preserve">三条正式路径均为单帧顺序执行，不使用zero-copy、double</w:t>
      </w:r>
      <w:r>
        <w:t xml:space="preserve"> </w:t>
      </w:r>
      <w:r>
        <w:rPr>
          <w:rFonts w:hint="eastAsia"/>
        </w:rPr>
        <w:t xml:space="preserve">buffering、multi-stream、跨帧流水线、显式传输/计算重叠或GPU</w:t>
      </w:r>
      <w:r>
        <w:t xml:space="preserve"> </w:t>
      </w:r>
      <w:r>
        <w:rPr>
          <w:rFonts w:hint="eastAsia"/>
        </w:rPr>
        <w:t xml:space="preserve">NMS；这些边界仅限定本文受测实现，两条GPU路径关系见图2。</w:t>
      </w:r>
    </w:p>
    <w:p>
      <w:pPr>
        <w:pStyle w:val="BodyText"/>
        <w:keepNext/>
        <w:spacing w:before="0" w:after="0" w:line="320" w:lineRule="atLeast"/>
        <w:ind w:firstLine="0"/>
        <w:jc w:val="center"/>
      </w:pPr>
      <w:r>
        <w:drawing>
          <ns2:inline>
            <ns2:extent cx="5759999" cy="2239492"/>
            <ns2:effectExtent b="0" l="0" r="0" t="0"/>
            <ns2:docPr descr="" title="" id="17" name="Picture"/>
            <ns3:graphic>
              <ns3:graphicData uri="http://schemas.openxmlformats.org/drawingml/2006/picture">
                <ns4:pic>
                  <ns4:nvPicPr>
                    <ns4:cNvPr descr="fig2_technical_implementation_phase57b.png" id="18" name="Picture"/>
                    <ns4:cNvPicPr>
                      <ns3:picLocks noChangeArrowheads="1" noChangeAspect="1"/>
                    </ns4:cNvPicPr>
                  </ns4:nvPicPr>
                  <ns4:blipFill>
                    <ns3:blip ns1:embed="rId1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59999" cy="2239492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HFUTFigureCaption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1" w:space="425"/>
          <w:docGrid w:linePitch="360"/>
        </w:sectPr>
      </w:pPr>
      <w:r>
        <w:rPr>
          <w:rFonts w:hint="eastAsia"/>
          <w:b/>
          <w:bCs/>
        </w:rPr>
        <w:t xml:space="preserve">图2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V2R/V3R主机—设备输入路径。两者仅pageable/pinned暂存不同；复制、融合CUDA预处理与</w:t>
      </w:r>
      <w:r>
        <w:rPr>
          <w:rStyle w:val="VerbatimChar"/>
          <w:b/>
          <w:bCs/>
        </w:rPr>
        <w:t xml:space="preserve">enqueueV3</w:t>
      </w:r>
      <w:r>
        <w:rPr>
          <w:rFonts w:hint="eastAsia"/>
          <w:b/>
          <w:bCs/>
        </w:rPr>
        <w:t xml:space="preserve">沿同一TensorRT</w:t>
      </w:r>
      <w:r>
        <w:rPr>
          <w:b/>
          <w:bCs/>
        </w:rPr>
        <w:t xml:space="preserve"> CUDA </w:t>
      </w:r>
      <w:r>
        <w:rPr>
          <w:rFonts w:hint="eastAsia"/>
          <w:b/>
          <w:bCs/>
        </w:rPr>
        <w:t xml:space="preserve">stream单帧顺序执行，不表示跨帧重叠。</w:t>
      </w:r>
    </w:p>
    <w:p>
      <w:pPr>
        <w:pStyle w:val="HFUTHeading2"/>
      </w:pPr>
      <w:r>
        <w:t xml:space="preserve">2.4 </w:t>
      </w:r>
      <w:r>
        <w:rPr>
          <w:rFonts w:hint="eastAsia"/>
        </w:rPr>
        <w:t xml:space="preserve">正确性与生命周期控制</w:t>
      </w:r>
    </w:p>
    <w:p>
      <w:pPr>
        <w:pStyle w:val="HFUTBody"/>
      </w:pPr>
      <w:r>
        <w:rPr>
          <w:rFonts w:hint="eastAsia"/>
        </w:rPr>
        <w:t xml:space="preserve">三条路径使用相同的冻结180幅测试图像、模型、Engine、输入尺寸、置信度阈值0.25、IoU阈值0.45、</w:t>
      </w:r>
      <w:r>
        <w:rPr>
          <w:rStyle w:val="VerbatimChar"/>
        </w:rPr>
        <w:t xml:space="preserve">max_nms=30000</w:t>
      </w:r>
      <w:r>
        <w:t xml:space="preserve">、</w:t>
      </w:r>
      <w:r>
        <w:rPr>
          <w:rStyle w:val="VerbatimChar"/>
        </w:rPr>
        <w:t xml:space="preserve">max_det=300</w:t>
      </w:r>
      <w:r>
        <w:rPr>
          <w:rFonts w:hint="eastAsia"/>
        </w:rPr>
        <w:t xml:space="preserve">和class-aware单标签后处理。V2R在预设任务级差异门限下通过与V0的核验；V3R由同一评价程序对冻结预测结果确定性重算，并以张量与检测摘要、帧顺序、处理数量、丢帧、EOS和生命周期检查约束隔离变量身份。该正确性结论仅适用于本文冻结工作负载和评价口径。</w:t>
      </w:r>
    </w:p>
    <w:p>
      <w:pPr>
        <w:pStyle w:val="HFUTHeading1"/>
      </w:pPr>
      <w:r>
        <w:t xml:space="preserve">3 </w:t>
      </w:r>
      <w:r>
        <w:rPr>
          <w:rFonts w:hint="eastAsia"/>
        </w:rPr>
        <w:t xml:space="preserve">实验设计</w:t>
      </w:r>
    </w:p>
    <w:p>
      <w:pPr>
        <w:pStyle w:val="HFUTHeading2"/>
      </w:pPr>
      <w:r>
        <w:t xml:space="preserve">3.1 </w:t>
      </w:r>
      <w:r>
        <w:rPr>
          <w:rFonts w:hint="eastAsia"/>
        </w:rPr>
        <w:t xml:space="preserve">实验平台与模型配置</w:t>
      </w:r>
    </w:p>
    <w:p>
      <w:pPr>
        <w:pStyle w:val="HFUTBody"/>
      </w:pPr>
      <w:r>
        <w:rPr>
          <w:rFonts w:hint="eastAsia"/>
        </w:rPr>
        <w:t xml:space="preserve">平台、模型和统一协议见表2。平台与框架条件会影响部署性能</w:t>
      </w:r>
      <w:r>
        <w:rPr>
          <w:vertAlign w:val="superscript"/>
        </w:rPr>
        <w:t xml:space="preserve">[21]</w:t>
      </w:r>
      <w:r>
        <w:rPr>
          <w:rFonts w:hint="eastAsia"/>
        </w:rPr>
        <w:t xml:space="preserve">，本文据此不作跨研究绝对FPS比较，并遵循明确数据与评价边界的基准取向</w:t>
      </w:r>
      <w:r>
        <w:rPr>
          <w:vertAlign w:val="superscript"/>
        </w:rPr>
        <w:t xml:space="preserve">[22]</w:t>
      </w:r>
      <w:r>
        <w:t xml:space="preserve">。</w:t>
      </w:r>
    </w:p>
    <w:p>
      <w:pPr>
        <w:pStyle w:val="HFUTTableCaption"/>
        <w:jc w:val="center"/>
      </w:pPr>
      <w:r>
        <w:rPr>
          <w:rFonts w:hint="eastAsia"/>
          <w:b/>
          <w:bCs/>
        </w:rPr>
        <w:t xml:space="preserve">表2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平台、模型与统一基准协议。</w:t>
      </w:r>
    </w:p>
    <w:tbl>
      <w:tblPr>
        <w:tblStyle w:val="HFUTThreeLineTable"/>
        <w:tblW w:type="dxa" w:w="44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1500"/>
        <w:gridCol w:w="2900"/>
      </w:tblGrid>
      <w:tr>
        <w:trPr>
          <w:tblHeader w:val="on"/>
          <w:cantSplit/>
        </w:trPr>
        <w:tc>
          <w:tcPr>
            <w:tcW w:w="15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tcW w:w="29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设置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平台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NVIDIA Jetson Orin Nano Engineering Reference Developer Kit Super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软件栈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L4T </w:t>
            </w:r>
            <w:r>
              <w:rPr>
                <w:rFonts w:hint="eastAsia"/>
              </w:rPr>
              <w:t xml:space="preserve">R36.5；CUDA</w:t>
            </w:r>
            <w:r>
              <w:t xml:space="preserve"> </w:t>
            </w:r>
            <w:r>
              <w:rPr>
                <w:rFonts w:hint="eastAsia"/>
              </w:rPr>
              <w:t xml:space="preserve">12.6；TensorRT</w:t>
            </w:r>
            <w:r>
              <w:t xml:space="preserve"> </w:t>
            </w:r>
            <w:r>
              <w:rPr>
                <w:rFonts w:hint="eastAsia"/>
              </w:rPr>
              <w:t xml:space="preserve">10.3；OpenCV</w:t>
            </w:r>
            <w:r>
              <w:t xml:space="preserve"> 4.5.4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Detector / </w:t>
            </w:r>
            <w:r>
              <w:rPr>
                <w:rFonts w:hint="eastAsia"/>
              </w:rPr>
              <w:t xml:space="preserve">输入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YOLOv8n；640</w:t>
            </w:r>
            <w:r>
              <w:t xml:space="preserve"> × </w:t>
            </w:r>
            <w:r>
              <w:rPr>
                <w:rFonts w:hint="eastAsia"/>
              </w:rPr>
              <w:t xml:space="preserve">640；batch</w:t>
            </w:r>
            <w:r>
              <w:t xml:space="preserve"> 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Engine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TensorRT </w:t>
            </w:r>
            <w:r>
              <w:rPr>
                <w:rFonts w:hint="eastAsia"/>
              </w:rPr>
              <w:t xml:space="preserve">INT8混合精度（INT8</w:t>
            </w:r>
            <w:r>
              <w:t xml:space="preserve"> + FP16 </w:t>
            </w:r>
            <w:r>
              <w:rPr>
                <w:rFonts w:hint="eastAsia"/>
              </w:rPr>
              <w:t xml:space="preserve">fallback）；Engine输入张量：FP32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校准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1260张去重训练图像；IInt8EntropyCalibrator2；batch</w:t>
            </w:r>
            <w:r>
              <w:t xml:space="preserve"> </w:t>
            </w:r>
            <w:r>
              <w:rPr>
                <w:rFonts w:hint="eastAsia"/>
              </w:rPr>
              <w:t xml:space="preserve">1；排除test</w:t>
            </w:r>
            <w:r>
              <w:t xml:space="preserve"> split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工作负载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固定180张test图像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路径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V0 / V2R / </w:t>
            </w:r>
            <w:r>
              <w:rPr>
                <w:rFonts w:hint="eastAsia"/>
              </w:rPr>
              <w:t xml:space="preserve">V3R；单帧顺序执行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计时协议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60帧预热；每进程1080帧；每路径5个独立进程</w:t>
            </w:r>
          </w:p>
        </w:tc>
      </w:tr>
      <w:tr>
        <w:trPr>
          <w:cantSplit/>
        </w:trPr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正式计时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关闭diagnostics与profiling</w:t>
            </w:r>
          </w:p>
        </w:tc>
      </w:tr>
    </w:tbl>
    <w:p>
      <w:pPr>
        <w:pStyle w:val="HFUTBody"/>
      </w:pPr>
      <w:r>
        <w:rPr>
          <w:rFonts w:hint="eastAsia"/>
        </w:rPr>
        <w:t xml:space="preserve">正式运行采用</w:t>
      </w:r>
      <w:r>
        <w:rPr>
          <w:rStyle w:val="VerbatimChar"/>
        </w:rPr>
        <w:t xml:space="preserve">MAXN_SUPER</w:t>
      </w:r>
      <w:r>
        <w:rPr>
          <w:rFonts w:hint="eastAsia"/>
        </w:rPr>
        <w:t xml:space="preserve">电源模式（</w:t>
      </w:r>
      <w:r>
        <w:rPr>
          <w:rStyle w:val="VerbatimChar"/>
        </w:rPr>
        <w:t xml:space="preserve">nvpmodel</w:t>
      </w:r>
      <w:r>
        <w:t xml:space="preserve"> </w:t>
      </w:r>
      <w:r>
        <w:t xml:space="preserve">mode </w:t>
      </w:r>
      <w:r>
        <w:rPr>
          <w:rFonts w:hint="eastAsia"/>
        </w:rPr>
        <w:t xml:space="preserve">2），未调用</w:t>
      </w:r>
      <w:r>
        <w:rPr>
          <w:rStyle w:val="VerbatimChar"/>
        </w:rPr>
        <w:t xml:space="preserve">jetson_clocks</w:t>
      </w:r>
      <w:r>
        <w:rPr>
          <w:rFonts w:hint="eastAsia"/>
        </w:rPr>
        <w:t xml:space="preserve">，频率未独立归档。运行前温度约46.8–47.1</w:t>
      </w:r>
      <w:r>
        <w:t xml:space="preserve"> </w:t>
      </w:r>
      <w:r>
        <w:rPr>
          <w:rFonts w:hint="eastAsia"/>
        </w:rPr>
        <w:t xml:space="preserve">℃，运行后约48.7–49.6</w:t>
      </w:r>
      <w:r>
        <w:t xml:space="preserve"> </w:t>
      </w:r>
      <w:r>
        <w:rPr>
          <w:rFonts w:hint="eastAsia"/>
        </w:rPr>
        <w:t xml:space="preserve">℃；这些非连续观察不用于判断持续温度、运行时降频或功耗状态。</w:t>
      </w:r>
    </w:p>
    <w:p>
      <w:pPr>
        <w:pStyle w:val="HFUTHeading2"/>
      </w:pPr>
      <w:r>
        <w:t xml:space="preserve">3.2 </w:t>
      </w:r>
      <w:r>
        <w:rPr>
          <w:rFonts w:hint="eastAsia"/>
        </w:rPr>
        <w:t xml:space="preserve">数据集与统一运行协议</w:t>
      </w:r>
    </w:p>
    <w:p>
      <w:pPr>
        <w:pStyle w:val="HFUTBody"/>
      </w:pPr>
      <w:r>
        <w:rPr>
          <w:rFonts w:hint="eastAsia"/>
        </w:rPr>
        <w:t xml:space="preserve">性能实验使用同一manifest限定的split-v2固定180幅测试图像及顺序。每个独立进程预热60帧，同步并重置测量窗口后测量1080帧；每条路径执行5个独立进程，形成5400个逐帧延迟样本，三条路径共15个进程和16200个样本，不在路径间构造运行配对。</w:t>
      </w:r>
    </w:p>
    <w:p>
      <w:pPr>
        <w:pStyle w:val="HFUTBody"/>
      </w:pPr>
      <w:r>
        <w:rPr>
          <w:rFonts w:hint="eastAsia"/>
        </w:rPr>
        <w:t xml:space="preserve">15个独立进程按预先设定的交错顺序执行。全部进程均处理1080个测量帧、丢帧为0，并通过输入顺序、EOS和生命周期准入；逐帧diagnostics与profiling保持关闭。</w:t>
      </w:r>
    </w:p>
    <w:p>
      <w:pPr>
        <w:pStyle w:val="HFUTHeading2"/>
      </w:pPr>
      <w:r>
        <w:t xml:space="preserve">3.3 </w:t>
      </w:r>
      <w:r>
        <w:rPr>
          <w:rFonts w:hint="eastAsia"/>
        </w:rPr>
        <w:t xml:space="preserve">正确性与性能指标</w:t>
      </w:r>
    </w:p>
    <w:p>
      <w:pPr>
        <w:pStyle w:val="HFUTBody"/>
      </w:pPr>
      <w:r>
        <w:rPr>
          <w:rFonts w:hint="eastAsia"/>
        </w:rPr>
        <w:t xml:space="preserve">正确性采用冻结测试集和统一评价器，报告Precision、Recall、mAP50、mAP50-95及类别级AP50/Recall；V3R对冻结预测结果确定性重算，并结合V2R/V3R摘要校验与生命周期身份检查。</w:t>
      </w:r>
    </w:p>
    <w:p>
      <w:pPr>
        <w:pStyle w:val="HFUTBody"/>
        <w:spacing w:before="0" w:after="0" w:line="360" w:lineRule="atLeast"/>
      </w:pPr>
      <w:r>
        <w:rPr>
          <w:rFonts w:hint="eastAsia"/>
        </w:rPr>
        <w:t xml:space="preserve">对第</w:t>
      </w:r>
      <ns5:oMath>
        <ns5:r>
          <ns5:t>i</ns5:t>
        </ns5:r>
      </ns5:oMath>
      <w:r>
        <w:rPr>
          <w:rFonts w:hint="eastAsia"/>
        </w:rPr>
        <w:t xml:space="preserve">个独立进程，FPS定义为</w:t>
      </w:r>
    </w:p>
    <w:p>
      <w:pPr>
        <w:pStyle w:val="HFUTEquation"/>
      </w:pPr>
      <ns5:oMathPara>
        <ns5:oMathParaPr>
          <ns5:jc ns5:val="center"/>
        </ns5:oMathParaPr>
        <ns5:oMath>
          <ns5:sSub>
            <ns5:e>
              <ns5:r>
                <ns5:t>f</ns5:t>
              </ns5:r>
            </ns5:e>
            <ns5:sub>
              <ns5:r>
                <ns5:t>i</ns5:t>
              </ns5:r>
            </ns5:sub>
          </ns5:sSub>
          <ns5:r>
            <ns5:rPr>
              <ns5:sty ns5:val="p"/>
            </ns5:rPr>
            <ns5:t>=</ns5:t>
          </ns5:r>
          <ns5:f>
            <ns5:fPr>
              <ns5:type ns5:val="bar"/>
            </ns5:fPr>
            <ns5:num>
              <ns5:r>
                <ns5:t>N</ns5:t>
              </ns5:r>
            </ns5:num>
            <ns5:den>
              <ns5:sSub>
                <ns5:e>
                  <ns5:r>
                    <ns5:t>T</ns5:t>
                  </ns5:r>
                </ns5:e>
                <ns5:sub>
                  <ns5:r>
                    <ns5:t>i</ns5:t>
                  </ns5:r>
                </ns5:sub>
              </ns5:sSub>
            </ns5:den>
          </ns5:f>
          <ns5:r>
            <ns5:rPr>
              <ns5:sty ns5:val="p"/>
            </ns5:rPr>
            <ns5:t>,</ns5:t>
          </ns5:r>
        </ns5:oMath>
      </ns5:oMathPara>
    </w:p>
    <w:p>
      <w:pPr>
        <w:pStyle w:val="HFUTBody"/>
        <w:spacing w:before="0" w:after="0" w:line="360" w:lineRule="atLeast"/>
      </w:pPr>
      <w:r>
        <w:rPr>
          <w:rFonts w:hint="eastAsia"/>
        </w:rPr>
        <w:t xml:space="preserve">其中</w:t>
      </w:r>
      <ns5:oMath>
        <ns5:r>
          <ns5:t>N</ns5:t>
        </ns5:r>
        <ns5:r>
          <ns5:rPr>
            <ns5:sty ns5:val="p"/>
          </ns5:rPr>
          <ns5:t>=</ns5:t>
        </ns5:r>
        <ns5:r>
          <ns5:t>1080</ns5:t>
        </ns5:r>
      </ns5:oMath>
      <w:r>
        <w:rPr>
          <w:rFonts w:hint="eastAsia"/>
        </w:rPr>
        <w:t xml:space="preserve">，</w:t>
      </w:r>
      <ns5:oMath>
        <ns5:sSub>
          <ns5:e>
            <ns5:r>
              <ns5:t>T</ns5:t>
            </ns5:r>
          </ns5:e>
          <ns5:sub>
            <ns5:r>
              <ns5:t>i</ns5:t>
            </ns5:r>
          </ns5:sub>
        </ns5:sSub>
      </ns5:oMath>
      <w:r>
        <w:rPr>
          <w:rFonts w:hint="eastAsia"/>
        </w:rPr>
        <w:t xml:space="preserve">为测量阶段wall</w:t>
      </w:r>
      <w:r>
        <w:t xml:space="preserve"> </w:t>
      </w:r>
      <w:r>
        <w:rPr>
          <w:rFonts w:hint="eastAsia"/>
        </w:rPr>
        <w:t xml:space="preserve">time。每条路径的平均FPS为5个独立进程级FPS的算术平均，误差棒为这5个值的样本标准差。逐帧延迟采用source-to-pre-sink边界，每条路径合并5400个样本计算均值、P95和P99。百分位采用Type-7线性插值：将延迟样本升序记为</w:t>
      </w:r>
      <ns5:oMath>
        <ns5:sSub>
          <ns5:e>
            <ns5:r>
              <ns5:t>x</ns5:t>
            </ns5:r>
          </ns5:e>
          <ns5:sub>
            <ns5:r>
              <ns5:rPr>
                <ns5:sty ns5:val="p"/>
              </ns5:rPr>
              <ns5:t>(</ns5:t>
            </ns5:r>
            <ns5:r>
              <ns5:t>1</ns5:t>
            </ns5:r>
            <ns5:r>
              <ns5:rPr>
                <ns5:sty ns5:val="p"/>
              </ns5:rPr>
              <ns5:t>)</ns5:t>
            </ns5:r>
          </ns5:sub>
        </ns5:sSub>
        <ns5:r>
          <ns5:rPr>
            <ns5:sty ns5:val="p"/>
          </ns5:rPr>
          <ns5:t>≤</ns5:t>
        </ns5:r>
        <ns5:r>
          <ns5:rPr>
            <ns5:sty ns5:val="p"/>
          </ns5:rPr>
          <ns5:t>⋯</ns5:t>
        </ns5:r>
        <ns5:r>
          <ns5:rPr>
            <ns5:sty ns5:val="p"/>
          </ns5:rPr>
          <ns5:t>≤</ns5:t>
        </ns5:r>
        <ns5:sSub>
          <ns5:e>
            <ns5:r>
              <ns5:t>x</ns5:t>
            </ns5:r>
          </ns5:e>
          <ns5:sub>
            <ns5:r>
              <ns5:rPr>
                <ns5:sty ns5:val="p"/>
              </ns5:rPr>
              <ns5:t>(</ns5:t>
            </ns5:r>
            <ns5:r>
              <ns5:t>n</ns5:t>
            </ns5:r>
            <ns5:r>
              <ns5:rPr>
                <ns5:sty ns5:val="p"/>
              </ns5:rPr>
              <ns5:t>)</ns5:t>
            </ns5:r>
          </ns5:sub>
        </ns5:sSub>
      </ns5:oMath>
      <w:r>
        <w:rPr>
          <w:rFonts w:hint="eastAsia"/>
        </w:rPr>
        <w:t xml:space="preserve">，对本文</w:t>
      </w:r>
      <ns5:oMath>
        <ns5:r>
          <ns5:t>p</ns5:t>
        </ns5:r>
        <ns5:r>
          <ns5:rPr>
            <ns5:sty ns5:val="p"/>
          </ns5:rPr>
          <ns5:t>=</ns5:t>
        </ns5:r>
        <ns5:r>
          <ns5:t>0.95</ns5:t>
        </ns5:r>
      </ns5:oMath>
      <w:r>
        <w:rPr>
          <w:rFonts w:hint="eastAsia"/>
        </w:rPr>
        <w:t xml:space="preserve">或</w:t>
      </w:r>
      <ns5:oMath>
        <ns5:r>
          <ns5:t>p</ns5:t>
        </ns5:r>
        <ns5:r>
          <ns5:rPr>
            <ns5:sty ns5:val="p"/>
          </ns5:rPr>
          <ns5:t>=</ns5:t>
        </ns5:r>
        <ns5:r>
          <ns5:t>0.99</ns5:t>
        </ns5:r>
      </ns5:oMath>
      <w:r>
        <w:rPr>
          <w:rFonts w:hint="eastAsia"/>
        </w:rPr>
        <w:t xml:space="preserve">，令</w:t>
      </w:r>
      <ns5:oMath>
        <ns5:r>
          <ns5:t>h</ns5:t>
        </ns5:r>
        <ns5:r>
          <ns5:rPr>
            <ns5:sty ns5:val="p"/>
          </ns5:rPr>
          <ns5:t>=</ns5:t>
        </ns5:r>
        <ns5:r>
          <ns5:t>1</ns5:t>
        </ns5:r>
        <ns5:r>
          <ns5:rPr>
            <ns5:sty ns5:val="p"/>
          </ns5:rPr>
          <ns5:t>+</ns5:t>
        </ns5:r>
        <ns5:r>
          <ns5:rPr>
            <ns5:sty ns5:val="p"/>
          </ns5:rPr>
          <ns5:t>(</ns5:t>
        </ns5:r>
        <ns5:r>
          <ns5:t>n</ns5:t>
        </ns5:r>
        <ns5:r>
          <ns5:rPr>
            <ns5:sty ns5:val="p"/>
          </ns5:rPr>
          <ns5:t>−</ns5:t>
        </ns5:r>
        <ns5:r>
          <ns5:t>1</ns5:t>
        </ns5:r>
        <ns5:r>
          <ns5:rPr>
            <ns5:sty ns5:val="p"/>
          </ns5:rPr>
          <ns5:t>)</ns5:t>
        </ns5:r>
        <ns5:r>
          <ns5:t>p</ns5:t>
        </ns5:r>
      </ns5:oMath>
      <w:r>
        <w:t xml:space="preserve">、</w:t>
      </w:r>
      <ns5:oMath>
        <ns5:r>
          <ns5:t>j</ns5:t>
        </ns5:r>
        <ns5:r>
          <ns5:rPr>
            <ns5:sty ns5:val="p"/>
          </ns5:rPr>
          <ns5:t>=</ns5:t>
        </ns5:r>
        <ns5:r>
          <ns5:rPr>
            <ns5:sty ns5:val="p"/>
          </ns5:rPr>
          <ns5:t>⌊</ns5:t>
        </ns5:r>
        <ns5:r>
          <ns5:t>h</ns5:t>
        </ns5:r>
        <ns5:r>
          <ns5:rPr>
            <ns5:sty ns5:val="p"/>
          </ns5:rPr>
          <ns5:t>⌋</ns5:t>
        </ns5:r>
      </ns5:oMath>
      <w:r>
        <w:t xml:space="preserve">、</w:t>
      </w:r>
      <ns5:oMath>
        <ns5:r>
          <ns5:t>γ</ns5:t>
        </ns5:r>
        <ns5:r>
          <ns5:rPr>
            <ns5:sty ns5:val="p"/>
          </ns5:rPr>
          <ns5:t>=</ns5:t>
        </ns5:r>
        <ns5:r>
          <ns5:t>h</ns5:t>
        </ns5:r>
        <ns5:r>
          <ns5:rPr>
            <ns5:sty ns5:val="p"/>
          </ns5:rPr>
          <ns5:t>−</ns5:t>
        </ns5:r>
        <ns5:r>
          <ns5:t>j</ns5:t>
        </ns5:r>
      </ns5:oMath>
      <w:r>
        <w:rPr>
          <w:rFonts w:hint="eastAsia"/>
        </w:rPr>
        <w:t xml:space="preserve">，则内部位置的</w:t>
      </w:r>
      <ns5:oMath>
        <ns5:sSub>
          <ns5:e>
            <ns5:r>
              <ns5:t>Q</ns5:t>
            </ns5:r>
          </ns5:e>
          <ns5:sub>
            <ns5:r>
              <ns5:t>p</ns5:t>
            </ns5:r>
          </ns5:sub>
        </ns5:sSub>
        <ns5:r>
          <ns5:rPr>
            <ns5:sty ns5:val="p"/>
          </ns5:rPr>
          <ns5:t>=</ns5:t>
        </ns5:r>
        <ns5:r>
          <ns5:rPr>
            <ns5:sty ns5:val="p"/>
          </ns5:rPr>
          <ns5:t>(</ns5:t>
        </ns5:r>
        <ns5:r>
          <ns5:t>1</ns5:t>
        </ns5:r>
        <ns5:r>
          <ns5:rPr>
            <ns5:sty ns5:val="p"/>
          </ns5:rPr>
          <ns5:t>−</ns5:t>
        </ns5:r>
        <ns5:r>
          <ns5:t>γ</ns5:t>
        </ns5:r>
        <ns5:r>
          <ns5:rPr>
            <ns5:sty ns5:val="p"/>
          </ns5:rPr>
          <ns5:t>)</ns5:t>
        </ns5:r>
        <ns5:sSub>
          <ns5:e>
            <ns5:r>
              <ns5:t>x</ns5:t>
            </ns5:r>
          </ns5:e>
          <ns5:sub>
            <ns5:r>
              <ns5:rPr>
                <ns5:sty ns5:val="p"/>
              </ns5:rPr>
              <ns5:t>(</ns5:t>
            </ns5:r>
            <ns5:r>
              <ns5:t>j</ns5:t>
            </ns5:r>
            <ns5:r>
              <ns5:rPr>
                <ns5:sty ns5:val="p"/>
              </ns5:rPr>
              <ns5:t>)</ns5:t>
            </ns5:r>
          </ns5:sub>
        </ns5:sSub>
        <ns5:r>
          <ns5:rPr>
            <ns5:sty ns5:val="p"/>
          </ns5:rPr>
          <ns5:t>+</ns5:t>
        </ns5:r>
        <ns5:r>
          <ns5:t>γ</ns5:t>
        </ns5:r>
        <ns5:sSub>
          <ns5:e>
            <ns5:r>
              <ns5:t>x</ns5:t>
            </ns5:r>
          </ns5:e>
          <ns5:sub>
            <ns5:r>
              <ns5:rPr>
                <ns5:sty ns5:val="p"/>
              </ns5:rPr>
              <ns5:t>(</ns5:t>
            </ns5:r>
            <ns5:r>
              <ns5:t>j</ns5:t>
            </ns5:r>
            <ns5:r>
              <ns5:rPr>
                <ns5:sty ns5:val="p"/>
              </ns5:rPr>
              <ns5:t>+</ns5:t>
            </ns5:r>
            <ns5:r>
              <ns5:t>1</ns5:t>
            </ns5:r>
            <ns5:r>
              <ns5:rPr>
                <ns5:sty ns5:val="p"/>
              </ns5:rPr>
              <ns5:t>)</ns5:t>
            </ns5:r>
          </ns5:sub>
        </ns5:sSub>
      </ns5:oMath>
      <w:r>
        <w:rPr>
          <w:rFonts w:hint="eastAsia"/>
        </w:rPr>
        <w:t xml:space="preserve">。所有统计均为描述性结果，不进行置信区间、假设检验或统计显著性推断。</w:t>
      </w:r>
    </w:p>
    <w:p>
      <w:pPr>
        <w:pStyle w:val="HFUTHeading1"/>
      </w:pPr>
      <w:r>
        <w:t xml:space="preserve">4 </w:t>
      </w:r>
      <w:r>
        <w:rPr>
          <w:rFonts w:hint="eastAsia"/>
        </w:rPr>
        <w:t xml:space="preserve">结果与分析</w:t>
      </w:r>
    </w:p>
    <w:p>
      <w:pPr>
        <w:pStyle w:val="HFUTHeading2"/>
      </w:pPr>
      <w:r>
        <w:t xml:space="preserve">4.1 </w:t>
      </w:r>
      <w:r>
        <w:rPr>
          <w:rFonts w:hint="eastAsia"/>
        </w:rPr>
        <w:t xml:space="preserve">正确性</w:t>
      </w:r>
    </w:p>
    <w:p>
      <w:pPr>
        <w:pStyle w:val="HFUTBody"/>
      </w:pPr>
      <w:r>
        <w:rPr>
          <w:rFonts w:hint="eastAsia"/>
        </w:rPr>
        <w:t xml:space="preserve">三条路径在冻结180幅测试图像和统一评价程序下获得相同的汇总任务指标，类别级最大AP50与Recall路径间差异均为0，结果见表3。V3R由同一评价器对冻结预测结果确定性重算，并非新的推理或参数选择；该一致性不扩展为逐位相等或未来输入上的普适结论。</w:t>
      </w:r>
    </w:p>
    <w:p>
      <w:pPr>
        <w:pStyle w:val="HFUTTableCaption"/>
        <w:jc w:val="center"/>
      </w:pPr>
      <w:r>
        <w:rPr>
          <w:rFonts w:hint="eastAsia"/>
          <w:b/>
          <w:bCs/>
        </w:rPr>
        <w:t xml:space="preserve">表3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三条路径在冻结工作负载和统一评价程序下的任务级正确性。</w:t>
      </w:r>
    </w:p>
    <w:tbl>
      <w:tblPr>
        <w:tblStyle w:val="HFUTThreeLineTable"/>
        <w:tblW w:type="dxa" w:w="440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ook w:firstRow="1" w:lastRow="0" w:firstColumn="0" w:lastColumn="0" w:noHBand="0" w:noVBand="0" w:val="0020"/>
      </w:tblPr>
      <w:tblGrid>
        <w:gridCol w:w="1000"/>
        <w:gridCol w:w="3400"/>
      </w:tblGrid>
      <w:tr>
        <w:trPr>
          <w:tblHeader w:val="on"/>
          <w:cantSplit/>
        </w:trPr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jc w:val="center"/>
            </w:pPr>
            <w:r>
              <w:t xml:space="preserve">Path</w:t>
            </w:r>
          </w:p>
        </w:tc>
        <w:tc>
          <w:tcPr>
            <w:tcW w:w="34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jc w:val="center"/>
            </w:pPr>
            <w:r>
              <w:t xml:space="preserve">P / R / mAP50 / mAP50-95</w:t>
            </w:r>
          </w:p>
        </w:tc>
      </w:tr>
      <w:tr>
        <w:trPr>
          <w:cantSplit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jc w:val="left"/>
            </w:pPr>
            <w:r>
              <w:t xml:space="preserve">V0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jc w:val="center"/>
            </w:pPr>
            <w:r>
              <w:t xml:space="preserve">0.6913 / 0.6991 / 0.6476 / 0.3523</w:t>
            </w:r>
          </w:p>
        </w:tc>
      </w:tr>
      <w:tr>
        <w:trPr>
          <w:cantSplit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jc w:val="left"/>
            </w:pPr>
            <w:r>
              <w:t xml:space="preserve">V2R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jc w:val="center"/>
            </w:pPr>
            <w:r>
              <w:t xml:space="preserve">0.6913 / 0.6991 / 0.6476 / 0.3523</w:t>
            </w:r>
          </w:p>
        </w:tc>
      </w:tr>
      <w:tr>
        <w:trPr>
          <w:cantSplit/>
        </w:trPr>
        <w:tc>
          <w:tcPr>
            <w:tcW w:w="10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jc w:val="left"/>
            </w:pPr>
            <w:r>
              <w:t xml:space="preserve">V3R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jc w:val="center"/>
            </w:pPr>
            <w:r>
              <w:t xml:space="preserve">0.6913 / 0.6991 / 0.6476 / 0.3523</w:t>
            </w:r>
          </w:p>
        </w:tc>
      </w:tr>
    </w:tbl>
    <w:p>
      <w:pPr>
        <w:pStyle w:val="HFUTHeading2"/>
      </w:pPr>
      <w:r>
        <w:t xml:space="preserve">4.2 </w:t>
      </w:r>
      <w:r>
        <w:rPr>
          <w:rFonts w:hint="eastAsia"/>
        </w:rPr>
        <w:t xml:space="preserve">整体E2E性能</w:t>
      </w:r>
    </w:p>
    <w:p>
      <w:pPr>
        <w:pStyle w:val="HFUTBody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2" w:space="425"/>
          <w:docGrid w:linePitch="360"/>
        </w:sectPr>
      </w:pPr>
      <w:r>
        <w:rPr>
          <w:rFonts w:hint="eastAsia"/>
        </w:rPr>
        <w:t xml:space="preserve">V2R相对V0达到2.24×</w:t>
      </w:r>
      <w:r>
        <w:t xml:space="preserve"> </w:t>
      </w:r>
      <w:r>
        <w:rPr>
          <w:rFonts w:hint="eastAsia"/>
        </w:rPr>
        <w:t xml:space="preserve">FPS，平均延迟降低55.45%，构成完整输入形成路径重构的主要E2E平均性能增量。V3R相对V2R的FPS变化为+4.07%，平均延迟变化为−4.03%，表明pageable→pinned暂存只带来有限平均增量，整体结果见图3。</w:t>
      </w:r>
    </w:p>
    <w:p>
      <w:pPr>
        <w:pStyle w:val="BodyText"/>
        <w:keepNext/>
        <w:spacing w:before="0" w:after="0" w:line="320" w:lineRule="atLeast"/>
        <w:ind w:firstLine="0"/>
        <w:jc w:val="center"/>
      </w:pPr>
      <w:r>
        <w:drawing>
          <ns2:inline>
            <ns2:extent cx="5759999" cy="2212571"/>
            <ns2:effectExtent b="0" l="0" r="0" t="0"/>
            <ns2:docPr descr="" title="" id="20" name="Picture"/>
            <ns3:graphic>
              <ns3:graphicData uri="http://schemas.openxmlformats.org/drawingml/2006/picture">
                <ns4:pic>
                  <ns4:nvPicPr>
                    <ns4:cNvPr descr="fig3_main_e2e_phase56.png" id="21" name="Picture"/>
                    <ns4:cNvPicPr>
                      <ns3:picLocks noChangeArrowheads="1" noChangeAspect="1"/>
                    </ns4:cNvPicPr>
                  </ns4:nvPicPr>
                  <ns4:blipFill>
                    <ns3:blip ns1:embed="rId19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59999" cy="2212571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HFUTFigureCaption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1" w:space="425"/>
          <w:docGrid w:linePitch="360"/>
        </w:sectPr>
      </w:pPr>
      <w:r>
        <w:rPr>
          <w:rFonts w:hint="eastAsia"/>
          <w:b/>
          <w:bCs/>
        </w:rPr>
        <w:t xml:space="preserve">图3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三条路径的端到端性能。(a)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为5个独立进程FPS的均值±样本标准差；(b)(c)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为每条路径合并5400个延迟样本的均值、P95和P99。</w:t>
      </w:r>
    </w:p>
    <w:p>
      <w:pPr>
        <w:pStyle w:val="HFUTHeading2"/>
      </w:pPr>
      <w:r>
        <w:t xml:space="preserve">4.3 </w:t>
      </w:r>
      <w:r>
        <w:rPr>
          <w:rFonts w:hint="eastAsia"/>
        </w:rPr>
        <w:t xml:space="preserve">数据路径分析</w:t>
      </w:r>
    </w:p>
    <w:p>
      <w:pPr>
        <w:pStyle w:val="HFUTBody"/>
      </w:pPr>
      <w:r>
        <w:rPr>
          <w:rFonts w:hint="eastAsia"/>
        </w:rPr>
        <w:t xml:space="preserve">V0复制</w:t>
      </w:r>
      <w:r>
        <w:rPr>
          <w:rStyle w:val="VerbatimChar"/>
        </w:rPr>
        <w:t xml:space="preserve">1×3×640×640×4=4.9152 MB/frame</w:t>
      </w:r>
      <w:r>
        <w:rPr>
          <w:rFonts w:hint="eastAsia"/>
        </w:rPr>
        <w:t xml:space="preserve">的FP32</w:t>
      </w:r>
      <w:r>
        <w:t xml:space="preserve"> </w:t>
      </w:r>
      <w:r>
        <w:rPr>
          <w:rFonts w:hint="eastAsia"/>
        </w:rPr>
        <w:t xml:space="preserve">NCHW输入，V2R/V3R复制</w:t>
      </w:r>
      <w:r>
        <w:rPr>
          <w:rStyle w:val="VerbatimChar"/>
        </w:rPr>
        <w:t xml:space="preserve">600×200=0.1200 MB/frame</w:t>
      </w:r>
      <w:r>
        <w:rPr>
          <w:rFonts w:hint="eastAsia"/>
        </w:rPr>
        <w:t xml:space="preserve">的packed</w:t>
      </w:r>
      <w:r>
        <w:t xml:space="preserve"> </w:t>
      </w:r>
      <w:r>
        <w:rPr>
          <w:rFonts w:hint="eastAsia"/>
        </w:rPr>
        <w:t xml:space="preserve">BGR输入，名义输入复制载荷比为40.96×。这是名义输入复制载荷，不是实测总线流量、带宽、H2D时间，也不能作为测得2.24×</w:t>
      </w:r>
      <w:r>
        <w:t xml:space="preserve"> </w:t>
      </w:r>
      <w:r>
        <w:rPr>
          <w:rFonts w:hint="eastAsia"/>
        </w:rPr>
        <w:t xml:space="preserve">E2E结果的独立因果解释。</w:t>
      </w:r>
    </w:p>
    <w:p>
      <w:pPr>
        <w:pStyle w:val="HFUTHeading2"/>
      </w:pPr>
      <w:r>
        <w:t xml:space="preserve">4.4 </w:t>
      </w:r>
      <w:r>
        <w:rPr>
          <w:rFonts w:hint="eastAsia"/>
        </w:rPr>
        <w:t xml:space="preserve">运行级分布与尾延迟</w:t>
      </w:r>
    </w:p>
    <w:p>
      <w:pPr>
        <w:pStyle w:val="HFUTBody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2" w:space="425"/>
          <w:docGrid w:linePitch="360"/>
        </w:sectPr>
      </w:pPr>
      <w:r>
        <w:rPr>
          <w:rFonts w:hint="eastAsia"/>
        </w:rPr>
        <w:t xml:space="preserve">5个独立进程中，V2R与V3R的进程级FPS范围分别为121.443–122.759和125.595–128.301，进程平均延迟范围分别为8.098–8.185</w:t>
      </w:r>
      <w:r>
        <w:t xml:space="preserve"> </w:t>
      </w:r>
      <w:r>
        <w:rPr>
          <w:rFonts w:hint="eastAsia"/>
        </w:rPr>
        <w:t xml:space="preserve">ms和7.740–7.894</w:t>
      </w:r>
      <w:r>
        <w:t xml:space="preserve"> </w:t>
      </w:r>
      <w:r>
        <w:rPr>
          <w:rFonts w:hint="eastAsia"/>
        </w:rPr>
        <w:t xml:space="preserve">ms，分布见图4。上述FPS范围与相应平均延迟范围均不重叠，说明约4%的平均差异在5个独立进程的运行级分布中重复观察到，而非仅由单一异常进程产生；但不同路径的进程独立且不配对，本文不据此进行显著性推断。</w:t>
      </w:r>
    </w:p>
    <w:p>
      <w:pPr>
        <w:pStyle w:val="BodyText"/>
        <w:keepNext/>
        <w:spacing w:before="0" w:after="0" w:line="320" w:lineRule="atLeast"/>
        <w:ind w:firstLine="0"/>
        <w:jc w:val="center"/>
      </w:pPr>
      <w:r>
        <w:drawing>
          <ns2:inline>
            <ns2:extent cx="5759999" cy="2578285"/>
            <ns2:effectExtent b="0" l="0" r="0" t="0"/>
            <ns2:docPr descr="" title="" id="23" name="Picture"/>
            <ns3:graphic>
              <ns3:graphicData uri="http://schemas.openxmlformats.org/drawingml/2006/picture">
                <ns4:pic>
                  <ns4:nvPicPr>
                    <ns4:cNvPr descr="fig4_run_level_distribution_phase56.png" id="24" name="Picture"/>
                    <ns4:cNvPicPr>
                      <ns3:picLocks noChangeArrowheads="1" noChangeAspect="1"/>
                    </ns4:cNvPicPr>
                  </ns4:nvPicPr>
                  <ns4:blipFill>
                    <ns3:blip ns1:embed="rId2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59999" cy="2578285"/>
                    </ns3:xfrm>
                    <ns3:prstGeom prst="rect">
                      <ns3:avLst/>
                    </ns3:prstGeom>
                    <ns3:noFill/>
                    <ns3:ln w="9525">
                      <ns3:noFill/>
                      <ns3:headEnd/>
                      <ns3:tailEnd/>
                    </ns3:ln>
                  </ns4:spPr>
                </ns4:pic>
              </ns3:graphicData>
            </ns3:graphic>
          </ns2:inline>
        </w:drawing>
      </w:r>
    </w:p>
    <w:p>
      <w:pPr>
        <w:pStyle w:val="HFUTFigureCaption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1" w:space="425"/>
          <w:docGrid w:linePitch="360"/>
        </w:sectPr>
      </w:pPr>
      <w:r>
        <w:rPr>
          <w:rFonts w:hint="eastAsia"/>
          <w:b/>
          <w:bCs/>
        </w:rPr>
        <w:t xml:space="preserve">图4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运行级分布与尾延迟。各点为独立进程级描述量，横向偏移仅用于区分，不表示运行配对。</w:t>
      </w:r>
    </w:p>
    <w:p>
      <w:pPr>
        <w:pStyle w:val="HFUTBody"/>
      </w:pPr>
      <w:r>
        <w:rPr>
          <w:rFonts w:hint="eastAsia"/>
        </w:rPr>
        <w:t xml:space="preserve">V3R相对V2R的合并样本P95变化为+0.15%，P99变化为−0.12%；两项变化均低于0.2%且方向相反，未形成一致的尾延迟改善证据。平均性能和尾部结果应分别解读。</w:t>
      </w:r>
    </w:p>
    <w:p>
      <w:pPr>
        <w:pStyle w:val="HFUTHeading2"/>
      </w:pPr>
      <w:r>
        <w:t xml:space="preserve">4.5 </w:t>
      </w:r>
      <w:r>
        <w:rPr>
          <w:rFonts w:hint="eastAsia"/>
        </w:rPr>
        <w:t xml:space="preserve">相关工作定位</w:t>
      </w:r>
    </w:p>
    <w:p>
      <w:pPr>
        <w:pStyle w:val="HFUTBody"/>
      </w:pPr>
      <w:r>
        <w:rPr>
          <w:rFonts w:hint="eastAsia"/>
        </w:rPr>
        <w:t xml:space="preserve">表4的五维定位分别判断预处理是否移至GPU、host暂存是否成为变量、完整E2E是否覆盖预处理—模型执行—后处理/结果处理，以及路径比较是否验证任务正确性和报告均值外的百分位尾延迟。Kim</w:t>
      </w:r>
      <w:r>
        <w:t xml:space="preserve"> et </w:t>
      </w:r>
      <w:r>
        <w:rPr>
          <w:rFonts w:hint="eastAsia"/>
        </w:rPr>
        <w:t xml:space="preserve">al.与Tang</w:t>
      </w:r>
      <w:r>
        <w:t xml:space="preserve"> &amp; </w:t>
      </w:r>
      <w:r>
        <w:rPr>
          <w:rFonts w:hint="eastAsia"/>
        </w:rPr>
        <w:t xml:space="preserve">Qian关注完整边缘/Jetson路径</w:t>
      </w:r>
      <w:r>
        <w:rPr>
          <w:vertAlign w:val="superscript"/>
        </w:rPr>
        <w:t xml:space="preserve">[14,19]</w:t>
      </w:r>
      <w:r>
        <w:rPr>
          <w:rFonts w:hint="eastAsia"/>
        </w:rPr>
        <w:t xml:space="preserve">，PRESTO关注GPU预处理</w:t>
      </w:r>
      <w:r>
        <w:rPr>
          <w:vertAlign w:val="superscript"/>
        </w:rPr>
        <w:t xml:space="preserve">[8]</w:t>
      </w:r>
      <w:r>
        <w:rPr>
          <w:rFonts w:hint="eastAsia"/>
        </w:rPr>
        <w:t xml:space="preserve">，Shin</w:t>
      </w:r>
      <w:r>
        <w:t xml:space="preserve"> &amp; </w:t>
      </w:r>
      <w:r>
        <w:rPr>
          <w:rFonts w:hint="eastAsia"/>
        </w:rPr>
        <w:t xml:space="preserve">Kim报告Jetson任务正确性</w:t>
      </w:r>
      <w:r>
        <w:rPr>
          <w:vertAlign w:val="superscript"/>
        </w:rPr>
        <w:t xml:space="preserve">[21]</w:t>
      </w:r>
      <w:r>
        <w:rPr>
          <w:rFonts w:hint="eastAsia"/>
        </w:rPr>
        <w:t xml:space="preserve">，Bateni</w:t>
      </w:r>
      <w:r>
        <w:t xml:space="preserve"> et </w:t>
      </w:r>
      <w:r>
        <w:rPr>
          <w:rFonts w:hint="eastAsia"/>
        </w:rPr>
        <w:t xml:space="preserve">al.研究host/managed/pinned内存但排除CPU预处理</w:t>
      </w:r>
      <w:r>
        <w:rPr>
          <w:vertAlign w:val="superscript"/>
        </w:rPr>
        <w:t xml:space="preserve">[16]</w:t>
      </w:r>
      <w:r>
        <w:rPr>
          <w:rFonts w:hint="eastAsia"/>
        </w:rPr>
        <w:t xml:space="preserve">。本文据此定性定位固定检测器/Engine下的路径证据，不作首次性、唯一性或跨论文性能排名。</w:t>
      </w:r>
    </w:p>
    <w:p>
      <w:pPr>
        <w:pStyle w:val="HFUTBody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2" w:space="425"/>
          <w:docGrid w:linePitch="360"/>
        </w:sectPr>
      </w:pPr>
      <w:r>
        <w:rPr>
          <w:rFonts w:hint="eastAsia"/>
        </w:rPr>
        <w:t xml:space="preserve">分类见表4。“完整E2E”表示所报告边界覆盖预处理、模型执行及后处理/结果处理；未报告信息不视为否定，表中“明确否”仅用于原文明示排除的情形。</w:t>
      </w:r>
    </w:p>
    <w:p>
      <w:pPr>
        <w:pStyle w:val="HFUTTableCaption"/>
        <w:jc w:val="center"/>
      </w:pPr>
      <w:r>
        <w:rPr>
          <w:rFonts w:hint="eastAsia"/>
          <w:b/>
          <w:bCs/>
        </w:rPr>
        <w:t xml:space="preserve">表4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相关工作的定性定位。“未报告”不等同于“否”。</w:t>
      </w:r>
    </w:p>
    <w:tbl>
      <w:tblPr>
        <w:tblStyle w:val="HFUTThreeLineTable"/>
        <w:tblW w:type="dxa" w:w="9172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ook w:firstRow="1" w:lastRow="0" w:firstColumn="0" w:lastColumn="0" w:noHBand="0" w:noVBand="0" w:val="0020"/>
      </w:tblPr>
      <w:tblGrid>
        <w:gridCol w:w="2100"/>
        <w:gridCol w:w="1414"/>
        <w:gridCol w:w="1414"/>
        <w:gridCol w:w="1414"/>
        <w:gridCol w:w="1414"/>
        <w:gridCol w:w="1416"/>
      </w:tblGrid>
      <w:tr>
        <w:trPr>
          <w:tblHeader w:val="on"/>
          <w:cantSplit/>
        </w:trPr>
        <w:tc>
          <w:tcPr>
            <w:tcW w:w="210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工作</w:t>
            </w:r>
          </w:p>
        </w:tc>
        <w:tc>
          <w:tcPr>
            <w:tcW w:w="141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GPU预处理</w:t>
            </w:r>
          </w:p>
        </w:tc>
        <w:tc>
          <w:tcPr>
            <w:tcW w:w="141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host内存策略</w:t>
            </w:r>
          </w:p>
        </w:tc>
        <w:tc>
          <w:tcPr>
            <w:tcW w:w="141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完整E2E</w:t>
            </w:r>
          </w:p>
        </w:tc>
        <w:tc>
          <w:tcPr>
            <w:tcW w:w="141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任务正确性</w:t>
            </w:r>
          </w:p>
        </w:tc>
        <w:tc>
          <w:tcPr>
            <w:tcW w:w="141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尾延迟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Kim et al. (2025)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PRESTO (2025)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Tang &amp; Qian (2024)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明确否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Shin &amp; Kim (2022)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left"/>
            </w:pPr>
            <w:r>
              <w:t xml:space="preserve">Bateni et al. (2020)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明确否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明确否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未报告</w:t>
            </w:r>
          </w:p>
        </w:tc>
      </w:tr>
      <w:tr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left"/>
            </w:pPr>
            <w:r>
              <w:rPr>
                <w:rFonts w:hint="eastAsia"/>
              </w:rPr>
              <w:t xml:space="preserve">本文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HFUTTableContent"/>
              <w:ind w:left="0" w:right="0" w:firstLine="0"/>
              <w:jc w:val="center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pPr>
        <w:spacing w:before="0" w:after="0" w:line="1" w:lineRule="exact"/>
        <w:sectPr>
          <w:footerReference ns1:id="rId4" w:type="default"/>
          <w:type w:val="continuous"/>
          <w:pgSz w:h="16838" w:orient="portrait" w:w="11906"/>
          <w:pgMar w:bottom="1134" w:footer="907" w:gutter="0" w:header="720" w:left="1304" w:right="1304" w:top="1361"/>
          <w:cols w:num="1" w:space="425"/>
          <w:docGrid w:linePitch="360"/>
        </w:sectPr>
      </w:pPr>
    </w:p>
    <w:p>
      <w:pPr>
        <w:pStyle w:val="HFUTHeading2"/>
      </w:pPr>
      <w:r>
        <w:t xml:space="preserve">4.6 </w:t>
      </w:r>
      <w:r>
        <w:rPr>
          <w:rFonts w:hint="eastAsia"/>
        </w:rPr>
        <w:t xml:space="preserve">局限性</w:t>
      </w:r>
    </w:p>
    <w:p>
      <w:pPr>
        <w:pStyle w:val="HFUTBody"/>
      </w:pPr>
      <w:r>
        <w:rPr>
          <w:rFonts w:hint="eastAsia"/>
        </w:rPr>
        <w:t xml:space="preserve">本文仅评价单一Jetson平台、YOLOv8n</w:t>
      </w:r>
      <w:r>
        <w:t xml:space="preserve"> TensorRT </w:t>
      </w:r>
      <w:r>
        <w:rPr>
          <w:rFonts w:hint="eastAsia"/>
        </w:rPr>
        <w:t xml:space="preserve">INT8混合精度Engine、NEU-DET数据集和固定离线回放工作负载，未覆盖真实相机或跨平台/跨模型泛化；运行状态仅有非连续温度观察，没有连续遥测、功耗测量或独立归档的频率证据；实验也未测量阶段级H2D/预处理时间及实际总线或DRAM流量，因而40.96×名义载荷不能分配为单个组件的因果贡献。5次独立进程只支持描述性结果，不支持统计显著性推断。</w:t>
      </w:r>
    </w:p>
    <w:p>
      <w:pPr>
        <w:pStyle w:val="HFUTHeading1"/>
      </w:pPr>
      <w:r>
        <w:t xml:space="preserve">5 </w:t>
      </w:r>
      <w:r>
        <w:rPr>
          <w:rFonts w:hint="eastAsia"/>
        </w:rPr>
        <w:t xml:space="preserve">结论</w:t>
      </w:r>
    </w:p>
    <w:p>
      <w:pPr>
        <w:pStyle w:val="HFUTBody"/>
      </w:pPr>
      <w:r>
        <w:rPr>
          <w:rFonts w:hint="eastAsia"/>
        </w:rPr>
        <w:t xml:space="preserve">本文重构了Jetson端YOLOv8n</w:t>
      </w:r>
      <w:r>
        <w:t xml:space="preserve"> TensorRT </w:t>
      </w:r>
      <w:r>
        <w:rPr>
          <w:rFonts w:hint="eastAsia"/>
        </w:rPr>
        <w:t xml:space="preserve">INT8混合精度部署的输入形成与主机—设备数据路径。在冻结180幅测试图像上保持三条路径任务级评价一致时，V2R相对V0达到2.24×</w:t>
      </w:r>
      <w:r>
        <w:t xml:space="preserve"> </w:t>
      </w:r>
      <w:r>
        <w:rPr>
          <w:rFonts w:hint="eastAsia"/>
        </w:rPr>
        <w:t xml:space="preserve">FPS、平均延迟降低55.45%，表明完整输入形成路径重构构成受测配置中的主要E2E平均性能增量。</w:t>
      </w:r>
    </w:p>
    <w:p>
      <w:pPr>
        <w:pStyle w:val="HFUTBody"/>
      </w:pPr>
      <w:r>
        <w:rPr>
          <w:rFonts w:hint="eastAsia"/>
        </w:rPr>
        <w:t xml:space="preserve">V3R相对V2R的FPS变化为+4.07%、平均延迟变化为−4.03%，只体现固定实现中的有限平均增量；P95为+0.15%、P99为−0.12%，两项均低于0.2%且方向相反，未形成一致的尾延迟改善证据。结论限于本文单一平台、检测器/Engine、数据集和离线回放工作负载，不作组件级因果或普适收益推断。</w:t>
      </w:r>
    </w:p>
    <w:p>
      <w:pPr>
        <w:pStyle w:val="HFUTReferenceHeading"/>
      </w:pPr>
      <w:r>
        <w:rPr>
          <w:rFonts w:hint="eastAsia"/>
        </w:rPr>
        <w:t xml:space="preserve">参考文献</w:t>
      </w:r>
    </w:p>
    <w:bookmarkStart w:id="67" w:name="refs"/>
    <w:bookmarkStart w:id="26" w:name="ref-lv_et_al_2020_metallic_defec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Lv </w:t>
      </w:r>
      <w:r>
        <w:rPr>
          <w:rFonts w:hint="eastAsia"/>
        </w:rPr>
        <w:t xml:space="preserve">X，Duan</w:t>
      </w:r>
      <w:r>
        <w:t xml:space="preserve"> </w:t>
      </w:r>
      <w:r>
        <w:rPr>
          <w:rFonts w:hint="eastAsia"/>
        </w:rPr>
        <w:t xml:space="preserve">F，Jiang</w:t>
      </w:r>
      <w:r>
        <w:t xml:space="preserve"> </w:t>
      </w:r>
      <w:r>
        <w:rPr>
          <w:rFonts w:hint="eastAsia"/>
        </w:rPr>
        <w:t xml:space="preserve">J，等.</w:t>
      </w:r>
      <w:r>
        <w:t xml:space="preserve"> Deep Metallic Surface Defect Detection: The New Benchmark and Detection Network[J]. </w:t>
      </w:r>
      <w:r>
        <w:rPr>
          <w:rFonts w:hint="eastAsia"/>
        </w:rPr>
        <w:t xml:space="preserve">Sensors，2020，20（6）：1562.</w:t>
      </w:r>
      <w:r>
        <w:t xml:space="preserve"> DOI:</w:t>
      </w:r>
      <w:hyperlink ns1:id="rId25">
        <w:r>
          <w:rPr>
            <w:rStyle w:val="Hyperlink"/>
          </w:rPr>
          <w:t xml:space="preserve">10.3390/s20061562</w:t>
        </w:r>
      </w:hyperlink>
      <w:r>
        <w:t xml:space="preserve">.</w:t>
      </w:r>
    </w:p>
    <w:bookmarkEnd w:id="26"/>
    <w:bookmarkStart w:id="28" w:name="ref-song_yan_2013_neu_surface_defec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Song </w:t>
      </w:r>
      <w:r>
        <w:rPr>
          <w:rFonts w:hint="eastAsia"/>
        </w:rPr>
        <w:t xml:space="preserve">K，Yan</w:t>
      </w:r>
      <w:r>
        <w:t xml:space="preserve"> Y. A noise robust method based on completed local binary patterns for hot-rolled steel strip surface defects[J]. Applied Surface </w:t>
      </w:r>
      <w:r>
        <w:rPr>
          <w:rFonts w:hint="eastAsia"/>
        </w:rPr>
        <w:t xml:space="preserve">Science，2013，285：858-864.</w:t>
      </w:r>
      <w:r>
        <w:t xml:space="preserve"> DOI:</w:t>
      </w:r>
      <w:hyperlink ns1:id="rId27">
        <w:r>
          <w:rPr>
            <w:rStyle w:val="Hyperlink"/>
          </w:rPr>
          <w:t xml:space="preserve">10.1016/j.apsusc.2013.09.002</w:t>
        </w:r>
      </w:hyperlink>
      <w:r>
        <w:t xml:space="preserve">.</w:t>
      </w:r>
    </w:p>
    <w:bookmarkEnd w:id="28"/>
    <w:bookmarkStart w:id="30" w:name="ref-shao_et_al_2024_td_n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Shao </w:t>
      </w:r>
      <w:r>
        <w:rPr>
          <w:rFonts w:hint="eastAsia"/>
        </w:rPr>
        <w:t xml:space="preserve">R，Zhou</w:t>
      </w:r>
      <w:r>
        <w:t xml:space="preserve"> </w:t>
      </w:r>
      <w:r>
        <w:rPr>
          <w:rFonts w:hint="eastAsia"/>
        </w:rPr>
        <w:t xml:space="preserve">M，Li</w:t>
      </w:r>
      <w:r>
        <w:t xml:space="preserve"> </w:t>
      </w:r>
      <w:r>
        <w:rPr>
          <w:rFonts w:hint="eastAsia"/>
        </w:rPr>
        <w:t xml:space="preserve">M，等.</w:t>
      </w:r>
      <w:r>
        <w:t xml:space="preserve"> TD-Net: tiny defect detection network for industrial products[J]. Complex &amp; Intelligent </w:t>
      </w:r>
      <w:r>
        <w:rPr>
          <w:rFonts w:hint="eastAsia"/>
        </w:rPr>
        <w:t xml:space="preserve">Systems，2024，10：3943-3954.</w:t>
      </w:r>
      <w:r>
        <w:t xml:space="preserve"> DOI:</w:t>
      </w:r>
      <w:hyperlink ns1:id="rId29">
        <w:r>
          <w:rPr>
            <w:rStyle w:val="Hyperlink"/>
          </w:rPr>
          <w:t xml:space="preserve">10.1007/s40747-024-01362-x</w:t>
        </w:r>
      </w:hyperlink>
      <w:r>
        <w:t xml:space="preserve">.</w:t>
      </w:r>
    </w:p>
    <w:bookmarkEnd w:id="30"/>
    <w:bookmarkStart w:id="32" w:name="ref-chu_yu_rong_2024_strip_steel_yolov8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Chu </w:t>
      </w:r>
      <w:r>
        <w:rPr>
          <w:rFonts w:hint="eastAsia"/>
        </w:rPr>
        <w:t xml:space="preserve">Y，Yu</w:t>
      </w:r>
      <w:r>
        <w:t xml:space="preserve"> </w:t>
      </w:r>
      <w:r>
        <w:rPr>
          <w:rFonts w:hint="eastAsia"/>
        </w:rPr>
        <w:t xml:space="preserve">X，Rong</w:t>
      </w:r>
      <w:r>
        <w:t xml:space="preserve"> X. A Lightweight Strip Steel Surface Defect Detection Network Based on Improved YOLOv8[J]. </w:t>
      </w:r>
      <w:r>
        <w:rPr>
          <w:rFonts w:hint="eastAsia"/>
        </w:rPr>
        <w:t xml:space="preserve">Sensors，2024，24（19）：6495.</w:t>
      </w:r>
      <w:r>
        <w:t xml:space="preserve"> DOI:</w:t>
      </w:r>
      <w:hyperlink ns1:id="rId31">
        <w:r>
          <w:rPr>
            <w:rStyle w:val="Hyperlink"/>
          </w:rPr>
          <w:t xml:space="preserve">10.3390/s24196495</w:t>
        </w:r>
      </w:hyperlink>
      <w:r>
        <w:t xml:space="preserve">.</w:t>
      </w:r>
    </w:p>
    <w:bookmarkEnd w:id="32"/>
    <w:bookmarkStart w:id="34" w:name="ref-zhang_pang_jiang_2024_gdm_yolo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Zhang </w:t>
      </w:r>
      <w:r>
        <w:rPr>
          <w:rFonts w:hint="eastAsia"/>
        </w:rPr>
        <w:t xml:space="preserve">T，Pang</w:t>
      </w:r>
      <w:r>
        <w:t xml:space="preserve"> </w:t>
      </w:r>
      <w:r>
        <w:rPr>
          <w:rFonts w:hint="eastAsia"/>
        </w:rPr>
        <w:t xml:space="preserve">H，Jiang</w:t>
      </w:r>
      <w:r>
        <w:t xml:space="preserve"> C. GDM-YOLO: A Model for Steel Surface Defect Detection Based on YOLOv8s[J]. IEEE </w:t>
      </w:r>
      <w:r>
        <w:rPr>
          <w:rFonts w:hint="eastAsia"/>
        </w:rPr>
        <w:t xml:space="preserve">Access，2024，12：148817-148825.</w:t>
      </w:r>
      <w:r>
        <w:t xml:space="preserve"> DOI:</w:t>
      </w:r>
      <w:hyperlink ns1:id="rId33">
        <w:r>
          <w:rPr>
            <w:rStyle w:val="Hyperlink"/>
          </w:rPr>
          <w:t xml:space="preserve">10.1109/ACCESS.2024.3476908</w:t>
        </w:r>
      </w:hyperlink>
      <w:r>
        <w:t xml:space="preserve">.</w:t>
      </w:r>
    </w:p>
    <w:bookmarkEnd w:id="34"/>
    <w:bookmarkStart w:id="36" w:name="ref-ultralytics_2023_yolov8_do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Ultralytics. Explore Ultralytics YOLOv8[EB/OL]. </w:t>
      </w:r>
      <w:r>
        <w:rPr>
          <w:rFonts w:hint="eastAsia"/>
        </w:rPr>
        <w:t xml:space="preserve">（2023）[2026-08-07].</w:t>
      </w:r>
      <w:r>
        <w:t xml:space="preserve"> </w:t>
      </w:r>
      <w:hyperlink ns1:id="rId35">
        <w:r>
          <w:rPr>
            <w:rStyle w:val="Hyperlink"/>
          </w:rPr>
          <w:t xml:space="preserve">https://docs.ultralytics.com/models/yolov8/</w:t>
        </w:r>
      </w:hyperlink>
      <w:r>
        <w:t xml:space="preserve">.</w:t>
      </w:r>
    </w:p>
    <w:bookmarkEnd w:id="36"/>
    <w:bookmarkStart w:id="38" w:name="ref-stacker_et_al_2021_edge_runtim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Stäcker </w:t>
      </w:r>
      <w:r>
        <w:rPr>
          <w:rFonts w:hint="eastAsia"/>
        </w:rPr>
        <w:t xml:space="preserve">L，Fei</w:t>
      </w:r>
      <w:r>
        <w:t xml:space="preserve"> </w:t>
      </w:r>
      <w:r>
        <w:rPr>
          <w:rFonts w:hint="eastAsia"/>
        </w:rPr>
        <w:t xml:space="preserve">J，Heidenreich</w:t>
      </w:r>
      <w:r>
        <w:t xml:space="preserve"> </w:t>
      </w:r>
      <w:r>
        <w:rPr>
          <w:rFonts w:hint="eastAsia"/>
        </w:rPr>
        <w:t xml:space="preserve">P，等.</w:t>
      </w:r>
      <w:r>
        <w:t xml:space="preserve"> Deployment of Deep Neural Networks for Object Detection on Edge AI Devices With Runtime Optimization[C]//2021 IEEE/CVF International Conference on Computer Vision Workshops (ICCVW). </w:t>
      </w:r>
      <w:r>
        <w:rPr>
          <w:rFonts w:hint="eastAsia"/>
        </w:rPr>
        <w:t xml:space="preserve">IEEE，2021：1015-1022.</w:t>
      </w:r>
      <w:r>
        <w:t xml:space="preserve"> DOI:</w:t>
      </w:r>
      <w:hyperlink ns1:id="rId37">
        <w:r>
          <w:rPr>
            <w:rStyle w:val="Hyperlink"/>
          </w:rPr>
          <w:t xml:space="preserve">10.1109/ICCVW54120.2021.00118</w:t>
        </w:r>
      </w:hyperlink>
      <w:r>
        <w:t xml:space="preserve">.</w:t>
      </w:r>
    </w:p>
    <w:bookmarkEnd w:id="38"/>
    <w:bookmarkStart w:id="40" w:name="ref-lee_han_kim_2025_presto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Lee </w:t>
      </w:r>
      <w:r>
        <w:rPr>
          <w:rFonts w:hint="eastAsia"/>
        </w:rPr>
        <w:t xml:space="preserve">J，Han</w:t>
      </w:r>
      <w:r>
        <w:t xml:space="preserve"> </w:t>
      </w:r>
      <w:r>
        <w:rPr>
          <w:rFonts w:hint="eastAsia"/>
        </w:rPr>
        <w:t xml:space="preserve">D，Kim</w:t>
      </w:r>
      <w:r>
        <w:t xml:space="preserve"> J. PRESTO: Hybrid CPU-GPU Preprocessing Framework for Video-based AI Inference System[C]//Proceedings of the 23rd Annual International Conference on Mobile Systems, Applications and Services. </w:t>
      </w:r>
      <w:r>
        <w:rPr>
          <w:rFonts w:hint="eastAsia"/>
        </w:rPr>
        <w:t xml:space="preserve">ACM，2025：735-740.</w:t>
      </w:r>
      <w:r>
        <w:t xml:space="preserve"> DOI:</w:t>
      </w:r>
      <w:hyperlink ns1:id="rId39">
        <w:r>
          <w:rPr>
            <w:rStyle w:val="Hyperlink"/>
          </w:rPr>
          <w:t xml:space="preserve">10.1145/3711875.3736688</w:t>
        </w:r>
      </w:hyperlink>
      <w:r>
        <w:t xml:space="preserve">.</w:t>
      </w:r>
    </w:p>
    <w:bookmarkEnd w:id="40"/>
    <w:bookmarkStart w:id="42" w:name="Xac090a0af5deee57030702f51fb1ef136bc741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Weiss </w:t>
      </w:r>
      <w:r>
        <w:rPr>
          <w:rFonts w:hint="eastAsia"/>
        </w:rPr>
        <w:t xml:space="preserve">E，Caplan</w:t>
      </w:r>
      <w:r>
        <w:t xml:space="preserve"> </w:t>
      </w:r>
      <w:r>
        <w:rPr>
          <w:rFonts w:hint="eastAsia"/>
        </w:rPr>
        <w:t xml:space="preserve">S，Horn</w:t>
      </w:r>
      <w:r>
        <w:t xml:space="preserve"> </w:t>
      </w:r>
      <w:r>
        <w:rPr>
          <w:rFonts w:hint="eastAsia"/>
        </w:rPr>
        <w:t xml:space="preserve">K，等.</w:t>
      </w:r>
      <w:r>
        <w:t xml:space="preserve"> Real-Time Defect Detection in Electronic Components during Assembly through Deep Learning[J]. </w:t>
      </w:r>
      <w:r>
        <w:rPr>
          <w:rFonts w:hint="eastAsia"/>
        </w:rPr>
        <w:t xml:space="preserve">Electronics，2024，13（8）：1551.</w:t>
      </w:r>
      <w:r>
        <w:t xml:space="preserve"> DOI:</w:t>
      </w:r>
      <w:hyperlink ns1:id="rId41">
        <w:r>
          <w:rPr>
            <w:rStyle w:val="Hyperlink"/>
          </w:rPr>
          <w:t xml:space="preserve">10.3390/electronics13081551</w:t>
        </w:r>
      </w:hyperlink>
      <w:r>
        <w:t xml:space="preserve">.</w:t>
      </w:r>
    </w:p>
    <w:bookmarkEnd w:id="42"/>
    <w:bookmarkStart w:id="43" w:name="ref-jacob_et_al_2018_integer_infere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Jacob </w:t>
      </w:r>
      <w:r>
        <w:rPr>
          <w:rFonts w:hint="eastAsia"/>
        </w:rPr>
        <w:t xml:space="preserve">B，Kligys</w:t>
      </w:r>
      <w:r>
        <w:t xml:space="preserve"> </w:t>
      </w:r>
      <w:r>
        <w:rPr>
          <w:rFonts w:hint="eastAsia"/>
        </w:rPr>
        <w:t xml:space="preserve">S，Chen</w:t>
      </w:r>
      <w:r>
        <w:t xml:space="preserve"> </w:t>
      </w:r>
      <w:r>
        <w:rPr>
          <w:rFonts w:hint="eastAsia"/>
        </w:rPr>
        <w:t xml:space="preserve">B，等.</w:t>
      </w:r>
      <w:r>
        <w:t xml:space="preserve"> Quantization and Training of Neural Networks for Efficient Integer-Arithmetic-Only Inference[C]//Proceedings of the IEEE Conference on Computer Vision and Pattern Recognition (CVPR). </w:t>
      </w:r>
      <w:r>
        <w:rPr>
          <w:rFonts w:hint="eastAsia"/>
        </w:rPr>
        <w:t xml:space="preserve">2018：2704-2713.</w:t>
      </w:r>
    </w:p>
    <w:bookmarkEnd w:id="43"/>
    <w:bookmarkStart w:id="44" w:name="ref-nagel_et_al_2020_adaround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Nagel </w:t>
      </w:r>
      <w:r>
        <w:rPr>
          <w:rFonts w:hint="eastAsia"/>
        </w:rPr>
        <w:t xml:space="preserve">M，Amjad</w:t>
      </w:r>
      <w:r>
        <w:t xml:space="preserve"> R </w:t>
      </w:r>
      <w:r>
        <w:rPr>
          <w:rFonts w:hint="eastAsia"/>
        </w:rPr>
        <w:t xml:space="preserve">A，Van</w:t>
      </w:r>
      <w:r>
        <w:t xml:space="preserve"> Baalen </w:t>
      </w:r>
      <w:r>
        <w:rPr>
          <w:rFonts w:hint="eastAsia"/>
        </w:rPr>
        <w:t xml:space="preserve">M，等.</w:t>
      </w:r>
      <w:r>
        <w:t xml:space="preserve"> Up or Down? Adaptive Rounding for Post-Training Quantization[C]//Proceedings of the 37th International Conference on Machine </w:t>
      </w:r>
      <w:r>
        <w:rPr>
          <w:rFonts w:hint="eastAsia"/>
        </w:rPr>
        <w:t xml:space="preserve">Learning：卷119.</w:t>
      </w:r>
      <w:r>
        <w:t xml:space="preserve"> </w:t>
      </w:r>
      <w:r>
        <w:rPr>
          <w:rFonts w:hint="eastAsia"/>
        </w:rPr>
        <w:t xml:space="preserve">PMLR，2020：7197-7206.</w:t>
      </w:r>
    </w:p>
    <w:bookmarkEnd w:id="44"/>
    <w:bookmarkStart w:id="46" w:name="ref-nvidia_tensorrt_10_3_release_note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NVIDIA Corporation. TensorRT 10.3 Release Notes[EB/OL]. </w:t>
      </w:r>
      <w:r>
        <w:rPr>
          <w:rFonts w:hint="eastAsia"/>
        </w:rPr>
        <w:t xml:space="preserve">（2024）[2026-08-07].</w:t>
      </w:r>
      <w:r>
        <w:t xml:space="preserve"> </w:t>
      </w:r>
      <w:hyperlink ns1:id="rId45">
        <w:r>
          <w:rPr>
            <w:rStyle w:val="Hyperlink"/>
          </w:rPr>
          <w:t xml:space="preserve">https://docs.nvidia.com/deeplearning/tensorrt/archives/tensorrt-1030/pdf/TensorRT-Release-Notes.pdf</w:t>
        </w:r>
      </w:hyperlink>
      <w:r>
        <w:t xml:space="preserve">.</w:t>
      </w:r>
    </w:p>
    <w:bookmarkEnd w:id="46"/>
    <w:bookmarkStart w:id="48" w:name="ref-kim_lee_kim_2024_hyq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Kim N </w:t>
      </w:r>
      <w:r>
        <w:rPr>
          <w:rFonts w:hint="eastAsia"/>
        </w:rPr>
        <w:t xml:space="preserve">J，Lee</w:t>
      </w:r>
      <w:r>
        <w:t xml:space="preserve"> </w:t>
      </w:r>
      <w:r>
        <w:rPr>
          <w:rFonts w:hint="eastAsia"/>
        </w:rPr>
        <w:t xml:space="preserve">J，Kim</w:t>
      </w:r>
      <w:r>
        <w:t xml:space="preserve"> H. HyQ: Hardware-Friendly Post-Training Quantization for CNN-Transformer Hybrid Networks[C]//Proceedings of the Thirty-Third International Joint Conference on Artificial Intelligence, IJCAI-24. International Joint Conferences on Artificial Intelligence </w:t>
      </w:r>
      <w:r>
        <w:rPr>
          <w:rFonts w:hint="eastAsia"/>
        </w:rPr>
        <w:t xml:space="preserve">Organization，2024：4291-4299.</w:t>
      </w:r>
      <w:r>
        <w:t xml:space="preserve"> DOI:</w:t>
      </w:r>
      <w:hyperlink ns1:id="rId47">
        <w:r>
          <w:rPr>
            <w:rStyle w:val="Hyperlink"/>
          </w:rPr>
          <w:t xml:space="preserve">10.24963/ijcai.2024/474</w:t>
        </w:r>
      </w:hyperlink>
      <w:r>
        <w:t xml:space="preserve">.</w:t>
      </w:r>
    </w:p>
    <w:bookmarkEnd w:id="48"/>
    <w:bookmarkStart w:id="50" w:name="ref-tang_qian_2024_yolov8_jetson_ori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Tang </w:t>
      </w:r>
      <w:r>
        <w:rPr>
          <w:rFonts w:hint="eastAsia"/>
        </w:rPr>
        <w:t xml:space="preserve">Y，Qian</w:t>
      </w:r>
      <w:r>
        <w:t xml:space="preserve"> Y. High-speed railway track components inspection framework based on YOLOv8 with high-performance model deployment[J]. High-speed </w:t>
      </w:r>
      <w:r>
        <w:rPr>
          <w:rFonts w:hint="eastAsia"/>
        </w:rPr>
        <w:t xml:space="preserve">Railway，2024，2：42-50.</w:t>
      </w:r>
      <w:r>
        <w:t xml:space="preserve"> DOI:</w:t>
      </w:r>
      <w:hyperlink ns1:id="rId49">
        <w:r>
          <w:rPr>
            <w:rStyle w:val="Hyperlink"/>
          </w:rPr>
          <w:t xml:space="preserve">10.1016/j.hspr.2024.02.001</w:t>
        </w:r>
      </w:hyperlink>
      <w:r>
        <w:t xml:space="preserve">.</w:t>
      </w:r>
    </w:p>
    <w:bookmarkEnd w:id="50"/>
    <w:bookmarkStart w:id="52" w:name="ref-nvidia_cuda_best_practices_12_6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NVIDIA Corporation. CUDA C++ Best Practices Guide: Release 12.6[EB/OL]. </w:t>
      </w:r>
      <w:r>
        <w:rPr>
          <w:rFonts w:hint="eastAsia"/>
        </w:rPr>
        <w:t xml:space="preserve">（2024）[2026-08-07].</w:t>
      </w:r>
      <w:r>
        <w:t xml:space="preserve"> </w:t>
      </w:r>
      <w:hyperlink ns1:id="rId51">
        <w:r>
          <w:rPr>
            <w:rStyle w:val="Hyperlink"/>
          </w:rPr>
          <w:t xml:space="preserve">https://docs.nvidia.com/cuda/archive/12.6.0/cuda-c-best-practices-guide/index.html</w:t>
        </w:r>
      </w:hyperlink>
      <w:r>
        <w:t xml:space="preserve">.</w:t>
      </w:r>
    </w:p>
    <w:bookmarkEnd w:id="52"/>
    <w:bookmarkStart w:id="54" w:name="ref-bateni_et_al_2020_integrated_memo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Bateni </w:t>
      </w:r>
      <w:r>
        <w:rPr>
          <w:rFonts w:hint="eastAsia"/>
        </w:rPr>
        <w:t xml:space="preserve">S，Wang</w:t>
      </w:r>
      <w:r>
        <w:t xml:space="preserve"> </w:t>
      </w:r>
      <w:r>
        <w:rPr>
          <w:rFonts w:hint="eastAsia"/>
        </w:rPr>
        <w:t xml:space="preserve">Z，Zhu</w:t>
      </w:r>
      <w:r>
        <w:t xml:space="preserve"> </w:t>
      </w:r>
      <w:r>
        <w:rPr>
          <w:rFonts w:hint="eastAsia"/>
        </w:rPr>
        <w:t xml:space="preserve">Y，等.</w:t>
      </w:r>
      <w:r>
        <w:t xml:space="preserve"> Co-Optimizing Performance and Memory Footprint Via Integrated CPU/GPU Memory Management, an Implementation on Autonomous Driving Platform[C]//2020 IEEE Real-Time and Embedded Technology and Applications Symposium (RTAS). </w:t>
      </w:r>
      <w:r>
        <w:rPr>
          <w:rFonts w:hint="eastAsia"/>
        </w:rPr>
        <w:t xml:space="preserve">IEEE，2020：310-323.</w:t>
      </w:r>
      <w:r>
        <w:t xml:space="preserve"> DOI:</w:t>
      </w:r>
      <w:hyperlink ns1:id="rId53">
        <w:r>
          <w:rPr>
            <w:rStyle w:val="Hyperlink"/>
          </w:rPr>
          <w:t xml:space="preserve">10.1109/RTAS48715.2020.00007</w:t>
        </w:r>
      </w:hyperlink>
      <w:r>
        <w:t xml:space="preserve">.</w:t>
      </w:r>
    </w:p>
    <w:bookmarkEnd w:id="54"/>
    <w:bookmarkStart w:id="56" w:name="X881c6431a49a2524d16166655dd1f283b779e51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Rodriguez </w:t>
      </w:r>
      <w:r>
        <w:rPr>
          <w:rFonts w:hint="eastAsia"/>
        </w:rPr>
        <w:t xml:space="preserve">M，Yarza</w:t>
      </w:r>
      <w:r>
        <w:t xml:space="preserve"> </w:t>
      </w:r>
      <w:r>
        <w:rPr>
          <w:rFonts w:hint="eastAsia"/>
        </w:rPr>
        <w:t xml:space="preserve">I，Kosmidis</w:t>
      </w:r>
      <w:r>
        <w:t xml:space="preserve"> </w:t>
      </w:r>
      <w:r>
        <w:rPr>
          <w:rFonts w:hint="eastAsia"/>
        </w:rPr>
        <w:t xml:space="preserve">L，等.</w:t>
      </w:r>
      <w:r>
        <w:t xml:space="preserve"> Analysis of GPU Memory Allocation Characteristics[C]//16th Workshop on Parallel Programming and Run-Time Management Techniques for Many-Core Architectures and 14th Workshop on Design Tools and Architectures for Multicore Embedded Computing Platforms (PARMA-DITAM </w:t>
      </w:r>
      <w:r>
        <w:rPr>
          <w:rFonts w:hint="eastAsia"/>
        </w:rPr>
        <w:t xml:space="preserve">2025)：卷127.</w:t>
      </w:r>
      <w:r>
        <w:t xml:space="preserve"> Schloss Dagstuhl – Leibniz-Zentrum f</w:t>
      </w:r>
      <w:r>
        <w:t xml:space="preserve">ü</w:t>
      </w:r>
      <w:r>
        <w:t xml:space="preserve">r </w:t>
      </w:r>
      <w:r>
        <w:rPr>
          <w:rFonts w:hint="eastAsia"/>
        </w:rPr>
        <w:t xml:space="preserve">Informatik，2025：1:1-1:15.</w:t>
      </w:r>
      <w:r>
        <w:t xml:space="preserve"> DOI:</w:t>
      </w:r>
      <w:hyperlink ns1:id="rId55">
        <w:r>
          <w:rPr>
            <w:rStyle w:val="Hyperlink"/>
          </w:rPr>
          <w:t xml:space="preserve">10.4230/OASIcs.PARMA-DITAM.2025.1</w:t>
        </w:r>
      </w:hyperlink>
      <w:r>
        <w:t xml:space="preserve">.</w:t>
      </w:r>
    </w:p>
    <w:bookmarkEnd w:id="56"/>
    <w:bookmarkStart w:id="58" w:name="ref-nvidia_cuda_programming_guide_12_6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NVIDIA Corporation. CUDA C++ Programming Guide: Release 12.6[EB/OL]. </w:t>
      </w:r>
      <w:r>
        <w:rPr>
          <w:rFonts w:hint="eastAsia"/>
        </w:rPr>
        <w:t xml:space="preserve">（2024）[2026-08-07].</w:t>
      </w:r>
      <w:r>
        <w:t xml:space="preserve"> </w:t>
      </w:r>
      <w:hyperlink ns1:id="rId57">
        <w:r>
          <w:rPr>
            <w:rStyle w:val="Hyperlink"/>
          </w:rPr>
          <w:t xml:space="preserve">https://docs.nvidia.com/cuda/archive/12.6.0/cuda-c-programming-guide/index.html</w:t>
        </w:r>
      </w:hyperlink>
      <w:r>
        <w:t xml:space="preserve">.</w:t>
      </w:r>
    </w:p>
    <w:bookmarkEnd w:id="58"/>
    <w:bookmarkStart w:id="60" w:name="X5eac914f9fdc977465bff71c2e51c3ea52c72b4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Kim </w:t>
      </w:r>
      <w:r>
        <w:rPr>
          <w:rFonts w:hint="eastAsia"/>
        </w:rPr>
        <w:t xml:space="preserve">S，Kim</w:t>
      </w:r>
      <w:r>
        <w:t xml:space="preserve"> </w:t>
      </w:r>
      <w:r>
        <w:rPr>
          <w:rFonts w:hint="eastAsia"/>
        </w:rPr>
        <w:t xml:space="preserve">C，Kim</w:t>
      </w:r>
      <w:r>
        <w:t xml:space="preserve"> S. Improving Performance of Real-Time Object Detection in Edge Device Through Concurrent Multi-Frame Processing[J]. IEEE </w:t>
      </w:r>
      <w:r>
        <w:rPr>
          <w:rFonts w:hint="eastAsia"/>
        </w:rPr>
        <w:t xml:space="preserve">Access，2025，13：1522-1533.</w:t>
      </w:r>
      <w:r>
        <w:t xml:space="preserve"> DOI:</w:t>
      </w:r>
      <w:hyperlink ns1:id="rId59">
        <w:r>
          <w:rPr>
            <w:rStyle w:val="Hyperlink"/>
          </w:rPr>
          <w:t xml:space="preserve">10.1109/ACCESS.2024.3520240</w:t>
        </w:r>
      </w:hyperlink>
      <w:r>
        <w:t xml:space="preserve">.</w:t>
      </w:r>
    </w:p>
    <w:bookmarkEnd w:id="60"/>
    <w:bookmarkStart w:id="62" w:name="ref-dean_barroso_2013_tail_scal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Dean </w:t>
      </w:r>
      <w:r>
        <w:rPr>
          <w:rFonts w:hint="eastAsia"/>
        </w:rPr>
        <w:t xml:space="preserve">J，Barroso</w:t>
      </w:r>
      <w:r>
        <w:t xml:space="preserve"> L A. The Tail at Scale[J]. Communications of the </w:t>
      </w:r>
      <w:r>
        <w:rPr>
          <w:rFonts w:hint="eastAsia"/>
        </w:rPr>
        <w:t xml:space="preserve">ACM，2013，56（2）：74-80.</w:t>
      </w:r>
      <w:r>
        <w:t xml:space="preserve"> DOI:</w:t>
      </w:r>
      <w:hyperlink ns1:id="rId61">
        <w:r>
          <w:rPr>
            <w:rStyle w:val="Hyperlink"/>
          </w:rPr>
          <w:t xml:space="preserve">10.1145/2408776.2408794</w:t>
        </w:r>
      </w:hyperlink>
      <w:r>
        <w:t xml:space="preserve">.</w:t>
      </w:r>
    </w:p>
    <w:bookmarkEnd w:id="62"/>
    <w:bookmarkStart w:id="64" w:name="ref-shin_kim_2022_jetson_yolo_framework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Shin </w:t>
      </w:r>
      <w:r>
        <w:rPr>
          <w:rFonts w:hint="eastAsia"/>
        </w:rPr>
        <w:t xml:space="preserve">D-J，Kim</w:t>
      </w:r>
      <w:r>
        <w:t xml:space="preserve"> J-J. A Deep Learning Framework Performance Evaluation to Use YOLO in Nvidia Jetson Platform[J]. Applied </w:t>
      </w:r>
      <w:r>
        <w:rPr>
          <w:rFonts w:hint="eastAsia"/>
        </w:rPr>
        <w:t xml:space="preserve">Sciences，2022，12（8）：3734.</w:t>
      </w:r>
      <w:r>
        <w:t xml:space="preserve"> DOI:</w:t>
      </w:r>
      <w:hyperlink ns1:id="rId63">
        <w:r>
          <w:rPr>
            <w:rStyle w:val="Hyperlink"/>
          </w:rPr>
          <w:t xml:space="preserve">10.3390/app12083734</w:t>
        </w:r>
      </w:hyperlink>
      <w:r>
        <w:t xml:space="preserve">.</w:t>
      </w:r>
    </w:p>
    <w:bookmarkEnd w:id="64"/>
    <w:bookmarkStart w:id="66" w:name="X4c8ed83c46bc651acbdbe066c419219a34e03a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Lema D </w:t>
      </w:r>
      <w:r>
        <w:rPr>
          <w:rFonts w:hint="eastAsia"/>
        </w:rPr>
        <w:t xml:space="preserve">G，Sánchez-González</w:t>
      </w:r>
      <w:r>
        <w:t xml:space="preserve"> </w:t>
      </w:r>
      <w:r>
        <w:rPr>
          <w:rFonts w:hint="eastAsia"/>
        </w:rPr>
        <w:t xml:space="preserve">L，Usamentiaga</w:t>
      </w:r>
      <w:r>
        <w:t xml:space="preserve"> </w:t>
      </w:r>
      <w:r>
        <w:rPr>
          <w:rFonts w:hint="eastAsia"/>
        </w:rPr>
        <w:t xml:space="preserve">R，等</w:t>
      </w:r>
      <w:r>
        <w:t xml:space="preserve">. Benchmarking deep learning models for surface defect detection: a reproducible and statistically-rigorous approach[J/OL]. Journal of Intelligent </w:t>
      </w:r>
      <w:r>
        <w:rPr>
          <w:rFonts w:hint="eastAsia"/>
        </w:rPr>
        <w:t xml:space="preserve">Manufacturing，2025.</w:t>
      </w:r>
      <w:r>
        <w:t xml:space="preserve"> DOI:</w:t>
      </w:r>
      <w:hyperlink ns1:id="rId65">
        <w:r>
          <w:rPr>
            <w:rStyle w:val="Hyperlink"/>
          </w:rPr>
          <w:t xml:space="preserve">10.1007/s10845-025-02672-8</w:t>
        </w:r>
      </w:hyperlink>
      <w:r>
        <w:t xml:space="preserve">.</w:t>
      </w:r>
    </w:p>
    <w:bookmarkEnd w:id="66"/>
    <w:bookmarkEnd w:id="67"/>
    <w:sectPr>
      <w:footerReference ns1:id="rId4" w:type="default"/>
      <w:type w:val="continuous"/>
      <w:pgSz w:h="16838" w:orient="portrait" w:w="11906"/>
      <w:pgMar w:bottom="1134" w:footer="907" w:gutter="0" w:header="720" w:left="1304" w:right="1304" w:top="1361"/>
      <w:cols w:num="2"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/>
    <w:family w:val="auto"/>
    <w:pitch w:val="variable"/>
  </w:font>
  <w:font w:name="黑体">
    <w:altName w:val="SimHei"/>
    <w:panose1 w:val="02010609060101010101"/>
    <w:charset w:val="86"/>
    <w:family w:val="modern"/>
    <w:pitch w:val="fixed"/>
  </w:font>
  <w:font w:name="楷体">
    <w:panose1 w:val="02010609060101010101"/>
    <w:charset w:val="86"/>
    <w:family w:val="modern"/>
    <w:pitch w:val="fixed"/>
  </w:font>
  <w:font w:name="Times New Roman">
    <w:panose1 w:val="02020603050405020304"/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ageNumber"/>
      <w:jc w:val="center"/>
    </w:pPr>
    <w:fldSimple w:instr=" PAGE ">
      <w:r>
        <w:rPr>
          <w:noProof/>
        </w:rPr>
      </w:r>
    </w:fldSimple>
  </w:p>
</w:ftr>
</file>

<file path=word/footer2.xml><?xml version="1.0" encoding="utf-8"?>
<w:ftr xmlns:w="http://schemas.openxmlformats.org/wordprocessingml/2006/main">
  <w:p>
    <w:pPr>
      <w:pStyle w:val="HFUTAuthorBiography"/>
    </w:pPr>
    <w:r>
      <w:t>王凯伦（1999—），男，山东潍坊人，工学学士，硕士研究生，主要研究方向为端侧人工智能推理部署与优化。</w:t>
    </w:r>
  </w:p>
  <w:p>
    <w:pPr>
      <w:pStyle w:val="PageNumber"/>
      <w:jc w:val="center"/>
    </w:pPr>
    <w:fldSimple w:instr=" PAGE ">
      <w:r>
        <w:rPr>
          <w:noProof/>
        </w:rPr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"/>
      <w:lvlJc w:val="left"/>
      <w:pPr>
        <w:tabs>
          <w:tab w:pos="0" w:val="num"/>
        </w:tabs>
        <w:ind w:hanging="0" w:left="0"/>
      </w:pPr>
      <w:rPr>
        <w:rFonts w:ascii="Times New Roman" w:cs="Times New Roman" w:eastAsia="黑体" w:hAnsi="Times New Roman"/>
        <w:b/>
        <w:bCs/>
        <w:sz w:val="28"/>
        <w:szCs w:val="28"/>
        <w:lang w:bidi="ar-SA" w:eastAsia="zh-CN" w:val="en-US"/>
      </w:rPr>
    </w:lvl>
    <w:lvl w:ilvl="1">
      <w:start w:val="1"/>
      <w:numFmt w:val="decimal"/>
      <w:lvlText w:val="%1.%2"/>
      <w:lvlJc w:val="left"/>
      <w:pPr>
        <w:ind w:hanging="0" w:left="0"/>
      </w:pPr>
      <w:rPr>
        <w:rFonts w:ascii="Times New Roman" w:cs="Times New Roman" w:eastAsia="黑体" w:hAnsi="Times New Roman"/>
        <w:b/>
        <w:bCs/>
        <w:sz w:val="21"/>
        <w:szCs w:val="21"/>
        <w:lang w:bidi="ar-SA" w:eastAsia="zh-CN" w:val="en-US"/>
      </w:rPr>
    </w:lvl>
    <w:lvl w:ilvl="2">
      <w:start w:val="1"/>
      <w:numFmt w:val="decimal"/>
      <w:lvlText w:val="%1.%2.%3"/>
      <w:lvlJc w:val="left"/>
      <w:pPr>
        <w:ind w:hanging="0" w:left="0"/>
      </w:pPr>
      <w:rPr>
        <w:rFonts w:ascii="Times New Roman" w:cs="Times New Roman" w:eastAsia="楷体" w:hAnsi="Times New Roman"/>
        <w:sz w:val="21"/>
        <w:szCs w:val="21"/>
        <w:lang w:bidi="ar-SA" w:eastAsia="zh-CN" w:val="en-US"/>
      </w:rPr>
    </w:lvl>
  </w:abstractNum>
  <w:abstractNum w:abstractNumId="1">
    <w:multiLevelType w:val="singleLevel"/>
    <w:lvl w:ilvl="0">
      <w:start w:val="0"/>
      <w:numFmt w:val="decimal"/>
      <w:lvlText w:val="0"/>
      <w:lvlJc w:val="left"/>
      <w:pPr>
        <w:ind w:hanging="0" w:left="0"/>
      </w:pPr>
      <w:rPr>
        <w:rFonts w:ascii="Times New Roman" w:cs="Times New Roman" w:eastAsia="黑体" w:hAnsi="Times New Roman"/>
        <w:b/>
        <w:bCs/>
        <w:sz w:val="28"/>
        <w:szCs w:val="28"/>
        <w:lang w:bidi="ar-SA" w:eastAsia="zh-CN" w:val="en-U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>
      <w:pPr>
        <w:spacing w:after="0" w:before="0" w:line="320" w:lineRule="exact"/>
      </w:pPr>
    </w:pPrDefault>
  </w:docDefaults>
  <w:style w:styleId="Normal" w:type="paragraph">
    <w:name w:val="Normal"/>
    <w:qFormat/>
    <w:pPr>
      <w:spacing w:after="0" w:before="0" w:line="320" w:lineRule="exact"/>
      <w:ind w:firstLine="438"/>
      <w:jc w:val="both"/>
    </w:pPr>
    <w:rPr>
      <w:rFonts w:ascii="Times New Roman" w:cs="Times New Roman" w:eastAsia="宋体" w:hAnsi="Times New Roman"/>
      <w:sz w:val="21"/>
      <w:szCs w:val="21"/>
      <w:lang w:bidi="ar-SA" w:eastAsia="zh-CN" w:val="en-US"/>
    </w:rPr>
  </w:style>
  <w:style w:styleId="PageNumber" w:type="paragraph">
    <w:name w:val="Page Number"/>
    <w:basedOn w:val="Normal"/>
    <w:pPr>
      <w:spacing w:after="0" w:before="0" w:line="240" w:lineRule="exact"/>
      <w:ind w:firstLine="0"/>
      <w:jc w:val="center"/>
    </w:pPr>
    <w:rPr>
      <w:rFonts w:ascii="Times New Roman" w:cs="Times New Roman" w:eastAsia="Times New Roman" w:hAnsi="Times New Roman"/>
      <w:sz w:val="18"/>
      <w:szCs w:val="18"/>
      <w:lang w:bidi="ar-SA" w:eastAsia="zh-CN" w:val="en-US"/>
    </w:rPr>
  </w:style>
  <w:style w:styleId="HFUTSpecimenNotice" w:type="paragraph">
    <w:name w:val="HFUT Specimen Notice"/>
    <w:basedOn w:val="Normal"/>
    <w:qFormat/>
    <w:pPr>
      <w:keepNext/>
      <w:spacing w:after="0" w:before="0" w:line="240" w:lineRule="exact"/>
      <w:jc w:val="center"/>
    </w:pPr>
    <w:rPr>
      <w:rFonts w:ascii="Times New Roman" w:cs="Times New Roman" w:eastAsia="Times New Roman" w:hAnsi="Times New Roman"/>
      <w:b/>
      <w:bCs/>
      <w:sz w:val="18"/>
      <w:szCs w:val="18"/>
      <w:lang w:bidi="ar-SA" w:eastAsia="zh-CN" w:val="en-US"/>
    </w:rPr>
  </w:style>
  <w:style w:styleId="HFUTBody" w:type="paragraph">
    <w:name w:val="HFUT Body"/>
    <w:basedOn w:val="Normal"/>
    <w:qFormat/>
    <w:pPr>
      <w:spacing w:after="0" w:before="0" w:line="320" w:lineRule="exact"/>
      <w:ind w:firstLine="438"/>
      <w:jc w:val="both"/>
    </w:pPr>
    <w:rPr>
      <w:rFonts w:ascii="Times New Roman" w:cs="Times New Roman" w:eastAsia="宋体" w:hAnsi="Times New Roman"/>
      <w:sz w:val="21"/>
      <w:szCs w:val="21"/>
      <w:lang w:bidi="ar-SA" w:eastAsia="zh-CN" w:val="en-US"/>
    </w:rPr>
  </w:style>
  <w:style w:styleId="HFUTTitleCN" w:type="paragraph">
    <w:name w:val="HFUT Title CN"/>
    <w:basedOn w:val="Normal"/>
    <w:qFormat/>
    <w:pPr>
      <w:keepNext/>
      <w:snapToGrid w:val="false"/>
      <w:spacing w:after="0" w:before="0" w:line="240" w:lineRule="auto"/>
      <w:jc w:val="center"/>
    </w:pPr>
    <w:rPr>
      <w:rFonts w:ascii="Times New Roman" w:cs="Times New Roman" w:eastAsia="宋体" w:hAnsi="Times New Roman"/>
      <w:b/>
      <w:bCs/>
      <w:sz w:val="44"/>
      <w:szCs w:val="44"/>
      <w:lang w:bidi="ar-SA" w:eastAsia="zh-CN" w:val="en-US"/>
    </w:rPr>
  </w:style>
  <w:style w:styleId="HFUTTitleEN" w:type="paragraph">
    <w:name w:val="HFUT Title EN"/>
    <w:basedOn w:val="Normal"/>
    <w:qFormat/>
    <w:pPr>
      <w:keepNext/>
      <w:spacing w:after="0" w:before="0"/>
      <w:jc w:val="center"/>
    </w:pPr>
    <w:rPr>
      <w:rFonts w:ascii="Times New Roman" w:cs="Times New Roman" w:eastAsia="Times New Roman" w:hAnsi="Times New Roman"/>
      <w:b/>
      <w:bCs/>
      <w:sz w:val="28"/>
      <w:szCs w:val="28"/>
      <w:lang w:bidi="ar-SA" w:eastAsia="zh-CN" w:val="en-US"/>
    </w:rPr>
  </w:style>
  <w:style w:styleId="HFUTAuthorsCN" w:type="paragraph">
    <w:name w:val="HFUT Authors CN"/>
    <w:basedOn w:val="Normal"/>
    <w:qFormat/>
    <w:pPr>
      <w:spacing w:after="0" w:before="0"/>
      <w:jc w:val="center"/>
    </w:pPr>
    <w:rPr>
      <w:rFonts w:ascii="Times New Roman" w:cs="Times New Roman" w:eastAsia="楷体" w:hAnsi="Times New Roman"/>
      <w:sz w:val="28"/>
      <w:szCs w:val="28"/>
      <w:lang w:bidi="ar-SA" w:eastAsia="zh-CN" w:val="en-US"/>
    </w:rPr>
  </w:style>
  <w:style w:styleId="HFUTAuthorsEN" w:type="paragraph">
    <w:name w:val="HFUT Authors EN"/>
    <w:basedOn w:val="Normal"/>
    <w:qFormat/>
    <w:pPr>
      <w:spacing w:after="0" w:before="0"/>
      <w:jc w:val="center"/>
    </w:pPr>
    <w:rPr>
      <w:rFonts w:ascii="Times New Roman" w:cs="Times New Roman" w:eastAsia="Times New Roman" w:hAnsi="Times New Roman"/>
      <w:b/>
      <w:bCs/>
      <w:sz w:val="21"/>
      <w:szCs w:val="21"/>
      <w:lang w:bidi="ar-SA" w:eastAsia="zh-CN" w:val="en-US"/>
    </w:rPr>
  </w:style>
  <w:style w:styleId="HFUTAffiliationCN" w:type="paragraph">
    <w:name w:val="HFUT Affiliation CN"/>
    <w:basedOn w:val="Normal"/>
    <w:qFormat/>
    <w:pPr>
      <w:spacing w:after="0" w:before="0" w:line="240" w:lineRule="exact"/>
      <w:jc w:val="center"/>
    </w:pPr>
    <w:rPr>
      <w:rFonts w:ascii="Times New Roman" w:cs="Times New Roman" w:eastAsia="宋体" w:hAnsi="Times New Roman"/>
      <w:sz w:val="15"/>
      <w:szCs w:val="15"/>
      <w:lang w:bidi="ar-SA" w:eastAsia="zh-CN" w:val="en-US"/>
    </w:rPr>
  </w:style>
  <w:style w:styleId="HFUTAffiliationEN" w:type="paragraph">
    <w:name w:val="HFUT Affiliation EN"/>
    <w:basedOn w:val="Normal"/>
    <w:qFormat/>
    <w:pPr>
      <w:spacing w:after="0" w:before="0" w:line="240" w:lineRule="exact"/>
      <w:jc w:val="center"/>
    </w:pPr>
    <w:rPr>
      <w:rFonts w:ascii="Times New Roman" w:cs="Times New Roman" w:eastAsia="Times New Roman" w:hAnsi="Times New Roman"/>
      <w:sz w:val="15"/>
      <w:szCs w:val="15"/>
      <w:lang w:bidi="ar-SA" w:eastAsia="zh-CN" w:val="en-US"/>
    </w:rPr>
  </w:style>
  <w:style w:styleId="HFUTAbstractLabelCN" w:type="paragraph">
    <w:name w:val="HFUT Abstract Label CN"/>
    <w:basedOn w:val="Normal"/>
    <w:qFormat/>
    <w:pPr>
      <w:spacing w:after="0" w:before="0" w:line="280" w:lineRule="exact"/>
      <w:jc w:val="both"/>
    </w:pPr>
    <w:rPr>
      <w:rFonts w:ascii="Times New Roman" w:cs="Times New Roman" w:eastAsia="黑体" w:hAnsi="Times New Roman"/>
      <w:b/>
      <w:bCs/>
      <w:sz w:val="18"/>
      <w:szCs w:val="18"/>
      <w:lang w:bidi="ar-SA" w:eastAsia="zh-CN" w:val="en-US"/>
    </w:rPr>
  </w:style>
  <w:style w:styleId="HFUTAbstractBodyCN" w:type="paragraph">
    <w:name w:val="HFUT Abstract Body CN"/>
    <w:basedOn w:val="Normal"/>
    <w:qFormat/>
    <w:pPr>
      <w:spacing w:after="0" w:before="0" w:line="280" w:lineRule="exact"/>
      <w:jc w:val="both"/>
    </w:pPr>
    <w:rPr>
      <w:rFonts w:ascii="Times New Roman" w:cs="Times New Roman" w:eastAsia="宋体" w:hAnsi="Times New Roman"/>
      <w:sz w:val="18"/>
      <w:szCs w:val="18"/>
      <w:lang w:bidi="ar-SA" w:eastAsia="zh-CN" w:val="en-US"/>
    </w:rPr>
  </w:style>
  <w:style w:styleId="HFUTAbstractLabelEN" w:type="paragraph">
    <w:name w:val="HFUT Abstract Label EN"/>
    <w:basedOn w:val="Normal"/>
    <w:qFormat/>
    <w:pPr>
      <w:spacing w:after="0" w:before="0" w:line="280" w:lineRule="exact"/>
      <w:jc w:val="both"/>
    </w:pPr>
    <w:rPr>
      <w:rFonts w:ascii="Times New Roman" w:cs="Times New Roman" w:eastAsia="Times New Roman" w:hAnsi="Times New Roman"/>
      <w:b/>
      <w:bCs/>
      <w:sz w:val="18"/>
      <w:szCs w:val="18"/>
      <w:lang w:bidi="ar-SA" w:eastAsia="zh-CN" w:val="en-US"/>
    </w:rPr>
  </w:style>
  <w:style w:styleId="HFUTAbstractBodyEN" w:type="paragraph">
    <w:name w:val="HFUT Abstract Body EN"/>
    <w:basedOn w:val="Normal"/>
    <w:qFormat/>
    <w:pPr>
      <w:spacing w:after="0" w:before="0" w:line="280" w:lineRule="exact"/>
      <w:jc w:val="both"/>
    </w:pPr>
    <w:rPr>
      <w:rFonts w:ascii="Times New Roman" w:cs="Times New Roman" w:eastAsia="Times New Roman" w:hAnsi="Times New Roman"/>
      <w:sz w:val="21"/>
      <w:szCs w:val="21"/>
      <w:lang w:bidi="ar-SA" w:eastAsia="zh-CN" w:val="en-US"/>
    </w:rPr>
  </w:style>
  <w:style w:styleId="HFUTKeywordsLabelCN" w:type="paragraph">
    <w:name w:val="HFUT Keywords Label CN"/>
    <w:basedOn w:val="Normal"/>
    <w:qFormat/>
    <w:pPr>
      <w:spacing w:after="0" w:before="0" w:line="280" w:lineRule="exact"/>
      <w:jc w:val="both"/>
    </w:pPr>
    <w:rPr>
      <w:rFonts w:ascii="Times New Roman" w:cs="Times New Roman" w:eastAsia="黑体" w:hAnsi="Times New Roman"/>
      <w:b/>
      <w:bCs/>
      <w:sz w:val="18"/>
      <w:szCs w:val="18"/>
      <w:lang w:bidi="ar-SA" w:eastAsia="zh-CN" w:val="en-US"/>
    </w:rPr>
  </w:style>
  <w:style w:styleId="HFUTKeywordsBodyCN" w:type="paragraph">
    <w:name w:val="HFUT Keywords Body CN"/>
    <w:basedOn w:val="Normal"/>
    <w:qFormat/>
    <w:pPr>
      <w:spacing w:after="0" w:before="0" w:line="280" w:lineRule="exact"/>
      <w:jc w:val="both"/>
    </w:pPr>
    <w:rPr>
      <w:rFonts w:ascii="Times New Roman" w:cs="Times New Roman" w:eastAsia="宋体" w:hAnsi="Times New Roman"/>
      <w:sz w:val="18"/>
      <w:szCs w:val="18"/>
      <w:lang w:bidi="ar-SA" w:eastAsia="zh-CN" w:val="en-US"/>
    </w:rPr>
  </w:style>
  <w:style w:styleId="HFUTKeywordsLabelEN" w:type="paragraph">
    <w:name w:val="HFUT Keywords Label EN"/>
    <w:basedOn w:val="Normal"/>
    <w:qFormat/>
    <w:pPr>
      <w:spacing w:after="0" w:before="0" w:line="280" w:lineRule="exact"/>
      <w:jc w:val="both"/>
    </w:pPr>
    <w:rPr>
      <w:rFonts w:ascii="Times New Roman" w:cs="Times New Roman" w:eastAsia="Times New Roman" w:hAnsi="Times New Roman"/>
      <w:b/>
      <w:bCs/>
      <w:sz w:val="18"/>
      <w:szCs w:val="18"/>
      <w:lang w:bidi="ar-SA" w:eastAsia="zh-CN" w:val="en-US"/>
    </w:rPr>
  </w:style>
  <w:style w:styleId="HFUTKeywordsBodyEN" w:type="paragraph">
    <w:name w:val="HFUT Keywords Body EN"/>
    <w:basedOn w:val="Normal"/>
    <w:qFormat/>
    <w:pPr>
      <w:spacing w:after="0" w:before="0" w:line="280" w:lineRule="exact"/>
      <w:jc w:val="both"/>
    </w:pPr>
    <w:rPr>
      <w:rFonts w:ascii="Times New Roman" w:cs="Times New Roman" w:eastAsia="Times New Roman" w:hAnsi="Times New Roman"/>
      <w:sz w:val="21"/>
      <w:szCs w:val="21"/>
      <w:lang w:bidi="ar-SA" w:eastAsia="zh-CN" w:val="en-US"/>
    </w:rPr>
  </w:style>
  <w:style w:styleId="HFUTClassification" w:type="paragraph">
    <w:name w:val="HFUT Classification"/>
    <w:basedOn w:val="Normal"/>
    <w:qFormat/>
    <w:pPr>
      <w:spacing w:after="0" w:before="0" w:line="280" w:lineRule="exact"/>
      <w:jc w:val="left"/>
    </w:pPr>
    <w:rPr>
      <w:rFonts w:ascii="Times New Roman" w:cs="Times New Roman" w:eastAsia="宋体" w:hAnsi="Times New Roman"/>
      <w:sz w:val="18"/>
      <w:szCs w:val="18"/>
      <w:lang w:bidi="ar-SA" w:eastAsia="zh-CN" w:val="en-US"/>
    </w:rPr>
  </w:style>
  <w:style w:styleId="HFUTHeading1" w:type="paragraph">
    <w:name w:val="HFUT Heading 1"/>
    <w:basedOn w:val="Normal"/>
    <w:qFormat/>
    <w:pPr>
      <w:keepNext/>
      <w:keepLines/>
      <w:spacing w:after="0" w:before="0" w:line="320" w:lineRule="exact"/>
      <w:jc w:val="left"/>
      <w:outlineLvl w:val="0"/>
    </w:pPr>
    <w:rPr>
      <w:rFonts w:ascii="Times New Roman" w:cs="Times New Roman" w:eastAsia="黑体" w:hAnsi="Times New Roman"/>
      <w:b/>
      <w:bCs/>
      <w:sz w:val="28"/>
      <w:szCs w:val="28"/>
      <w:lang w:bidi="ar-SA" w:eastAsia="zh-CN" w:val="en-US"/>
    </w:rPr>
  </w:style>
  <w:style w:styleId="HFUTHeading2" w:type="paragraph">
    <w:name w:val="HFUT Heading 2"/>
    <w:basedOn w:val="Normal"/>
    <w:qFormat/>
    <w:pPr>
      <w:keepNext/>
      <w:keepLines/>
      <w:spacing w:after="0" w:before="0" w:line="320" w:lineRule="exact"/>
      <w:jc w:val="left"/>
      <w:outlineLvl w:val="1"/>
    </w:pPr>
    <w:rPr>
      <w:rFonts w:ascii="Times New Roman" w:cs="Times New Roman" w:eastAsia="黑体" w:hAnsi="Times New Roman"/>
      <w:b/>
      <w:bCs/>
      <w:sz w:val="21"/>
      <w:szCs w:val="21"/>
      <w:lang w:bidi="ar-SA" w:eastAsia="zh-CN" w:val="en-US"/>
    </w:rPr>
  </w:style>
  <w:style w:styleId="HFUTHeading3" w:type="paragraph">
    <w:name w:val="HFUT Heading 3"/>
    <w:basedOn w:val="Normal"/>
    <w:qFormat/>
    <w:pPr>
      <w:keepNext/>
      <w:keepLines/>
      <w:spacing w:after="0" w:before="0" w:line="320" w:lineRule="exact"/>
      <w:jc w:val="left"/>
      <w:outlineLvl w:val="2"/>
    </w:pPr>
    <w:rPr>
      <w:rFonts w:ascii="Times New Roman" w:cs="Times New Roman" w:eastAsia="楷体" w:hAnsi="Times New Roman"/>
      <w:sz w:val="21"/>
      <w:szCs w:val="21"/>
      <w:lang w:bidi="ar-SA" w:eastAsia="zh-CN" w:val="en-US"/>
    </w:rPr>
  </w:style>
  <w:style w:styleId="HFUTIntroHeading" w:type="paragraph">
    <w:name w:val="HFUT Introduction Heading"/>
    <w:basedOn w:val="HFUTHeading1"/>
    <w:qFormat/>
    <w:pPr>
      <w:keepNext/>
      <w:keepLines/>
      <w:numPr>
        <w:ilvl w:val="0"/>
        <w:numId w:val="2"/>
      </w:numPr>
      <w:spacing w:after="0" w:before="0" w:line="320" w:lineRule="exact"/>
      <w:jc w:val="left"/>
      <w:outlineLvl w:val="0"/>
    </w:pPr>
    <w:rPr>
      <w:rFonts w:ascii="Times New Roman" w:cs="Times New Roman" w:eastAsia="黑体" w:hAnsi="Times New Roman"/>
      <w:b/>
      <w:bCs/>
      <w:sz w:val="28"/>
      <w:szCs w:val="28"/>
      <w:lang w:bidi="ar-SA" w:eastAsia="zh-CN" w:val="en-US"/>
    </w:rPr>
  </w:style>
  <w:style w:styleId="HFUTEquation" w:type="paragraph">
    <w:name w:val="HFUT Equation"/>
    <w:basedOn w:val="Normal"/>
    <w:qFormat/>
    <w:pPr>
      <w:keepLines/>
      <w:spacing w:after="0" w:before="0" w:line="320" w:lineRule="atLeast"/>
      <w:jc w:val="center"/>
    </w:pPr>
    <w:rPr>
      <w:rFonts w:ascii="Times New Roman" w:cs="Times New Roman" w:eastAsia="Times New Roman" w:hAnsi="Times New Roman"/>
      <w:sz w:val="21"/>
      <w:szCs w:val="21"/>
      <w:lang w:bidi="ar-SA" w:eastAsia="zh-CN" w:val="en-US"/>
    </w:rPr>
  </w:style>
  <w:style w:styleId="HFUTFigureCaption" w:type="paragraph">
    <w:name w:val="HFUT Figure Caption"/>
    <w:basedOn w:val="Normal"/>
    <w:qFormat/>
    <w:pPr>
      <w:keepLines/>
      <w:spacing w:after="0" w:before="0" w:line="320" w:lineRule="exact"/>
      <w:jc w:val="center"/>
    </w:pPr>
    <w:rPr>
      <w:rFonts w:ascii="Times New Roman" w:cs="Times New Roman" w:eastAsia="黑体" w:hAnsi="Times New Roman"/>
      <w:b/>
      <w:bCs/>
      <w:sz w:val="15"/>
      <w:szCs w:val="15"/>
      <w:lang w:bidi="ar-SA" w:eastAsia="zh-CN" w:val="en-US"/>
    </w:rPr>
  </w:style>
  <w:style w:styleId="HFUTTableCaption" w:type="paragraph">
    <w:name w:val="HFUT Table Caption"/>
    <w:basedOn w:val="Normal"/>
    <w:qFormat/>
    <w:pPr>
      <w:keepLines/>
      <w:spacing w:after="0" w:before="0" w:line="320" w:lineRule="exact"/>
      <w:jc w:val="center"/>
    </w:pPr>
    <w:rPr>
      <w:rFonts w:ascii="Times New Roman" w:cs="Times New Roman" w:eastAsia="黑体" w:hAnsi="Times New Roman"/>
      <w:b/>
      <w:bCs/>
      <w:sz w:val="15"/>
      <w:szCs w:val="15"/>
      <w:lang w:bidi="ar-SA" w:eastAsia="zh-CN" w:val="en-US"/>
    </w:rPr>
  </w:style>
  <w:style w:styleId="HFUTTableContent" w:type="paragraph">
    <w:name w:val="HFUT Table Content"/>
    <w:basedOn w:val="Normal"/>
    <w:qFormat/>
    <w:pPr>
      <w:keepLines/>
      <w:spacing w:after="0" w:before="0" w:line="240" w:lineRule="exact"/>
      <w:jc w:val="center"/>
    </w:pPr>
    <w:rPr>
      <w:rFonts w:ascii="Times New Roman" w:cs="Times New Roman" w:eastAsia="宋体" w:hAnsi="Times New Roman"/>
      <w:sz w:val="15"/>
      <w:szCs w:val="15"/>
      <w:lang w:bidi="ar-SA" w:eastAsia="zh-CN" w:val="en-US"/>
    </w:rPr>
  </w:style>
  <w:style w:styleId="HFUTReferenceHeading" w:type="paragraph">
    <w:name w:val="HFUT Reference Heading"/>
    <w:basedOn w:val="Normal"/>
    <w:qFormat/>
    <w:pPr>
      <w:keepNext/>
      <w:keepLines/>
      <w:spacing w:after="0" w:before="0" w:line="320" w:lineRule="exact"/>
      <w:jc w:val="left"/>
    </w:pPr>
    <w:rPr>
      <w:rFonts w:ascii="Times New Roman" w:cs="Times New Roman" w:eastAsia="黑体" w:hAnsi="Times New Roman"/>
      <w:b/>
      <w:bCs/>
      <w:sz w:val="21"/>
      <w:szCs w:val="21"/>
      <w:lang w:bidi="ar-SA" w:eastAsia="zh-CN" w:val="en-US"/>
    </w:rPr>
  </w:style>
  <w:style w:styleId="HFUTReferenceEntry" w:type="paragraph">
    <w:name w:val="HFUT Reference Entry"/>
    <w:basedOn w:val="Normal"/>
    <w:qFormat/>
    <w:pPr>
      <w:keepLines/>
      <w:spacing w:after="0" w:before="0" w:line="280" w:lineRule="exact"/>
      <w:ind w:hanging="360" w:left="360"/>
      <w:jc w:val="left"/>
    </w:pPr>
    <w:rPr>
      <w:rFonts w:ascii="Times New Roman" w:cs="Times New Roman" w:eastAsia="宋体" w:hAnsi="Times New Roman"/>
      <w:sz w:val="15"/>
      <w:szCs w:val="15"/>
      <w:lang w:bidi="ar-SA" w:eastAsia="zh-CN" w:val="en-US"/>
    </w:rPr>
  </w:style>
  <w:style w:styleId="HFUTAuthorBiography" w:type="paragraph">
    <w:name w:val="HFUT Author Biography"/>
    <w:basedOn w:val="Normal"/>
    <w:qFormat/>
    <w:pPr>
      <w:spacing w:after="0" w:before="0" w:line="280" w:lineRule="exact"/>
      <w:jc w:val="left"/>
    </w:pPr>
    <w:rPr>
      <w:rFonts w:ascii="Times New Roman" w:cs="Times New Roman" w:eastAsia="宋体" w:hAnsi="Times New Roman"/>
      <w:sz w:val="15"/>
      <w:szCs w:val="15"/>
      <w:lang w:bidi="ar-SA" w:eastAsia="zh-CN" w:val="en-US"/>
    </w:rPr>
  </w:style>
  <w:style w:styleId="HFUTFunding" w:type="paragraph">
    <w:name w:val="HFUT Funding"/>
    <w:basedOn w:val="Normal"/>
    <w:qFormat/>
    <w:pPr>
      <w:spacing w:after="0" w:before="0" w:line="280" w:lineRule="exact"/>
      <w:jc w:val="left"/>
    </w:pPr>
    <w:rPr>
      <w:rFonts w:ascii="Times New Roman" w:cs="Times New Roman" w:eastAsia="宋体" w:hAnsi="Times New Roman"/>
      <w:sz w:val="15"/>
      <w:szCs w:val="15"/>
      <w:lang w:bidi="ar-SA" w:eastAsia="zh-CN" w:val="en-US"/>
    </w:rPr>
  </w:style>
  <w:style w:styleId="HFUTAcknowledgement" w:type="paragraph">
    <w:name w:val="HFUT Acknowledgement"/>
    <w:basedOn w:val="Normal"/>
    <w:qFormat/>
    <w:pPr>
      <w:spacing w:after="0" w:before="0" w:line="280" w:lineRule="exact"/>
      <w:jc w:val="left"/>
    </w:pPr>
    <w:rPr>
      <w:rFonts w:ascii="Times New Roman" w:cs="Times New Roman" w:eastAsia="宋体" w:hAnsi="Times New Roman"/>
      <w:sz w:val="15"/>
      <w:szCs w:val="15"/>
      <w:lang w:bidi="ar-SA" w:eastAsia="zh-CN" w:val="en-US"/>
    </w:rPr>
  </w:style>
  <w:style w:styleId="BodyText" w:type="paragraph">
    <w:name w:val="Body Text"/>
    <w:basedOn w:val="HFUTBody"/>
    <w:qFormat/>
    <w:pPr>
      <w:spacing w:after="0" w:before="0" w:line="320" w:lineRule="exact"/>
      <w:ind w:firstLine="438"/>
      <w:jc w:val="both"/>
    </w:pPr>
    <w:rPr>
      <w:rFonts w:ascii="Times New Roman" w:cs="Times New Roman" w:eastAsia="宋体" w:hAnsi="Times New Roman"/>
      <w:sz w:val="21"/>
      <w:szCs w:val="21"/>
      <w:lang w:bidi="ar-SA" w:eastAsia="zh-CN" w:val="en-US"/>
    </w:rPr>
  </w:style>
  <w:style w:styleId="Title" w:type="paragraph">
    <w:name w:val="Title"/>
    <w:basedOn w:val="HFUTTitleCN"/>
    <w:qFormat/>
    <w:pPr>
      <w:keepNext/>
      <w:spacing w:after="0" w:before="0"/>
      <w:jc w:val="center"/>
    </w:pPr>
    <w:rPr>
      <w:rFonts w:ascii="Times New Roman" w:cs="Times New Roman" w:eastAsia="宋体" w:hAnsi="Times New Roman"/>
      <w:b/>
      <w:bCs/>
      <w:sz w:val="44"/>
      <w:szCs w:val="44"/>
      <w:lang w:bidi="ar-SA" w:eastAsia="zh-CN" w:val="en-US"/>
    </w:rPr>
  </w:style>
  <w:style w:styleId="Subtitle" w:type="paragraph">
    <w:name w:val="Subtitle"/>
    <w:basedOn w:val="HFUTTitleEN"/>
    <w:qFormat/>
    <w:pPr>
      <w:keepNext/>
      <w:spacing w:after="0" w:before="0"/>
      <w:jc w:val="center"/>
    </w:pPr>
    <w:rPr>
      <w:rFonts w:ascii="Times New Roman" w:cs="Times New Roman" w:eastAsia="Times New Roman" w:hAnsi="Times New Roman"/>
      <w:b/>
      <w:bCs/>
      <w:sz w:val="28"/>
      <w:szCs w:val="28"/>
      <w:lang w:bidi="ar-SA" w:eastAsia="zh-CN" w:val="en-US"/>
    </w:rPr>
  </w:style>
  <w:style w:styleId="Author" w:type="paragraph">
    <w:name w:val="Author"/>
    <w:basedOn w:val="HFUTAuthorsEN"/>
    <w:qFormat/>
    <w:pPr>
      <w:spacing w:after="0" w:before="0"/>
      <w:jc w:val="center"/>
    </w:pPr>
    <w:rPr>
      <w:rFonts w:ascii="Times New Roman" w:cs="Times New Roman" w:eastAsia="Times New Roman" w:hAnsi="Times New Roman"/>
      <w:b/>
      <w:bCs/>
      <w:sz w:val="21"/>
      <w:szCs w:val="21"/>
      <w:lang w:bidi="ar-SA" w:eastAsia="zh-CN" w:val="en-US"/>
    </w:rPr>
  </w:style>
  <w:style w:styleId="Abstract" w:type="paragraph">
    <w:name w:val="Abstract"/>
    <w:basedOn w:val="HFUTAbstractBodyEN"/>
    <w:qFormat/>
    <w:pPr>
      <w:spacing w:after="0" w:before="0" w:line="280" w:lineRule="exact"/>
      <w:jc w:val="both"/>
    </w:pPr>
    <w:rPr>
      <w:rFonts w:ascii="Times New Roman" w:cs="Times New Roman" w:eastAsia="Times New Roman" w:hAnsi="Times New Roman"/>
      <w:sz w:val="21"/>
      <w:szCs w:val="21"/>
      <w:lang w:bidi="ar-SA" w:eastAsia="zh-CN" w:val="en-US"/>
    </w:rPr>
  </w:style>
  <w:style w:styleId="Heading1" w:type="paragraph">
    <w:name w:val="Heading 1"/>
    <w:basedOn w:val="HFUTHeading1"/>
    <w:qFormat/>
    <w:pPr>
      <w:keepNext/>
      <w:keepLines/>
      <w:spacing w:after="0" w:before="0" w:line="320" w:lineRule="exact"/>
      <w:jc w:val="left"/>
      <w:outlineLvl w:val="0"/>
    </w:pPr>
    <w:rPr>
      <w:rFonts w:ascii="Times New Roman" w:cs="Times New Roman" w:eastAsia="黑体" w:hAnsi="Times New Roman"/>
      <w:b/>
      <w:bCs/>
      <w:sz w:val="28"/>
      <w:szCs w:val="28"/>
      <w:lang w:bidi="ar-SA" w:eastAsia="zh-CN" w:val="en-US"/>
    </w:rPr>
  </w:style>
  <w:style w:styleId="Heading2" w:type="paragraph">
    <w:name w:val="Heading 2"/>
    <w:basedOn w:val="HFUTHeading2"/>
    <w:qFormat/>
    <w:pPr>
      <w:keepNext/>
      <w:keepLines/>
      <w:spacing w:after="0" w:before="0" w:line="320" w:lineRule="exact"/>
      <w:jc w:val="left"/>
      <w:outlineLvl w:val="1"/>
    </w:pPr>
    <w:rPr>
      <w:rFonts w:ascii="Times New Roman" w:cs="Times New Roman" w:eastAsia="黑体" w:hAnsi="Times New Roman"/>
      <w:b/>
      <w:bCs/>
      <w:sz w:val="21"/>
      <w:szCs w:val="21"/>
      <w:lang w:bidi="ar-SA" w:eastAsia="zh-CN" w:val="en-US"/>
    </w:rPr>
  </w:style>
  <w:style w:styleId="Heading3" w:type="paragraph">
    <w:name w:val="Heading 3"/>
    <w:basedOn w:val="HFUTHeading3"/>
    <w:qFormat/>
    <w:pPr>
      <w:keepNext/>
      <w:keepLines/>
      <w:spacing w:after="0" w:before="0" w:line="320" w:lineRule="exact"/>
      <w:jc w:val="left"/>
      <w:outlineLvl w:val="2"/>
    </w:pPr>
    <w:rPr>
      <w:rFonts w:ascii="Times New Roman" w:cs="Times New Roman" w:eastAsia="楷体" w:hAnsi="Times New Roman"/>
      <w:sz w:val="21"/>
      <w:szCs w:val="21"/>
      <w:lang w:bidi="ar-SA" w:eastAsia="zh-CN" w:val="en-US"/>
    </w:rPr>
  </w:style>
  <w:style w:styleId="Caption" w:type="paragraph">
    <w:name w:val="Caption"/>
    <w:basedOn w:val="HFUTFigureCaption"/>
    <w:qFormat/>
    <w:pPr>
      <w:keepLines/>
      <w:spacing w:after="0" w:before="0" w:line="320" w:lineRule="exact"/>
      <w:jc w:val="center"/>
    </w:pPr>
    <w:rPr>
      <w:rFonts w:ascii="Times New Roman" w:cs="Times New Roman" w:eastAsia="黑体" w:hAnsi="Times New Roman"/>
      <w:b/>
      <w:bCs/>
      <w:sz w:val="15"/>
      <w:szCs w:val="15"/>
      <w:lang w:bidi="ar-SA" w:eastAsia="zh-CN" w:val="en-US"/>
    </w:rPr>
  </w:style>
  <w:style w:styleId="Table" w:type="paragraph">
    <w:name w:val="Table"/>
    <w:basedOn w:val="HFUTTableContent"/>
    <w:qFormat/>
    <w:pPr>
      <w:keepLines/>
      <w:spacing w:after="0" w:before="0" w:line="240" w:lineRule="exact"/>
      <w:jc w:val="center"/>
    </w:pPr>
    <w:rPr>
      <w:rFonts w:ascii="Times New Roman" w:cs="Times New Roman" w:eastAsia="宋体" w:hAnsi="Times New Roman"/>
      <w:sz w:val="15"/>
      <w:szCs w:val="15"/>
      <w:lang w:bidi="ar-SA" w:eastAsia="zh-CN" w:val="en-US"/>
    </w:rPr>
  </w:style>
  <w:style w:styleId="Bibliography" w:type="paragraph">
    <w:name w:val="Bibliography"/>
    <w:basedOn w:val="HFUTReferenceEntry"/>
    <w:qFormat/>
    <w:pPr>
      <w:keepLines/>
      <w:spacing w:after="0" w:before="0" w:line="280" w:lineRule="exact"/>
      <w:ind w:hanging="360" w:left="360"/>
      <w:jc w:val="left"/>
    </w:pPr>
    <w:rPr>
      <w:rFonts w:ascii="Times New Roman" w:cs="Times New Roman" w:eastAsia="宋体" w:hAnsi="Times New Roman"/>
      <w:sz w:val="15"/>
      <w:szCs w:val="15"/>
      <w:lang w:bidi="ar-SA" w:eastAsia="zh-CN" w:val="en-US"/>
    </w:rPr>
  </w:style>
  <w:style w:styleId="HFUTAbstractLabelCNChar" w:type="character">
    <w:name w:val="HFUT Abstract Label CN Char"/>
    <w:basedOn w:val="DefaultParagraphFont"/>
    <w:qFormat/>
    <w:rPr>
      <w:rFonts w:ascii="Times New Roman" w:cs="Times New Roman" w:eastAsia="黑体" w:hAnsi="Times New Roman"/>
      <w:b/>
      <w:bCs/>
      <w:sz w:val="18"/>
      <w:szCs w:val="18"/>
      <w:lang w:bidi="ar-SA" w:eastAsia="zh-CN" w:val="en-US"/>
    </w:rPr>
  </w:style>
  <w:style w:styleId="HFUTKeywordsLabelCNChar" w:type="character">
    <w:name w:val="HFUT Keywords Label CN Char"/>
    <w:basedOn w:val="DefaultParagraphFont"/>
    <w:qFormat/>
    <w:rPr>
      <w:rFonts w:ascii="Times New Roman" w:cs="Times New Roman" w:eastAsia="黑体" w:hAnsi="Times New Roman"/>
      <w:b/>
      <w:bCs/>
      <w:sz w:val="18"/>
      <w:szCs w:val="18"/>
      <w:lang w:bidi="ar-SA" w:eastAsia="zh-CN" w:val="en-US"/>
    </w:rPr>
  </w:style>
  <w:style w:styleId="HFUTAbstractLabelENChar" w:type="character">
    <w:name w:val="HFUT Abstract Label EN Char"/>
    <w:basedOn w:val="DefaultParagraphFont"/>
    <w:qFormat/>
    <w:rPr>
      <w:rFonts w:ascii="Times New Roman" w:cs="Times New Roman" w:eastAsia="Times New Roman" w:hAnsi="Times New Roman"/>
      <w:b/>
      <w:bCs/>
      <w:sz w:val="21"/>
      <w:szCs w:val="21"/>
      <w:lang w:bidi="ar-SA" w:eastAsia="zh-CN" w:val="en-US"/>
    </w:rPr>
  </w:style>
  <w:style w:styleId="HFUTKeywordsLabelENChar" w:type="character">
    <w:name w:val="HFUT Keywords Label EN Char"/>
    <w:basedOn w:val="DefaultParagraphFont"/>
    <w:qFormat/>
    <w:rPr>
      <w:rFonts w:ascii="Times New Roman" w:cs="Times New Roman" w:eastAsia="Times New Roman" w:hAnsi="Times New Roman"/>
      <w:b/>
      <w:bCs/>
      <w:sz w:val="21"/>
      <w:szCs w:val="21"/>
      <w:lang w:bidi="ar-SA" w:eastAsia="zh-CN" w:val="en-US"/>
    </w:rPr>
  </w:style>
  <w:style w:styleId="HFUTLatin" w:type="character">
    <w:name w:val="HFUT Latin"/>
    <w:basedOn w:val="DefaultParagraphFont"/>
    <w:qFormat/>
    <w:rPr>
      <w:rFonts w:ascii="Times New Roman" w:cs="Times New Roman" w:eastAsia="Times New Roman" w:hAnsi="Times New Roman"/>
      <w:sz w:val="21"/>
      <w:szCs w:val="21"/>
      <w:lang w:bidi="ar-SA" w:eastAsia="zh-CN" w:val="en-US"/>
    </w:rPr>
  </w:style>
  <w:style w:styleId="HFUTThreeLineTable" w:type="table">
    <w:name w:val="HFUT Three Line Table"/>
    <w:basedOn w:val="TableNormal"/>
    <w:qFormat/>
    <w:tblPr>
      <w:tblBorders>
        <w:top w:color="000000" w:space="0" w:sz="8" w:val="single"/>
        <w:left w:val="nil"/>
        <w:bottom w:color="000000" w:space="0" w:sz="8" w:val="single"/>
        <w:right w:val="nil"/>
        <w:insideH w:color="000000" w:space="0" w:sz="4" w:val="single"/>
        <w:insideV w:val="nil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tblBorders>
          <w:bottom w:color="000000" w:space="0" w:sz="4" w:val="single"/>
        </w:tblBorders>
      </w:tbl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2" Target="numbering.xml" /><Relationship Type="http://schemas.openxmlformats.org/officeDocument/2006/relationships/styles" Id="rId11" Target="styles.xml" /><Relationship Type="http://schemas.openxmlformats.org/officeDocument/2006/relationships/settings" Id="rId10" Target="settings.xml" /><Relationship Type="http://schemas.openxmlformats.org/officeDocument/2006/relationships/webSettings" Id="rId9" Target="webSettings.xml" /><Relationship Type="http://schemas.openxmlformats.org/officeDocument/2006/relationships/fontTable" Id="rId8" Target="fontTable.xml" /><Relationship Type="http://schemas.openxmlformats.org/officeDocument/2006/relationships/theme" Id="rId7" Target="theme/theme1.xml" /><Relationship Type="http://schemas.openxmlformats.org/officeDocument/2006/relationships/footnotes" Id="rId6" Target="footnotes.xml" /><Relationship Type="http://schemas.openxmlformats.org/officeDocument/2006/relationships/comments" Id="rId5" Target="comments.xml" /><Relationship Id="rId4" Target="footer1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hyperlink" Id="rId51" Target="https://docs.nvidia.com/cuda/archive/12.6.0/cuda-c-best-practices-guide/index.html" TargetMode="External" /><Relationship Type="http://schemas.openxmlformats.org/officeDocument/2006/relationships/hyperlink" Id="rId57" Target="https://docs.nvidia.com/cuda/archive/12.6.0/cuda-c-programming-guide/index.html" TargetMode="External" /><Relationship Type="http://schemas.openxmlformats.org/officeDocument/2006/relationships/hyperlink" Id="rId45" Target="https://docs.nvidia.com/deeplearning/tensorrt/archives/tensorrt-1030/pdf/TensorRT-Release-Notes.pdf" TargetMode="External" /><Relationship Type="http://schemas.openxmlformats.org/officeDocument/2006/relationships/hyperlink" Id="rId35" Target="https://docs.ultralytics.com/models/yolov8/" TargetMode="External" /><Relationship Type="http://schemas.openxmlformats.org/officeDocument/2006/relationships/hyperlink" Id="rId65" Target="https://doi.org/10.1007/s10845-025-02672-8" TargetMode="External" /><Relationship Type="http://schemas.openxmlformats.org/officeDocument/2006/relationships/hyperlink" Id="rId29" Target="https://doi.org/10.1007/s40747-024-01362-x" TargetMode="External" /><Relationship Type="http://schemas.openxmlformats.org/officeDocument/2006/relationships/hyperlink" Id="rId27" Target="https://doi.org/10.1016/j.apsusc.2013.09.002" TargetMode="External" /><Relationship Type="http://schemas.openxmlformats.org/officeDocument/2006/relationships/hyperlink" Id="rId49" Target="https://doi.org/10.1016/j.hspr.2024.02.001" TargetMode="External" /><Relationship Type="http://schemas.openxmlformats.org/officeDocument/2006/relationships/hyperlink" Id="rId33" Target="https://doi.org/10.1109/ACCESS.2024.3476908" TargetMode="External" /><Relationship Type="http://schemas.openxmlformats.org/officeDocument/2006/relationships/hyperlink" Id="rId59" Target="https://doi.org/10.1109/ACCESS.2024.3520240" TargetMode="External" /><Relationship Type="http://schemas.openxmlformats.org/officeDocument/2006/relationships/hyperlink" Id="rId37" Target="https://doi.org/10.1109/ICCVW54120.2021.00118" TargetMode="External" /><Relationship Type="http://schemas.openxmlformats.org/officeDocument/2006/relationships/hyperlink" Id="rId53" Target="https://doi.org/10.1109/RTAS48715.2020.00007" TargetMode="External" /><Relationship Type="http://schemas.openxmlformats.org/officeDocument/2006/relationships/hyperlink" Id="rId61" Target="https://doi.org/10.1145/2408776.2408794" TargetMode="External" /><Relationship Type="http://schemas.openxmlformats.org/officeDocument/2006/relationships/hyperlink" Id="rId39" Target="https://doi.org/10.1145/3711875.3736688" TargetMode="External" /><Relationship Type="http://schemas.openxmlformats.org/officeDocument/2006/relationships/hyperlink" Id="rId47" Target="https://doi.org/10.24963/ijcai.2024/474" TargetMode="External" /><Relationship Type="http://schemas.openxmlformats.org/officeDocument/2006/relationships/hyperlink" Id="rId63" Target="https://doi.org/10.3390/app12083734" TargetMode="External" /><Relationship Type="http://schemas.openxmlformats.org/officeDocument/2006/relationships/hyperlink" Id="rId41" Target="https://doi.org/10.3390/electronics13081551" TargetMode="External" /><Relationship Type="http://schemas.openxmlformats.org/officeDocument/2006/relationships/hyperlink" Id="rId25" Target="https://doi.org/10.3390/s20061562" TargetMode="External" /><Relationship Type="http://schemas.openxmlformats.org/officeDocument/2006/relationships/hyperlink" Id="rId31" Target="https://doi.org/10.3390/s24196495" TargetMode="External" /><Relationship Type="http://schemas.openxmlformats.org/officeDocument/2006/relationships/hyperlink" Id="rId55" Target="https://doi.org/10.4230/OASIcs.PARMA-DITAM.2025.1" TargetMode="External" /><Relationship Id="rId66" Type="http://schemas.openxmlformats.org/officeDocument/2006/relationships/footer" Target="footer2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cs.nvidia.com/cuda/archive/12.6.0/cuda-c-best-practices-guide/index.html" TargetMode="External" /><Relationship Type="http://schemas.openxmlformats.org/officeDocument/2006/relationships/hyperlink" Id="rId57" Target="https://docs.nvidia.com/cuda/archive/12.6.0/cuda-c-programming-guide/index.html" TargetMode="External" /><Relationship Type="http://schemas.openxmlformats.org/officeDocument/2006/relationships/hyperlink" Id="rId45" Target="https://docs.nvidia.com/deeplearning/tensorrt/archives/tensorrt-1030/pdf/TensorRT-Release-Notes.pdf" TargetMode="External" /><Relationship Type="http://schemas.openxmlformats.org/officeDocument/2006/relationships/hyperlink" Id="rId35" Target="https://docs.ultralytics.com/models/yolov8/" TargetMode="External" /><Relationship Type="http://schemas.openxmlformats.org/officeDocument/2006/relationships/hyperlink" Id="rId65" Target="https://doi.org/10.1007/s10845-025-02672-8" TargetMode="External" /><Relationship Type="http://schemas.openxmlformats.org/officeDocument/2006/relationships/hyperlink" Id="rId29" Target="https://doi.org/10.1007/s40747-024-01362-x" TargetMode="External" /><Relationship Type="http://schemas.openxmlformats.org/officeDocument/2006/relationships/hyperlink" Id="rId27" Target="https://doi.org/10.1016/j.apsusc.2013.09.002" TargetMode="External" /><Relationship Type="http://schemas.openxmlformats.org/officeDocument/2006/relationships/hyperlink" Id="rId49" Target="https://doi.org/10.1016/j.hspr.2024.02.001" TargetMode="External" /><Relationship Type="http://schemas.openxmlformats.org/officeDocument/2006/relationships/hyperlink" Id="rId33" Target="https://doi.org/10.1109/ACCESS.2024.3476908" TargetMode="External" /><Relationship Type="http://schemas.openxmlformats.org/officeDocument/2006/relationships/hyperlink" Id="rId59" Target="https://doi.org/10.1109/ACCESS.2024.3520240" TargetMode="External" /><Relationship Type="http://schemas.openxmlformats.org/officeDocument/2006/relationships/hyperlink" Id="rId37" Target="https://doi.org/10.1109/ICCVW54120.2021.00118" TargetMode="External" /><Relationship Type="http://schemas.openxmlformats.org/officeDocument/2006/relationships/hyperlink" Id="rId53" Target="https://doi.org/10.1109/RTAS48715.2020.00007" TargetMode="External" /><Relationship Type="http://schemas.openxmlformats.org/officeDocument/2006/relationships/hyperlink" Id="rId61" Target="https://doi.org/10.1145/2408776.2408794" TargetMode="External" /><Relationship Type="http://schemas.openxmlformats.org/officeDocument/2006/relationships/hyperlink" Id="rId39" Target="https://doi.org/10.1145/3711875.3736688" TargetMode="External" /><Relationship Type="http://schemas.openxmlformats.org/officeDocument/2006/relationships/hyperlink" Id="rId47" Target="https://doi.org/10.24963/ijcai.2024/474" TargetMode="External" /><Relationship Type="http://schemas.openxmlformats.org/officeDocument/2006/relationships/hyperlink" Id="rId63" Target="https://doi.org/10.3390/app12083734" TargetMode="External" /><Relationship Type="http://schemas.openxmlformats.org/officeDocument/2006/relationships/hyperlink" Id="rId41" Target="https://doi.org/10.3390/electronics13081551" TargetMode="External" /><Relationship Type="http://schemas.openxmlformats.org/officeDocument/2006/relationships/hyperlink" Id="rId25" Target="https://doi.org/10.3390/s20061562" TargetMode="External" /><Relationship Type="http://schemas.openxmlformats.org/officeDocument/2006/relationships/hyperlink" Id="rId31" Target="https://doi.org/10.3390/s24196495" TargetMode="External" /><Relationship Type="http://schemas.openxmlformats.org/officeDocument/2006/relationships/hyperlink" Id="rId55" Target="https://doi.org/10.4230/OASIcs.PARMA-DITAM.2025.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Python standard library deterministic OOXML builder</Application>
  <DocSecurity>0</DocSecurity>
  <ScaleCrop>false</ScaleCrop>
  <Company>Project-owned candidate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2026-08-16T07:50:59Z</dcterms:created>
  <dcterms:modified xsi:type="dcterms:W3CDTF">2026-08-16T07:50:59Z</dcterms:modified>
</cp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affiliation-cn">
    <ns1:lpwstr>合肥工业大学数学学院，安徽 合肥 230601</ns1:lpwstr>
  </ns0:property>
  <ns0:property fmtid="{D5CDD505-2E9C-101B-9397-08002B2CF9AE}" pid="3" name="affiliation-en">
    <ns1:lpwstr>School of Mathematics, Hefei University of Technology, Hefei 230601, China</ns1:lpwstr>
  </ns0:property>
  <ns0:property fmtid="{D5CDD505-2E9C-101B-9397-08002B2CF9AE}" pid="5" name="authors-cn">
    <ns1:lpwstr>王凯伦，王琦</ns1:lpwstr>
  </ns0:property>
  <ns0:property fmtid="{D5CDD505-2E9C-101B-9397-08002B2CF9AE}" pid="6" name="authors-en">
    <ns1:lpwstr>WANG Kailun, WANG Qi</ns1:lpwstr>
  </ns0:property>
  <ns0:property fmtid="{D5CDD505-2E9C-101B-9397-08002B2CF9AE}" pid="7" name="bibliography">
    <ns1:lpwstr/>
  </ns0:property>
  <ns0:property fmtid="{D5CDD505-2E9C-101B-9397-08002B2CF9AE}" pid="8" name="classification">
    <ns1:lpwstr>TP391.41</ns1:lpwstr>
  </ns0:property>
  <ns0:property fmtid="{D5CDD505-2E9C-101B-9397-08002B2CF9AE}" pid="9" name="corresponding-author-cn">
    <ns1:lpwstr>王琦</ns1:lpwstr>
  </ns0:property>
  <ns0:property fmtid="{D5CDD505-2E9C-101B-9397-08002B2CF9AE}" pid="10" name="corresponding-author-email">
    <ns1:lpwstr/>
  </ns0:property>
  <ns0:property fmtid="{D5CDD505-2E9C-101B-9397-08002B2CF9AE}" pid="11" name="corresponding-author-en">
    <ns1:lpwstr>WANG Qi</ns1:lpwstr>
  </ns0:property>
  <ns0:property fmtid="{D5CDD505-2E9C-101B-9397-08002B2CF9AE}" pid="12" name="csl">
    <ns1:lpwstr>docs/paper/manuscript/csl/hfut_gbt7714_2025_numeric_v1.0.csl</ns1:lpwstr>
  </ns0:property>
</ns0:Properties>
</file>