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16.png" ContentType="image/png"/>
  <Override PartName="/word/media/rId19.png" ContentType="image/png"/>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officeDocument/2006/math" xmlns:ns3="http://schemas.openxmlformats.org/drawingml/2006/wordprocessingDrawing" xmlns:ns4="http://schemas.openxmlformats.org/drawingml/2006/main" xmlns:ns5="http://schemas.openxmlformats.org/drawingml/2006/picture" xmlns:w="http://schemas.openxmlformats.org/wordprocessingml/2006/main">
  <w:body>
    <w:p>
      <w:pPr>
        <w:pStyle w:val="HFUTTitleCN"/>
      </w:pPr>
      <w:r>
        <w:rPr>
          <w:rFonts w:hint="eastAsia"/>
        </w:rPr>
        <w:t xml:space="preserve">Jetson端工业缺陷检测的输入数据路径重构</w:t>
      </w:r>
    </w:p>
    <w:p>
      <w:pPr>
        <w:pStyle w:val="HFUTAbstractBodyCN"/>
      </w:pPr>
      <w:r>
        <w:rPr>
          <w:rStyle w:val="HFUTAbstractLabelCNChar"/>
          <w:rFonts w:hint="eastAsia"/>
        </w:rPr>
        <w:t xml:space="preserve">摘要：</w:t>
      </w:r>
      <w:r>
        <w:rPr>
          <w:rFonts w:hint="eastAsia"/>
        </w:rPr>
        <w:t xml:space="preserve">在边缘工业缺陷检测中，低精度部署可以降低网络侧开销，但即使推理对象已经固定，输入数据路径仍不能由此唯一确定，输入形成及主机—设备数据移动开销也不会自动消除。为明确固定推理对象之外仍待评价的系统关系，本文将输入数据路径作为独立结构对象，研究不同范围的路径干预如何对应完整端到端响应。方法上，以跨边界表示、输入张量形成位置、额外打包原始图像暂存策略和执行拓扑描述路径，通过路径级重构与单变量暂存细化形成层级受控比较，并以任务正确性保持作为性能比较准入条件，分别评价完整端到端均值与尾部响应。冻结180幅图像的离线回放结果表明，三条路径的任务级指标一致；路径级重构使FPS达到2.24×、平均端到端延迟降低55.45%，其后的暂存策略细化仅带来约4%的平均改善，且未形成一致的P95/P99改善。因而，在本文受测平台与配置内，路径级结构决策应先与局部暂存策略分离，平均响应也不能替代尾部响应评价。</w:t>
      </w:r>
    </w:p>
    <w:p>
      <w:pPr>
        <w:pStyle w:val="HFUTKeywordsBodyCN"/>
      </w:pPr>
      <w:r>
        <w:rPr>
          <w:rStyle w:val="HFUTKeywordsLabelCNChar"/>
          <w:rFonts w:hint="eastAsia"/>
        </w:rPr>
        <w:t xml:space="preserve">关键词：</w:t>
      </w:r>
      <w:r>
        <w:rPr>
          <w:rFonts w:hint="eastAsia"/>
        </w:rPr>
        <w:t xml:space="preserve">Jetson；工业缺陷检测；输入数据路径；端到端推理；受控比较</w:t>
      </w:r>
    </w:p>
    <w:p>
      <w:pPr>
        <w:pStyle w:val="HFUTTitleEN"/>
      </w:pPr>
      <w:r>
        <w:t xml:space="preserve">Input Data-Path Reconstruction for Industrial Defect Detection on Jetson</w:t>
      </w:r>
    </w:p>
    <w:p>
      <w:pPr>
        <w:pStyle w:val="HFUTAbstractBodyEN"/>
      </w:pPr>
      <w:r>
        <w:rPr>
          <w:rStyle w:val="HFUTAbstractLabelENChar"/>
        </w:rPr>
        <w:t xml:space="preserve">Abstract:</w:t>
      </w:r>
      <w:r>
        <w:t xml:space="preserve"> </w:t>
      </w:r>
      <w:r>
        <w:t xml:space="preserve">In edge-based industrial defect detection, low-precision deployment can reduce network-side cost; even after the inference object is fixed, however, the input data path is not uniquely determined, and input-formation and host-device data-movement costs are not automatically eliminated. To make the remaining system relation explicit, this study treats the input data path under a fixed inference object as a separate structural evaluation object and examines how interventions of different scopes correspond to complete end-to-end responses. A path is described by the representation crossing the host-device boundary, the location where the input tensor is formed, the policy for additional packed raw-image host staging, and the execution topology. Hierarchical controlled comparisons separate path-level reconstruction from single-variable staging refinement; performance comparison is admitted only when task correctness is preserved, and mean and tail responses are evaluated separately. Offline replay of the frozen 180-image workload yields identical task-level metrics across all three paths. The path-level reconstruction reaches 2.24× FPS and reduces mean end-to-end latency by 55.45%; the subsequent staging-policy refinement provides an approximately 4% mean improvement but no consistent P95/P99 improvement. Within the tested platform and configuration, path-level structural decisions should therefore be separated from local staging policies, and mean response should not substitute for tail-response evaluation.</w:t>
      </w:r>
    </w:p>
    <w:p>
      <w:pPr>
        <w:pStyle w:val="HFUTKeywordsBodyEN"/>
      </w:pPr>
      <w:r>
        <w:rPr>
          <w:rStyle w:val="HFUTKeywordsLabelENChar"/>
        </w:rPr>
        <w:t xml:space="preserve">Keywords:</w:t>
      </w:r>
      <w:r>
        <w:t xml:space="preserve"> </w:t>
      </w:r>
      <w:r>
        <w:t xml:space="preserve">Jetson; industrial defect detection; input data path; end-to-end inference; controlled comparison</w:t>
      </w:r>
    </w:p>
    <w:p>
      <w:pPr>
        <w:pStyle w:val="HFUTClassification"/>
      </w:pPr>
      <w:r>
        <w:rPr>
          <w:rFonts w:hint="eastAsia"/>
        </w:rPr>
        <w:t xml:space="preserve">中图分类号：TP391.41</w:t>
      </w:r>
    </w:p>
    <w:p>
      <w:pPr>
        <w:pStyle w:val="HFUTSpecimenNotice"/>
        <w:sectPr>
          <w:footerReference ns1:id="rId4" w:type="default"/>
          <w:footerReference w:type="first" ns1:id="rId63"/>
          <w:type w:val="continuous"/>
          <w:pgSz w:h="16838" w:orient="portrait" w:w="11906"/>
          <w:pgMar w:bottom="1134" w:footer="907" w:gutter="0" w:header="720" w:left="1304" w:right="1304" w:top="1361"/>
          <w:cols w:num="1" w:space="425"/>
          <w:titlePg/>
          <w:docGrid w:linePitch="360"/>
        </w:sectPr>
      </w:pPr>
    </w:p>
    <w:p>
      <w:pPr>
        <w:pStyle w:val="HFUTHeading1"/>
      </w:pPr>
      <w:r>
        <w:t xml:space="preserve">0 </w:t>
      </w:r>
      <w:r>
        <w:rPr>
          <w:rFonts w:hint="eastAsia"/>
        </w:rPr>
        <w:t xml:space="preserve">引言</w:t>
      </w:r>
    </w:p>
    <w:p>
      <w:pPr>
        <w:pStyle w:val="HFUTBody"/>
      </w:pPr>
      <w:r>
        <w:rPr>
          <w:rFonts w:hint="eastAsia"/>
        </w:rPr>
        <w:t xml:space="preserve">金属表面缺陷会影响产品质量与后续制造过程，因而需要在生产现场及时完成视觉检测。NEU-DET覆盖开裂、夹杂、斑块、点蚀表面、轧制氧化皮和划痕等典型热轧钢带缺陷，为这一任务提供了公开研究对象</w:t>
      </w:r>
      <w:r>
        <w:rPr>
          <w:vertAlign w:val="superscript"/>
        </w:rPr>
        <w:t xml:space="preserve">[1,2]</w:t>
      </w:r>
      <w:r>
        <w:rPr>
          <w:rFonts w:hint="eastAsia"/>
        </w:rPr>
        <w:t xml:space="preserve">。当检测过程部署到靠近数据源的边缘设备时，系统评价不仅涉及模型精度，还涉及从数据源取帧、输入形成、模型执行、后处理到结果构造的完整端到端（end-to-end，E2E）响应；仅以网络执行时间代替完整处理响应，无法覆盖模型入口之前的数据组织成本。</w:t>
      </w:r>
    </w:p>
    <w:p>
      <w:pPr>
        <w:pStyle w:val="HFUTBody"/>
      </w:pPr>
      <w:r>
        <w:rPr>
          <w:rFonts w:hint="eastAsia"/>
        </w:rPr>
        <w:t xml:space="preserve">检测模型研究通过轻量化骨干、注意力机制和多尺度特征融合改善精度与复杂度权衡</w:t>
      </w:r>
      <w:r>
        <w:rPr>
          <w:vertAlign w:val="superscript"/>
        </w:rPr>
        <w:t xml:space="preserve">[3–5]</w:t>
      </w:r>
      <w:r>
        <w:rPr>
          <w:rFonts w:hint="eastAsia"/>
        </w:rPr>
        <w:t xml:space="preserve">，YOLOv8也提供了训练、推理和导出链路</w:t>
      </w:r>
      <w:r>
        <w:rPr>
          <w:vertAlign w:val="superscript"/>
        </w:rPr>
        <w:t xml:space="preserve">[6]</w:t>
      </w:r>
      <w:r>
        <w:rPr>
          <w:rFonts w:hint="eastAsia"/>
        </w:rPr>
        <w:t xml:space="preserve">。这类工作定义了检测器及其网络结构，为边缘执行提供推理基础，却不能单独描述模型入口之前的数据组织。</w:t>
      </w:r>
    </w:p>
    <w:p>
      <w:pPr>
        <w:pStyle w:val="HFUTBody"/>
      </w:pPr>
      <w:r>
        <w:rPr>
          <w:rFonts w:hint="eastAsia"/>
        </w:rPr>
        <w:t xml:space="preserve">完整边缘检测链同时包含数据获取、预处理、模型执行、后处理与数据管理</w:t>
      </w:r>
      <w:r>
        <w:rPr>
          <w:vertAlign w:val="superscript"/>
        </w:rPr>
        <w:t xml:space="preserve">[7]</w:t>
      </w:r>
      <w:r>
        <w:rPr>
          <w:rFonts w:hint="eastAsia"/>
        </w:rPr>
        <w:t xml:space="preserve">，CPU与GPU之间的预处理调度会改变运行时路径</w:t>
      </w:r>
      <w:r>
        <w:rPr>
          <w:vertAlign w:val="superscript"/>
        </w:rPr>
        <w:t xml:space="preserve">[8]</w:t>
      </w:r>
      <w:r>
        <w:rPr>
          <w:rFonts w:hint="eastAsia"/>
        </w:rPr>
        <w:t xml:space="preserve">，工业现场应用也要求在设备附近完成端到端处理</w:t>
      </w:r>
      <w:r>
        <w:rPr>
          <w:vertAlign w:val="superscript"/>
        </w:rPr>
        <w:t xml:space="preserve">[9]</w:t>
      </w:r>
      <w:r>
        <w:rPr>
          <w:rFonts w:hint="eastAsia"/>
        </w:rPr>
        <w:t xml:space="preserve">。低精度部署可进一步压缩网络侧计算与存储开销，但量化误差仍须受到任务正确性约束</w:t>
      </w:r>
      <w:r>
        <w:rPr>
          <w:vertAlign w:val="superscript"/>
        </w:rPr>
        <w:t xml:space="preserve">[10,11]</w:t>
      </w:r>
      <w:r>
        <w:rPr>
          <w:rFonts w:hint="eastAsia"/>
        </w:rPr>
        <w:t xml:space="preserve">。本文据此固定检测器、输入、TensorRT</w:t>
      </w:r>
      <w:r>
        <w:t xml:space="preserve"> </w:t>
      </w:r>
      <w:r>
        <w:rPr>
          <w:rFonts w:hint="eastAsia"/>
        </w:rPr>
        <w:t xml:space="preserve">INT8混合精度Engine、工作负载与后处理语义；TensorRT</w:t>
      </w:r>
      <w:r>
        <w:t xml:space="preserve"> </w:t>
      </w:r>
      <w:r>
        <w:rPr>
          <w:rFonts w:hint="eastAsia"/>
        </w:rPr>
        <w:t xml:space="preserve">10.3的传统隐式INT8量化及calibrator接口具有明确版本边界</w:t>
      </w:r>
      <w:r>
        <w:rPr>
          <w:vertAlign w:val="superscript"/>
        </w:rPr>
        <w:t xml:space="preserve">[12]</w:t>
      </w:r>
      <w:r>
        <w:rPr>
          <w:rFonts w:hint="eastAsia"/>
        </w:rPr>
        <w:t xml:space="preserve">，相关部署研究也强调性能比较应维持任务行为</w:t>
      </w:r>
      <w:r>
        <w:rPr>
          <w:vertAlign w:val="superscript"/>
        </w:rPr>
        <w:t xml:space="preserve">[13]</w:t>
      </w:r>
      <w:r>
        <w:rPr>
          <w:rFonts w:hint="eastAsia"/>
        </w:rPr>
        <w:t xml:space="preserve">。然而，固定网络与Engine只定义了推理对象，并不唯一决定其输入数据路径。</w:t>
      </w:r>
    </w:p>
    <w:p>
      <w:pPr>
        <w:pStyle w:val="HFUTBody"/>
      </w:pPr>
      <w:r>
        <w:rPr>
          <w:rFonts w:hint="eastAsia"/>
        </w:rPr>
        <w:t xml:space="preserve">在推理对象固定后，输入路径仍须作出四类结构决策：以何种表示跨越主机—设备边界，模型输入张量在何处形成，额外打包原始图像采用何种主机暂存组织，以及各处理阶段采用何种执行拓扑。Jetson检测部署已有多种端到端组织</w:t>
      </w:r>
      <w:r>
        <w:rPr>
          <w:vertAlign w:val="superscript"/>
        </w:rPr>
        <w:t xml:space="preserve">[14]</w:t>
      </w:r>
      <w:r>
        <w:rPr>
          <w:rFonts w:hint="eastAsia"/>
        </w:rPr>
        <w:t xml:space="preserve">；主机内存类型与异步复制具有特定适用条件</w:t>
      </w:r>
      <w:r>
        <w:rPr>
          <w:vertAlign w:val="superscript"/>
        </w:rPr>
        <w:t xml:space="preserve">[15]</w:t>
      </w:r>
      <w:r>
        <w:rPr>
          <w:rFonts w:hint="eastAsia"/>
        </w:rPr>
        <w:t xml:space="preserve">，集成CPU-GPU系统和GPU内存分配研究表明内存策略响应取决于平台、工作负载和访问方式</w:t>
      </w:r>
      <w:r>
        <w:rPr>
          <w:vertAlign w:val="superscript"/>
        </w:rPr>
        <w:t xml:space="preserve">[16,17]</w:t>
      </w:r>
      <w:r>
        <w:rPr>
          <w:rFonts w:hint="eastAsia"/>
        </w:rPr>
        <w:t xml:space="preserve">，其执行语义还受流与复制规则约束</w:t>
      </w:r>
      <w:r>
        <w:rPr>
          <w:vertAlign w:val="superscript"/>
        </w:rPr>
        <w:t xml:space="preserve">[18]</w:t>
      </w:r>
      <w:r>
        <w:rPr>
          <w:rFonts w:hint="eastAsia"/>
        </w:rPr>
        <w:t xml:space="preserve">。并发或流水化研究则说明执行拓扑本身构成另一类系统选择</w:t>
      </w:r>
      <w:r>
        <w:rPr>
          <w:vertAlign w:val="superscript"/>
        </w:rPr>
        <w:t xml:space="preserve">[19]</w:t>
      </w:r>
      <w:r>
        <w:t xml:space="preserve">。</w:t>
      </w:r>
    </w:p>
    <w:p>
      <w:pPr>
        <w:pStyle w:val="HFUTBody"/>
      </w:pPr>
      <w:r>
        <w:rPr>
          <w:rFonts w:hint="eastAsia"/>
        </w:rPr>
        <w:t xml:space="preserve">上述工作为具体结构选择提供了实现与评价依据，但如果缺少统一的路径描述，不同改变容易被组织为彼此孤立的优化技巧：表示变化、张量形成位置迁移、暂存策略调整和执行拓扑变化可能在一次比较中同时发生，也可能只有一个变量改变。由此产生的核心评价问题不是若干技术“组合得不够”，而是缺少一个能够在正确性保持和统一E2E边界下区分耦合路径级干预与单变量局部细化的评价对象。平均响应之外，尾部响应还是独立的系统性能维度</w:t>
      </w:r>
      <w:r>
        <w:rPr>
          <w:vertAlign w:val="superscript"/>
        </w:rPr>
        <w:t xml:space="preserve">[20]</w:t>
      </w:r>
      <w:r>
        <w:rPr>
          <w:rFonts w:hint="eastAsia"/>
        </w:rPr>
        <w:t xml:space="preserve">；Jetson平台比较具有配置依赖性</w:t>
      </w:r>
      <w:r>
        <w:rPr>
          <w:vertAlign w:val="superscript"/>
        </w:rPr>
        <w:t xml:space="preserve">[21]</w:t>
      </w:r>
      <w:r>
        <w:rPr>
          <w:rFonts w:hint="eastAsia"/>
        </w:rPr>
        <w:t xml:space="preserve">，缺陷检测基准也要求明确数据和评价边界</w:t>
      </w:r>
      <w:r>
        <w:rPr>
          <w:vertAlign w:val="superscript"/>
        </w:rPr>
        <w:t xml:space="preserve">[22]</w:t>
      </w:r>
      <w:r>
        <w:rPr>
          <w:rFonts w:hint="eastAsia"/>
        </w:rPr>
        <w:t xml:space="preserve">。因此，结构变量的干预范围和响应维度均需被显式控制，而不能事后由某个API或组件名称代替。</w:t>
      </w:r>
    </w:p>
    <w:p>
      <w:pPr>
        <w:pStyle w:val="HFUTBody"/>
        <w:spacing w:before="0" w:after="0" w:line="360" w:lineRule="atLeast"/>
      </w:pPr>
      <w:r>
        <w:rPr>
          <w:rFonts w:hint="eastAsia"/>
        </w:rPr>
        <w:t xml:space="preserve">为解决这一评价对象与知识组织上的缺口，本文将固定推理对象下的输入数据路径表示为结构描述符</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并以任务正确性保持作为性能比较的逻辑准入条件。在此基础上提出两个研究问题：其一，在固定推理对象、工作负载和任务语义时，路径级耦合重构对完整E2E平均响应产生何种影响；其二，在其余结构变量、GPU预处理语义及下游结构固定时，主机暂存策略的单变量变化是否产生额外平均响应，以及P95/P99是否呈现一致改善。两项问题的形式化表述见1.3节。</w:t>
      </w:r>
    </w:p>
    <w:p>
      <w:pPr>
        <w:pStyle w:val="HFUTBody"/>
      </w:pPr>
      <w:r>
        <w:rPr>
          <w:rFonts w:hint="eastAsia"/>
        </w:rPr>
        <w:t xml:space="preserve">本文的主要贡献包括两点：1）面向固定推理对象，建立由跨主机—设备边界表示、输入张量形成位置、额外打包原始图像暂存策略和执行拓扑构成的输入数据路径抽象，使两级比较能够按受控结构变量范围区分；2）在任务正确性保持条件下，分别评价路径级耦合重构和暂存策略级细化，联合给出E2E均值、吞吐率及P95/P99响应，并形成受限于本文平台与配置的路径评价原则。</w:t>
      </w:r>
    </w:p>
    <w:p>
      <w:pPr>
        <w:pStyle w:val="HFUTHeading1"/>
      </w:pPr>
      <w:r>
        <w:t xml:space="preserve">1 </w:t>
      </w:r>
      <w:r>
        <w:rPr>
          <w:rFonts w:hint="eastAsia"/>
        </w:rPr>
        <w:t xml:space="preserve">输入数据路径模型与问题表述</w:t>
      </w:r>
    </w:p>
    <w:p>
      <w:pPr>
        <w:pStyle w:val="HFUTHeading2"/>
      </w:pPr>
      <w:r>
        <w:t xml:space="preserve">1.1 </w:t>
      </w:r>
      <w:r>
        <w:rPr>
          <w:rFonts w:hint="eastAsia"/>
        </w:rPr>
        <w:t xml:space="preserve">固定推理对象与系统边界</w:t>
      </w:r>
    </w:p>
    <w:p>
      <w:pPr>
        <w:pStyle w:val="HFUTBody"/>
      </w:pPr>
      <w:r>
        <w:rPr>
          <w:rFonts w:hint="eastAsia"/>
        </w:rPr>
        <w:t xml:space="preserve">本文将检测器、Engine、输入尺寸、工作负载与后处理语义的组合记为固定推理对象。具体对象为YOLOv8n、640×640输入、batch</w:t>
      </w:r>
      <w:r>
        <w:t xml:space="preserve"> size </w:t>
      </w:r>
      <w:r>
        <w:rPr>
          <w:rFonts w:hint="eastAsia"/>
        </w:rPr>
        <w:t xml:space="preserve">1和同一TensorRT</w:t>
      </w:r>
      <w:r>
        <w:t xml:space="preserve"> </w:t>
      </w:r>
      <w:r>
        <w:rPr>
          <w:rFonts w:hint="eastAsia"/>
        </w:rPr>
        <w:t xml:space="preserve">INT8混合精度Engine；该Engine启用INT8与FP16</w:t>
      </w:r>
      <w:r>
        <w:t xml:space="preserve"> </w:t>
      </w:r>
      <w:r>
        <w:rPr>
          <w:rFonts w:hint="eastAsia"/>
        </w:rPr>
        <w:t xml:space="preserve">fallback并保持FP32</w:t>
      </w:r>
      <w:r>
        <w:t xml:space="preserve"> </w:t>
      </w:r>
      <w:r>
        <w:rPr>
          <w:rFonts w:hint="eastAsia"/>
        </w:rPr>
        <w:t xml:space="preserve">I/O。工作负载固定为NEU-DET</w:t>
      </w:r>
      <w:r>
        <w:t xml:space="preserve"> </w:t>
      </w:r>
      <w:r>
        <w:rPr>
          <w:rFonts w:hint="eastAsia"/>
        </w:rPr>
        <w:t xml:space="preserve">split-v2的180幅测试图像，置信度阈值、IoU阈值、候选框上限和class-aware单标签后处理在全部路径中不变。平台与软件版本属于实验条件，列于表2，不作为路径结构变量。</w:t>
      </w:r>
    </w:p>
    <w:p>
      <w:pPr>
        <w:pStyle w:val="HFUTBody"/>
      </w:pPr>
      <w:r>
        <w:rPr>
          <w:rFonts w:hint="eastAsia"/>
        </w:rPr>
        <w:t xml:space="preserve">系统边界采用单帧顺序执行：从获取数据源帧前开始，经图像解码、输入形成、主机—设备数据移动、Engine推理与同步、输出回传、CPU后处理和结果构造，至结果序列化及写文件前结束。该边界不包含跨帧流水线、显式传输/计算重叠、多流执行、zero-copy或GPU</w:t>
      </w:r>
      <w:r>
        <w:t xml:space="preserve"> NMS。</w:t>
      </w:r>
    </w:p>
    <w:p>
      <w:pPr>
        <w:pStyle w:val="HFUTHeading2"/>
      </w:pPr>
      <w:r>
        <w:t xml:space="preserve">1.2 </w:t>
      </w:r>
      <w:r>
        <w:rPr>
          <w:rFonts w:hint="eastAsia"/>
        </w:rPr>
        <w:t xml:space="preserve">路径描述符与名义复制载荷</w:t>
      </w:r>
    </w:p>
    <w:p>
      <w:pPr>
        <w:pStyle w:val="HFUTBody"/>
      </w:pPr>
      <w:r>
        <w:rPr>
          <w:rFonts w:hint="eastAsia"/>
        </w:rPr>
        <w:t xml:space="preserve">固定推理对象只约束网络执行及任务语义，并不唯一确定模型输入如何到达Engine。其输入路径仍须决定四类结构关系：跨越主机—设备边界的表示、模型输入张量的形成位置、任何额外打包原始图像的主机暂存组织，以及各阶段的执行拓扑。基于这四类仍未被固定的决策，将一条输入数据路径表示为</w:t>
      </w:r>
    </w:p>
    <w:p>
      <w:pPr>
        <w:pStyle w:val="HFUTEquation"/>
        <w:tabs>
          <w:tab w:val="center" w:pos="2205"/>
          <w:tab w:val="right" w:pos="4410"/>
        </w:tabs>
        <w:jc w:val="left"/>
      </w:pPr>
      <w:r>
        <w:tab/>
      </w:r>
      <ns2:oMath>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r>
          <w:rPr>
            <w:rFonts w:ascii="Times New Roman" w:hAnsi="Times New Roman" w:eastAsia="宋体"/>
            <w:sz w:val="21"/>
            <w:szCs w:val="21"/>
          </w:rPr>
          <ns2:t>R</ns2:t>
        </ns2:r>
        <ns2:r>
          <ns2:rPr>
            <ns2:sty ns2:val="p"/>
          </ns2:rPr>
          <w:rPr>
            <w:rFonts w:ascii="Times New Roman" w:hAnsi="Times New Roman" w:eastAsia="宋体"/>
            <w:sz w:val="21"/>
            <w:szCs w:val="21"/>
          </w:rPr>
          <ns2:t>,</ns2:t>
        </ns2:r>
        <ns2:r>
          <w:rPr>
            <w:rFonts w:ascii="Times New Roman" w:hAnsi="Times New Roman" w:eastAsia="宋体"/>
            <w:sz w:val="21"/>
            <w:szCs w:val="21"/>
          </w:rPr>
          <ns2:t>F</ns2:t>
        </ns2:r>
        <ns2:r>
          <ns2:rPr>
            <ns2:sty ns2:val="p"/>
          </ns2:rPr>
          <w:rPr>
            <w:rFonts w:ascii="Times New Roman" w:hAnsi="Times New Roman" w:eastAsia="宋体"/>
            <w:sz w:val="21"/>
            <w:szCs w:val="21"/>
          </w:rPr>
          <ns2:t>,</ns2:t>
        </ns2:r>
        <ns2:r>
          <w:rPr>
            <w:rFonts w:ascii="Times New Roman" w:hAnsi="Times New Roman" w:eastAsia="宋体"/>
            <w:sz w:val="21"/>
            <w:szCs w:val="21"/>
          </w:rPr>
          <ns2:t>M</ns2:t>
        </ns2:r>
        <ns2:r>
          <ns2:rPr>
            <ns2:sty ns2:val="p"/>
          </ns2:rPr>
          <w:rPr>
            <w:rFonts w:ascii="Times New Roman" w:hAnsi="Times New Roman" w:eastAsia="宋体"/>
            <w:sz w:val="21"/>
            <w:szCs w:val="21"/>
          </w:rPr>
          <ns2:t>,</ns2:t>
        </ns2:r>
        <ns2:r>
          <w:rPr>
            <w:rFonts w:ascii="Times New Roman" w:hAnsi="Times New Roman" w:eastAsia="宋体"/>
            <w:sz w:val="21"/>
            <w:szCs w:val="21"/>
          </w:rPr>
          <ns2:t>E</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（1）</w:t>
      </w:r>
    </w:p>
    <w:p>
      <w:pPr>
        <w:pStyle w:val="HFUTBody"/>
        <w:spacing w:before="0" w:after="0" w:line="360" w:lineRule="atLeast"/>
      </w:pPr>
      <w:r>
        <w:rPr>
          <w:rFonts w:hint="eastAsia"/>
        </w:rPr>
        <w:t xml:space="preserve">式（1）中，</w:t>
      </w:r>
      <ns2:oMath>
        <ns2:r>
          <ns2:t>R</ns2:t>
        </ns2:r>
      </ns2:oMath>
      <w:r>
        <w:rPr>
          <w:rFonts w:hint="eastAsia"/>
        </w:rPr>
        <w:t xml:space="preserve">表示跨越主机—设备边界的数据表示，</w:t>
      </w:r>
      <ns2:oMath>
        <ns2:r>
          <ns2:t>F</ns2:t>
        </ns2:r>
      </ns2:oMath>
      <w:r>
        <w:rPr>
          <w:rFonts w:hint="eastAsia"/>
        </w:rPr>
        <w:t xml:space="preserve">表示TensorRT输入张量的形成位置，</w:t>
      </w:r>
      <ns2:oMath>
        <ns2:r>
          <ns2:t>M</ns2:t>
        </ns2:r>
      </ns2:oMath>
      <w:r>
        <w:rPr>
          <w:rFonts w:hint="eastAsia"/>
        </w:rPr>
        <w:t xml:space="preserve">表示额外打包原始图像的主机暂存策略，</w:t>
      </w:r>
      <ns2:oMath>
        <ns2:r>
          <ns2:t>E</ns2:t>
        </ns2:r>
      </ns2:oMath>
      <w:r>
        <w:rPr>
          <w:rFonts w:hint="eastAsia"/>
        </w:rPr>
        <w:t xml:space="preserve">表示执行拓扑。预处理位于CPU或GPU是</w:t>
      </w:r>
      <ns2:oMath>
        <ns2:r>
          <ns2:t>F</ns2:t>
        </ns2:r>
      </ns2:oMath>
      <w:r>
        <w:rPr>
          <w:rFonts w:hint="eastAsia"/>
        </w:rPr>
        <w:t xml:space="preserve">的实现映射，而非额外引入的独立控制变量。该描述符只用于识别比较中发生改变与保持受控的结构变量，不是延迟预测模型，也不用于分解各变量的延迟贡献。</w:t>
      </w:r>
    </w:p>
    <w:p>
      <w:pPr>
        <w:pStyle w:val="HFUTBody"/>
        <w:spacing w:before="0" w:after="0" w:line="360" w:lineRule="atLeast"/>
      </w:pPr>
      <w:r>
        <w:rPr>
          <w:rFonts w:hint="eastAsia"/>
        </w:rPr>
        <w:t xml:space="preserve">由</w:t>
      </w:r>
      <ns2:oMath>
        <ns2:r>
          <ns2:t>R</ns2:t>
        </ns2:r>
      </ns2:oMath>
      <w:r>
        <w:rPr>
          <w:rFonts w:hint="eastAsia"/>
        </w:rPr>
        <w:t xml:space="preserve">可推导每帧名义输入复制载荷</w:t>
      </w:r>
    </w:p>
    <w:p>
      <w:pPr>
        <w:pStyle w:val="HFUTEquation"/>
        <w:tabs>
          <w:tab w:val="center" w:pos="2205"/>
          <w:tab w:val="right" w:pos="4410"/>
        </w:tabs>
        <w:jc w:val="left"/>
      </w:pPr>
      <w:r>
        <w:tab/>
      </w:r>
      <ns2:oMath>
        <ns2:r>
          <w:rPr>
            <w:rFonts w:ascii="Times New Roman" w:hAnsi="Times New Roman" w:eastAsia="宋体"/>
            <w:sz w:val="21"/>
            <w:szCs w:val="21"/>
          </w:rPr>
          <ns2:t>B</ns2:t>
        </ns2:r>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H</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W</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C</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s</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（2）</w:t>
      </w:r>
    </w:p>
    <w:p>
      <w:pPr>
        <w:pStyle w:val="HFUTBody"/>
        <w:spacing w:before="0" w:after="0" w:line="360" w:lineRule="atLeast"/>
      </w:pPr>
      <w:r>
        <w:rPr>
          <w:rFonts w:hint="eastAsia"/>
        </w:rPr>
        <w:t xml:space="preserve">其中，</w:t>
      </w:r>
      <ns2:oMath>
        <ns2:sSub>
          <ns2:e>
            <ns2:r>
              <ns2:t>H</ns2:t>
            </ns2:r>
          </ns2:e>
          <ns2:sub>
            <ns2:r>
              <ns2:t>R</ns2:t>
            </ns2:r>
          </ns2:sub>
        </ns2:sSub>
        <ns2:r>
          <ns2:rPr>
            <ns2:sty ns2:val="p"/>
          </ns2:rPr>
          <ns2:t>,</ns2:t>
        </ns2:r>
        <ns2:sSub>
          <ns2:e>
            <ns2:r>
              <ns2:t>W</ns2:t>
            </ns2:r>
          </ns2:e>
          <ns2:sub>
            <ns2:r>
              <ns2:t>R</ns2:t>
            </ns2:r>
          </ns2:sub>
        </ns2:sSub>
        <ns2:r>
          <ns2:rPr>
            <ns2:sty ns2:val="p"/>
          </ns2:rPr>
          <ns2:t>,</ns2:t>
        </ns2:r>
        <ns2:sSub>
          <ns2:e>
            <ns2:r>
              <ns2:t>C</ns2:t>
            </ns2:r>
          </ns2:e>
          <ns2:sub>
            <ns2:r>
              <ns2:t>R</ns2:t>
            </ns2:r>
          </ns2:sub>
        </ns2:sSub>
        <ns2:r>
          <ns2:rPr>
            <ns2:sty ns2:val="p"/>
          </ns2:rPr>
          <ns2:t>,</ns2:t>
        </ns2:r>
        <ns2:sSub>
          <ns2:e>
            <ns2:r>
              <ns2:t>s</ns2:t>
            </ns2:r>
          </ns2:e>
          <ns2:sub>
            <ns2:r>
              <ns2:t>R</ns2:t>
            </ns2:r>
          </ns2:sub>
        </ns2:sSub>
      </ns2:oMath>
      <w:r>
        <w:rPr>
          <w:rFonts w:hint="eastAsia"/>
        </w:rPr>
        <w:t xml:space="preserve">分别为跨边界表示的高、宽、通道数与单元素字节数。实例化后，</w:t>
      </w:r>
      <ns2:oMath>
        <ns2:r>
          <ns2:t>B</ns2:t>
        </ns2:r>
        <ns2:r>
          <ns2:rPr>
            <ns2:sty ns2:val="p"/>
          </ns2:rPr>
          <ns2:t>(</ns2:t>
        </ns2:r>
        <ns2:sSub>
          <ns2:e>
            <ns2:r>
              <ns2:t>P</ns2:t>
            </ns2:r>
          </ns2:e>
          <ns2:sub>
            <ns2:r>
              <ns2:t>0</ns2:t>
            </ns2:r>
          </ns2:sub>
        </ns2:sSub>
        <ns2:r>
          <ns2:rPr>
            <ns2:sty ns2:val="p"/>
          </ns2:rPr>
          <ns2:t>)</ns2:t>
        </ns2:r>
        <ns2:r>
          <ns2:rPr>
            <ns2:sty ns2:val="p"/>
          </ns2:rPr>
          <ns2:t>=</ns2:t>
        </ns2:r>
        <ns2:r>
          <ns2:t>640</ns2:t>
        </ns2:r>
        <ns2:r>
          <ns2:rPr>
            <ns2:sty ns2:val="p"/>
          </ns2:rPr>
          <ns2:t>×</ns2:t>
        </ns2:r>
        <ns2:r>
          <ns2:t>640</ns2:t>
        </ns2:r>
        <ns2:r>
          <ns2:rPr>
            <ns2:sty ns2:val="p"/>
          </ns2:rPr>
          <ns2:t>×</ns2:t>
        </ns2:r>
        <ns2:r>
          <ns2:t>3</ns2:t>
        </ns2:r>
        <ns2:r>
          <ns2:rPr>
            <ns2:sty ns2:val="p"/>
          </ns2:rPr>
          <ns2:t>×</ns2:t>
        </ns2:r>
        <ns2:r>
          <ns2:t>4</ns2:t>
        </ns2:r>
        <ns2:r>
          <ns2:rPr>
            <ns2:sty ns2:val="p"/>
          </ns2:rPr>
          <ns2:t>=</ns2:t>
        </ns2:r>
        <ns2:r>
          <ns2:t>4.9152</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w:t>
      </w:r>
      <ns2:oMath>
        <ns2:r>
          <ns2:t>B</ns2:t>
        </ns2:r>
        <ns2:r>
          <ns2:rPr>
            <ns2:sty ns2:val="p"/>
          </ns2:rPr>
          <ns2:t>(</ns2:t>
        </ns2:r>
        <ns2:sSub>
          <ns2:e>
            <ns2:r>
              <ns2:t>P</ns2:t>
            </ns2:r>
          </ns2:e>
          <ns2:sub>
            <ns2:r>
              <ns2:t>2</ns2:t>
            </ns2:r>
          </ns2:sub>
        </ns2:sSub>
        <ns2:r>
          <ns2:rPr>
            <ns2:sty ns2:val="p"/>
          </ns2:rPr>
          <ns2:t>)</ns2:t>
        </ns2:r>
        <ns2:r>
          <ns2:rPr>
            <ns2:sty ns2:val="p"/>
          </ns2:rPr>
          <ns2:t>=</ns2:t>
        </ns2:r>
        <ns2:r>
          <ns2:t>B</ns2:t>
        </ns2:r>
        <ns2:r>
          <ns2:rPr>
            <ns2:sty ns2:val="p"/>
          </ns2:rPr>
          <ns2:t>(</ns2:t>
        </ns2:r>
        <ns2:sSub>
          <ns2:e>
            <ns2:r>
              <ns2:t>P</ns2:t>
            </ns2:r>
          </ns2:e>
          <ns2:sub>
            <ns2:r>
              <ns2:t>3</ns2:t>
            </ns2:r>
          </ns2:sub>
        </ns2:sSub>
        <ns2:r>
          <ns2:rPr>
            <ns2:sty ns2:val="p"/>
          </ns2:rPr>
          <ns2:t>)</ns2:t>
        </ns2:r>
        <ns2:r>
          <ns2:rPr>
            <ns2:sty ns2:val="p"/>
          </ns2:rPr>
          <ns2:t>=</ns2:t>
        </ns2:r>
        <ns2:r>
          <ns2:t>200</ns2:t>
        </ns2:r>
        <ns2:r>
          <ns2:rPr>
            <ns2:sty ns2:val="p"/>
          </ns2:rPr>
          <ns2:t>×</ns2:t>
        </ns2:r>
        <ns2:r>
          <ns2:t>200</ns2:t>
        </ns2:r>
        <ns2:r>
          <ns2:rPr>
            <ns2:sty ns2:val="p"/>
          </ns2:rPr>
          <ns2:t>×</ns2:t>
        </ns2:r>
        <ns2:r>
          <ns2:t>3</ns2:t>
        </ns2:r>
        <ns2:r>
          <ns2:rPr>
            <ns2:sty ns2:val="p"/>
          </ns2:rPr>
          <ns2:t>×</ns2:t>
        </ns2:r>
        <ns2:r>
          <ns2:t>1</ns2:t>
        </ns2:r>
        <ns2:r>
          <ns2:rPr>
            <ns2:sty ns2:val="p"/>
          </ns2:rPr>
          <ns2:t>=</ns2:t>
        </ns2:r>
        <ns2:r>
          <ns2:t>0.1200</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，因而</w:t>
      </w:r>
      <ns2:oMath>
        <ns2:r>
          <ns2:t>B</ns2:t>
        </ns2:r>
        <ns2:r>
          <ns2:rPr>
            <ns2:sty ns2:val="p"/>
          </ns2:rPr>
          <ns2:t>(</ns2:t>
        </ns2:r>
        <ns2:sSub>
          <ns2:e>
            <ns2:r>
              <ns2:t>P</ns2:t>
            </ns2:r>
          </ns2:e>
          <ns2:sub>
            <ns2:r>
              <ns2:t>0</ns2:t>
            </ns2:r>
          </ns2:sub>
        </ns2:sSub>
        <ns2:r>
          <ns2:rPr>
            <ns2:sty ns2:val="p"/>
          </ns2:rPr>
          <ns2:t>)</ns2:t>
        </ns2:r>
        <ns2:r>
          <ns2:rPr>
            <ns2:sty ns2:val="p"/>
          </ns2:rPr>
          <ns2:t>/</ns2:t>
        </ns2:r>
        <ns2:r>
          <ns2:t>B</ns2:t>
        </ns2:r>
        <ns2:r>
          <ns2:rPr>
            <ns2:sty ns2:val="p"/>
          </ns2:rPr>
          <ns2:t>(</ns2:t>
        </ns2:r>
        <ns2:sSub>
          <ns2:e>
            <ns2:r>
              <ns2:t>P</ns2:t>
            </ns2:r>
          </ns2:e>
          <ns2:sub>
            <ns2:r>
              <ns2:t>2</ns2:t>
            </ns2:r>
          </ns2:sub>
        </ns2:sSub>
        <ns2:r>
          <ns2:rPr>
            <ns2:sty ns2:val="p"/>
          </ns2:rPr>
          <ns2:t>)</ns2:t>
        </ns2:r>
        <ns2:r>
          <ns2:rPr>
            <ns2:sty ns2:val="p"/>
          </ns2:rPr>
          <ns2:t>=</ns2:t>
        </ns2:r>
        <ns2:r>
          <ns2:t>40.96</ns2:t>
        </ns2:r>
      </ns2:oMath>
      <w:r>
        <w:rPr>
          <w:rFonts w:hint="eastAsia"/>
        </w:rPr>
        <w:t xml:space="preserve">。该比值是由表示结构得到的名义载荷对比，不是实测总线或DRAM流量、带宽、H2D时间或传输加速比。</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表1将描述符实例化。</w:t>
      </w:r>
      <ns2:oMath>
        <ns2:sSub>
          <ns2:e>
            <ns2:r>
              <ns2:t>P</ns2:t>
            </ns2:r>
          </ns2:e>
          <ns2:sub>
            <ns2:r>
              <ns2:t>0</ns2:t>
            </ns2:r>
          </ns2:sub>
        </ns2:sSub>
      </ns2:oMath>
      <w:r>
        <w:rPr>
          <w:rFonts w:hint="eastAsia"/>
        </w:rPr>
        <w:t xml:space="preserve">对应V0：</w:t>
      </w:r>
      <ns2:oMath>
        <ns2:r>
          <ns2:t>R</ns2:t>
        </ns2:r>
      </ns2:oMath>
      <w:r>
        <w:rPr>
          <w:rFonts w:hint="eastAsia"/>
        </w:rPr>
        <w:t xml:space="preserve">为FP32</w:t>
      </w:r>
      <w:r>
        <w:t xml:space="preserve"> </w:t>
      </w:r>
      <w:r>
        <w:rPr>
          <w:rFonts w:hint="eastAsia"/>
        </w:rPr>
        <w:t xml:space="preserve">NCHW张量，</w:t>
      </w:r>
      <ns2:oMath>
        <ns2:r>
          <ns2:t>F</ns2:t>
        </ns2:r>
      </ns2:oMath>
      <w:r>
        <w:rPr>
          <w:rFonts w:hint="eastAsia"/>
        </w:rPr>
        <w:t xml:space="preserve">在主机侧，</w:t>
      </w:r>
      <ns2:oMath>
        <ns2:r>
          <ns2:t>M</ns2:t>
        </ns2:r>
      </ns2:oMath>
      <w:r>
        <w:rPr>
          <w:rFonts w:hint="eastAsia"/>
        </w:rPr>
        <w:t xml:space="preserve">无额外打包原始图像暂存；</w:t>
      </w:r>
      <ns2:oMath>
        <ns2:sSub>
          <ns2:e>
            <ns2:r>
              <ns2:t>P</ns2:t>
            </ns2:r>
          </ns2:e>
          <ns2:sub>
            <ns2:r>
              <ns2:t>2</ns2:t>
            </ns2:r>
          </ns2:sub>
        </ns2:sSub>
      </ns2:oMath>
      <w:r>
        <w:rPr>
          <w:rFonts w:hint="eastAsia"/>
        </w:rPr>
        <w:t xml:space="preserve">对应V2R：</w:t>
      </w:r>
      <ns2:oMath>
        <ns2:r>
          <ns2:t>R</ns2:t>
        </ns2:r>
      </ns2:oMath>
      <w:r>
        <w:rPr>
          <w:rFonts w:hint="eastAsia"/>
        </w:rPr>
        <w:t xml:space="preserve">为packed</w:t>
      </w:r>
      <w:r>
        <w:t xml:space="preserve"> BGR </w:t>
      </w:r>
      <w:r>
        <w:rPr>
          <w:rFonts w:hint="eastAsia"/>
        </w:rPr>
        <w:t xml:space="preserve">uint8，</w:t>
      </w:r>
      <ns2:oMath>
        <ns2:r>
          <ns2:t>F</ns2:t>
        </ns2:r>
      </ns2:oMath>
      <w:r>
        <w:rPr>
          <w:rFonts w:hint="eastAsia"/>
        </w:rPr>
        <w:t xml:space="preserve">在设备侧，</w:t>
      </w:r>
      <ns2:oMath>
        <ns2:r>
          <ns2:t>M</ns2:t>
        </ns2:r>
      </ns2:oMath>
      <w:r>
        <w:rPr>
          <w:rFonts w:hint="eastAsia"/>
        </w:rPr>
        <w:t xml:space="preserve">为pageable；</w:t>
      </w:r>
      <ns2:oMath>
        <ns2:sSub>
          <ns2:e>
            <ns2:r>
              <ns2:t>P</ns2:t>
            </ns2:r>
          </ns2:e>
          <ns2:sub>
            <ns2:r>
              <ns2:t>3</ns2:t>
            </ns2:r>
          </ns2:sub>
        </ns2:sSub>
      </ns2:oMath>
      <w:r>
        <w:rPr>
          <w:rFonts w:hint="eastAsia"/>
        </w:rPr>
        <w:t xml:space="preserve">对应V3R，其余变量与</w:t>
      </w:r>
      <ns2:oMath>
        <ns2:sSub>
          <ns2:e>
            <ns2:r>
              <ns2:t>P</ns2:t>
            </ns2:r>
          </ns2:e>
          <ns2:sub>
            <ns2:r>
              <ns2:t>2</ns2:t>
            </ns2:r>
          </ns2:sub>
        </ns2:sSub>
      </ns2:oMath>
      <w:r>
        <w:rPr>
          <w:rFonts w:hint="eastAsia"/>
        </w:rPr>
        <w:t xml:space="preserve">相同，仅</w:t>
      </w:r>
      <ns2:oMath>
        <ns2:r>
          <ns2:t>M</ns2:t>
        </ns2:r>
      </ns2:oMath>
      <w:r>
        <w:rPr>
          <w:rFonts w:hint="eastAsia"/>
        </w:rPr>
        <w:t xml:space="preserve">改为pinned。三者的</w:t>
      </w:r>
      <ns2:oMath>
        <ns2:r>
          <ns2:t>E</ns2:t>
        </ns2:r>
      </ns2:oMath>
      <w:r>
        <w:rPr>
          <w:rFonts w:hint="eastAsia"/>
        </w:rPr>
        <w:t xml:space="preserve">均为单帧顺序执行。</w:t>
      </w:r>
    </w:p>
    <w:p>
      <w:pPr>
        <w:pStyle w:val="HFUTTableCaption"/>
        <w:keepNext/>
        <w:jc w:val="center"/>
      </w:pPr>
      <w:r>
        <w:rPr>
          <w:rFonts w:hint="eastAsia"/>
          <w:b/>
          <w:bCs/>
        </w:rPr>
        <w:t xml:space="preserve">表1</w:t>
      </w:r>
      <w:r>
        <w:rPr>
          <w:b/>
          <w:bCs/>
        </w:rPr>
        <w:t xml:space="preserve">　</w:t>
      </w:r>
      <w:r>
        <w:rPr>
          <w:rFonts w:hint="eastAsia"/>
          <w:b/>
          <w:bCs/>
        </w:rPr>
        <w:t xml:space="preserve">三条输入数据路径的结构描述与派生量。名义输入复制载荷由跨边界表示推导，非实测流量。</w:t>
      </w:r>
    </w:p>
    <w:tbl>
      <w:tblPr>
        <w:tblStyle w:val="HFUTThreeLineTable"/>
        <w:tblW w:type="dxa" w:w="9072"/>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3200"/>
        <w:gridCol w:w="1957"/>
        <w:gridCol w:w="1957"/>
        <w:gridCol w:w="1958"/>
      </w:tblGrid>
      <w:tr>
        <w:trPr>
          <w:tblHeader w:val="on"/>
          <w:cantSplit/>
        </w:trPr>
        <w:tc>
          <w:tcPr>
            <w:tcW w:w="32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路径描述项</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V0（</w:t>
            </w:r>
            <ns2:oMath>
              <ns2:sSub>
                <ns2:e>
                  <ns2:r>
                    <w:rPr>
                      <w:rFonts w:ascii="Times New Roman" w:hAnsi="Times New Roman" w:eastAsia="宋体"/>
                      <w:sz w:val="15"/>
                      <w:szCs w:val="15"/>
                    </w:rPr>
                    <ns2:t>P</ns2:t>
                  </ns2:r>
                </ns2:e>
                <ns2:sub>
                  <ns2:r>
                    <w:rPr>
                      <w:rFonts w:ascii="Times New Roman" w:hAnsi="Times New Roman" w:eastAsia="宋体"/>
                      <w:sz w:val="15"/>
                      <w:szCs w:val="15"/>
                    </w:rPr>
                    <ns2:t>0</ns2:t>
                  </ns2:r>
                </ns2:sub>
              </ns2:sSub>
            </ns2:oMath>
            <w:r>
              <w:rPr>
                <w:rFonts w:hint="eastAsia"/>
              </w:rPr>
              <w:t xml:space="preserve">）</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V2R（</w:t>
            </w:r>
            <ns2:oMath>
              <ns2:sSub>
                <ns2:e>
                  <ns2:r>
                    <w:rPr>
                      <w:rFonts w:ascii="Times New Roman" w:hAnsi="Times New Roman" w:eastAsia="宋体"/>
                      <w:sz w:val="15"/>
                      <w:szCs w:val="15"/>
                    </w:rPr>
                    <ns2:t>P</ns2:t>
                  </ns2:r>
                </ns2:e>
                <ns2:sub>
                  <ns2:r>
                    <w:rPr>
                      <w:rFonts w:ascii="Times New Roman" w:hAnsi="Times New Roman" w:eastAsia="宋体"/>
                      <w:sz w:val="15"/>
                      <w:szCs w:val="15"/>
                    </w:rPr>
                    <ns2:t>2</ns2:t>
                  </ns2:r>
                </ns2:sub>
              </ns2:sSub>
            </ns2:oMath>
            <w:r>
              <w:rPr>
                <w:rFonts w:hint="eastAsia"/>
              </w:rPr>
              <w:t xml:space="preserve">）</w:t>
            </w:r>
          </w:p>
        </w:tc>
        <w:tc>
          <w:tcPr>
            <w:tcW w:w="1958"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V3R（</w:t>
            </w:r>
            <ns2:oMath>
              <ns2:sSub>
                <ns2:e>
                  <ns2:r>
                    <w:rPr>
                      <w:rFonts w:ascii="Times New Roman" w:hAnsi="Times New Roman" w:eastAsia="宋体"/>
                      <w:sz w:val="15"/>
                      <w:szCs w:val="15"/>
                    </w:rPr>
                    <ns2:t>P</ns2:t>
                  </ns2:r>
                </ns2:e>
                <ns2:sub>
                  <ns2:r>
                    <w:rPr>
                      <w:rFonts w:ascii="Times New Roman" w:hAnsi="Times New Roman" w:eastAsia="宋体"/>
                      <w:sz w:val="15"/>
                      <w:szCs w:val="15"/>
                    </w:rPr>
                    <ns2:t>3</ns2:t>
                  </ns2:r>
                </ns2:sub>
              </ns2:sSub>
            </ns2:oMath>
            <w:r>
              <w:rPr>
                <w:rFonts w:hint="eastAsia"/>
              </w:rPr>
              <w:t xml:space="preserve">）</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H2D数据表示</w:t>
            </w:r>
            <w:r>
              <w:t xml:space="preserve"> </w:t>
            </w:r>
            <ns2:oMath>
              <ns2:r>
                <w:rPr>
                  <w:rFonts w:ascii="Times New Roman" w:hAnsi="Times New Roman" w:eastAsia="宋体"/>
                  <w:sz w:val="15"/>
                  <w:szCs w:val="15"/>
                </w:rPr>
                <ns2:t>R</ns2:t>
              </ns2:r>
            </ns2:oMath>
          </w:p>
        </w:tc>
        <w:tc>
          <w:tcPr>
            <w:tcW w:w="1957" w:type="dxa"/>
            <w:tcBorders>
              <w:top w:val="nil"/>
              <w:left w:val="nil"/>
              <w:bottom w:val="nil"/>
              <w:right w:val="nil"/>
            </w:tcBorders>
          </w:tcPr>
          <w:p>
            <w:pPr>
              <w:pStyle w:val="HFUTTableContent"/>
              <w:ind w:left="0" w:right="0" w:firstLine="0"/>
              <w:jc w:val="center"/>
            </w:pPr>
            <w:r>
              <w:t xml:space="preserve">FP32 </w:t>
            </w:r>
            <w:r>
              <w:rPr>
                <w:rFonts w:hint="eastAsia"/>
              </w:rPr>
              <w:t xml:space="preserve">NCHW张量</w:t>
            </w:r>
          </w:p>
        </w:tc>
        <w:tc>
          <w:tcPr>
            <w:tcW w:w="1957" w:type="dxa"/>
            <w:tcBorders>
              <w:top w:val="nil"/>
              <w:left w:val="nil"/>
              <w:bottom w:val="nil"/>
              <w:right w:val="nil"/>
            </w:tcBorders>
          </w:tcPr>
          <w:p>
            <w:pPr>
              <w:pStyle w:val="HFUTTableContent"/>
              <w:ind w:left="0" w:right="0" w:firstLine="0"/>
              <w:jc w:val="center"/>
            </w:pPr>
            <w:r>
              <w:t xml:space="preserve">packed BGR uint8</w:t>
            </w:r>
          </w:p>
        </w:tc>
        <w:tc>
          <w:tcPr>
            <w:tcW w:w="1958" w:type="dxa"/>
            <w:tcBorders>
              <w:top w:val="nil"/>
              <w:left w:val="nil"/>
              <w:bottom w:val="nil"/>
              <w:right w:val="nil"/>
            </w:tcBorders>
          </w:tcPr>
          <w:p>
            <w:pPr>
              <w:pStyle w:val="HFUTTableContent"/>
              <w:ind w:left="0" w:right="0" w:firstLine="0"/>
              <w:jc w:val="center"/>
            </w:pPr>
            <w:r>
              <w:t xml:space="preserve">packed BGR uint8</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输入张量形成位置</w:t>
            </w:r>
            <w:r>
              <w:t xml:space="preserve"> </w:t>
            </w:r>
            <ns2:oMath>
              <ns2:r>
                <w:rPr>
                  <w:rFonts w:ascii="Times New Roman" w:hAnsi="Times New Roman" w:eastAsia="宋体"/>
                  <w:sz w:val="15"/>
                  <w:szCs w:val="15"/>
                </w:rPr>
                <ns2:t>F</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主机</w:t>
            </w:r>
          </w:p>
        </w:tc>
        <w:tc>
          <w:tcPr>
            <w:tcW w:w="1957" w:type="dxa"/>
            <w:tcBorders>
              <w:top w:val="nil"/>
              <w:left w:val="nil"/>
              <w:bottom w:val="nil"/>
              <w:right w:val="nil"/>
            </w:tcBorders>
          </w:tcPr>
          <w:p>
            <w:pPr>
              <w:pStyle w:val="HFUTTableContent"/>
              <w:ind w:left="0" w:right="0" w:firstLine="0"/>
              <w:jc w:val="center"/>
            </w:pPr>
            <w:r>
              <w:rPr>
                <w:rFonts w:hint="eastAsia"/>
              </w:rPr>
              <w:t xml:space="preserve">设备</w:t>
            </w:r>
          </w:p>
        </w:tc>
        <w:tc>
          <w:tcPr>
            <w:tcW w:w="1958" w:type="dxa"/>
            <w:tcBorders>
              <w:top w:val="nil"/>
              <w:left w:val="nil"/>
              <w:bottom w:val="nil"/>
              <w:right w:val="nil"/>
            </w:tcBorders>
          </w:tcPr>
          <w:p>
            <w:pPr>
              <w:pStyle w:val="HFUTTableContent"/>
              <w:ind w:left="0" w:right="0" w:firstLine="0"/>
              <w:jc w:val="center"/>
            </w:pPr>
            <w:r>
              <w:rPr>
                <w:rFonts w:hint="eastAsia"/>
              </w:rPr>
              <w:t xml:space="preserve">设备</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预处理位置</w:t>
            </w:r>
          </w:p>
        </w:tc>
        <w:tc>
          <w:tcPr>
            <w:tcW w:w="1957" w:type="dxa"/>
            <w:tcBorders>
              <w:top w:val="nil"/>
              <w:left w:val="nil"/>
              <w:bottom w:val="nil"/>
              <w:right w:val="nil"/>
            </w:tcBorders>
          </w:tcPr>
          <w:p>
            <w:pPr>
              <w:pStyle w:val="HFUTTableContent"/>
              <w:ind w:left="0" w:right="0" w:firstLine="0"/>
              <w:jc w:val="center"/>
            </w:pPr>
            <w:r>
              <w:t xml:space="preserve">CPU</w:t>
            </w:r>
          </w:p>
        </w:tc>
        <w:tc>
          <w:tcPr>
            <w:tcW w:w="1957" w:type="dxa"/>
            <w:tcBorders>
              <w:top w:val="nil"/>
              <w:left w:val="nil"/>
              <w:bottom w:val="nil"/>
              <w:right w:val="nil"/>
            </w:tcBorders>
          </w:tcPr>
          <w:p>
            <w:pPr>
              <w:pStyle w:val="HFUTTableContent"/>
              <w:ind w:left="0" w:right="0" w:firstLine="0"/>
              <w:jc w:val="center"/>
            </w:pPr>
            <w:r>
              <w:rPr>
                <w:rFonts w:hint="eastAsia"/>
              </w:rPr>
              <w:t xml:space="preserve">GPU融合处理</w:t>
            </w:r>
          </w:p>
        </w:tc>
        <w:tc>
          <w:tcPr>
            <w:tcW w:w="1958" w:type="dxa"/>
            <w:tcBorders>
              <w:top w:val="nil"/>
              <w:left w:val="nil"/>
              <w:bottom w:val="nil"/>
              <w:right w:val="nil"/>
            </w:tcBorders>
          </w:tcPr>
          <w:p>
            <w:pPr>
              <w:pStyle w:val="HFUTTableContent"/>
              <w:ind w:left="0" w:right="0" w:firstLine="0"/>
              <w:jc w:val="center"/>
            </w:pPr>
            <w:r>
              <w:rPr>
                <w:rFonts w:hint="eastAsia"/>
              </w:rPr>
              <w:t xml:space="preserve">GPU融合处理</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额外打包原始图像暂存策略</w:t>
            </w:r>
            <w:r>
              <w:t xml:space="preserve"> </w:t>
            </w:r>
            <ns2:oMath>
              <ns2:r>
                <w:rPr>
                  <w:rFonts w:ascii="Times New Roman" w:hAnsi="Times New Roman" w:eastAsia="宋体"/>
                  <w:sz w:val="15"/>
                  <w:szCs w:val="15"/>
                </w:rPr>
                <ns2:t>M</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无</w:t>
            </w:r>
          </w:p>
        </w:tc>
        <w:tc>
          <w:tcPr>
            <w:tcW w:w="1957" w:type="dxa"/>
            <w:tcBorders>
              <w:top w:val="nil"/>
              <w:left w:val="nil"/>
              <w:bottom w:val="nil"/>
              <w:right w:val="nil"/>
            </w:tcBorders>
          </w:tcPr>
          <w:p>
            <w:pPr>
              <w:pStyle w:val="HFUTTableContent"/>
              <w:ind w:left="0" w:right="0" w:firstLine="0"/>
              <w:jc w:val="center"/>
            </w:pPr>
            <w:r>
              <w:t xml:space="preserve">Pageable</w:t>
            </w:r>
          </w:p>
        </w:tc>
        <w:tc>
          <w:tcPr>
            <w:tcW w:w="1958" w:type="dxa"/>
            <w:tcBorders>
              <w:top w:val="nil"/>
              <w:left w:val="nil"/>
              <w:bottom w:val="nil"/>
              <w:right w:val="nil"/>
            </w:tcBorders>
          </w:tcPr>
          <w:p>
            <w:pPr>
              <w:pStyle w:val="HFUTTableContent"/>
              <w:ind w:left="0" w:right="0" w:firstLine="0"/>
              <w:jc w:val="center"/>
            </w:pPr>
            <w:r>
              <w:t xml:space="preserve">Pinned</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名义输入复制载荷</w:t>
            </w:r>
            <w:r>
              <w:t xml:space="preserve"> </w:t>
            </w:r>
            <ns2:oMath>
              <ns2:r>
                <w:rPr>
                  <w:rFonts w:ascii="Times New Roman" w:hAnsi="Times New Roman" w:eastAsia="宋体"/>
                  <w:sz w:val="15"/>
                  <w:szCs w:val="15"/>
                </w:rPr>
                <ns2:t>B</ns2:t>
              </ns2:r>
              <ns2:r>
                <ns2:rPr>
                  <ns2:sty ns2:val="p"/>
                </ns2:rPr>
                <w:rPr>
                  <w:rFonts w:ascii="Times New Roman" w:hAnsi="Times New Roman" w:eastAsia="宋体"/>
                  <w:sz w:val="15"/>
                  <w:szCs w:val="15"/>
                </w:rPr>
                <ns2:t>(</ns2:t>
              </ns2:r>
              <ns2:r>
                <w:rPr>
                  <w:rFonts w:ascii="Times New Roman" w:hAnsi="Times New Roman" w:eastAsia="宋体"/>
                  <w:sz w:val="15"/>
                  <w:szCs w:val="15"/>
                </w:rPr>
                <ns2:t>P</ns2:t>
              </ns2:r>
              <ns2:r>
                <ns2:rPr>
                  <ns2:sty ns2:val="p"/>
                </ns2:rPr>
                <w:rPr>
                  <w:rFonts w:ascii="Times New Roman" w:hAnsi="Times New Roman" w:eastAsia="宋体"/>
                  <w:sz w:val="15"/>
                  <w:szCs w:val="15"/>
                </w:rPr>
                <ns2:t>)</ns2:t>
              </ns2:r>
            </ns2:oMath>
            <w:r>
              <w:t xml:space="preserve">/(MB/frame)</w:t>
            </w:r>
          </w:p>
        </w:tc>
        <w:tc>
          <w:tcPr>
            <w:tcW w:w="1957" w:type="dxa"/>
            <w:tcBorders>
              <w:top w:val="nil"/>
              <w:left w:val="nil"/>
              <w:bottom w:val="nil"/>
              <w:right w:val="nil"/>
            </w:tcBorders>
          </w:tcPr>
          <w:p>
            <w:pPr>
              <w:pStyle w:val="HFUTTableContent"/>
              <w:ind w:left="0" w:right="0" w:firstLine="0"/>
              <w:jc w:val="center"/>
            </w:pPr>
            <w:r>
              <w:t xml:space="preserve">4.9152</w:t>
            </w:r>
          </w:p>
        </w:tc>
        <w:tc>
          <w:tcPr>
            <w:tcW w:w="1957" w:type="dxa"/>
            <w:tcBorders>
              <w:top w:val="nil"/>
              <w:left w:val="nil"/>
              <w:bottom w:val="nil"/>
              <w:right w:val="nil"/>
            </w:tcBorders>
          </w:tcPr>
          <w:p>
            <w:pPr>
              <w:pStyle w:val="HFUTTableContent"/>
              <w:ind w:left="0" w:right="0" w:firstLine="0"/>
              <w:jc w:val="center"/>
            </w:pPr>
            <w:r>
              <w:t xml:space="preserve">0.1200</w:t>
            </w:r>
          </w:p>
        </w:tc>
        <w:tc>
          <w:tcPr>
            <w:tcW w:w="1958" w:type="dxa"/>
            <w:tcBorders>
              <w:top w:val="nil"/>
              <w:left w:val="nil"/>
              <w:bottom w:val="nil"/>
              <w:right w:val="nil"/>
            </w:tcBorders>
          </w:tcPr>
          <w:p>
            <w:pPr>
              <w:pStyle w:val="HFUTTableContent"/>
              <w:ind w:left="0" w:right="0" w:firstLine="0"/>
              <w:jc w:val="center"/>
            </w:pPr>
            <w:r>
              <w:t xml:space="preserve">0.1200</w:t>
            </w:r>
          </w:p>
        </w:tc>
      </w:tr>
      <w:tr>
        <w:trPr>
          <w:cantSplit/>
        </w:trPr>
        <w:tc>
          <w:tcPr>
            <w:tcW w:w="3200" w:type="dxa"/>
            <w:tcBorders>
              <w:top w:val="nil"/>
              <w:left w:val="nil"/>
              <w:bottom w:val="single" w:sz="8" w:space="0" w:color="000000"/>
              <w:right w:val="nil"/>
            </w:tcBorders>
          </w:tcPr>
          <w:p>
            <w:pPr>
              <w:pStyle w:val="HFUTTableContent"/>
              <w:ind w:left="0" w:right="0" w:firstLine="0"/>
              <w:jc w:val="left"/>
            </w:pPr>
            <w:r>
              <w:rPr>
                <w:rFonts w:hint="eastAsia"/>
              </w:rPr>
              <w:t xml:space="preserve">执行拓扑</w:t>
            </w:r>
            <w:r>
              <w:t xml:space="preserve"> </w:t>
            </w:r>
            <ns2:oMath>
              <ns2:r>
                <w:rPr>
                  <w:rFonts w:ascii="Times New Roman" w:hAnsi="Times New Roman" w:eastAsia="宋体"/>
                  <w:sz w:val="15"/>
                  <w:szCs w:val="15"/>
                </w:rPr>
                <ns2:t>E</ns2:t>
              </ns2:r>
            </ns2:oMath>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8"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r>
    </w:tbl>
    <w:p>
      <w:pPr>
        <w:spacing w:before="0" w:after="0" w:line="1" w:lineRule="exact"/>
        <w:sectPr>
          <w:footerReference ns1:id="rId4" w:type="default"/>
          <w:type w:val="continuous"/>
          <w:pgSz w:h="16838" w:orient="portrait" w:w="11906"/>
          <w:pgMar w:bottom="1134" w:footer="907" w:gutter="0" w:header="720" w:left="1304" w:right="1304" w:top="1361"/>
          <w:cols w:num="1" w:space="425"/>
          <w:docGrid w:linePitch="360"/>
        </w:sectPr>
      </w:pPr>
    </w:p>
    <w:p>
      <w:pPr>
        <w:pStyle w:val="HFUTHeading2"/>
      </w:pPr>
      <w:r>
        <w:t xml:space="preserve">1.3 </w:t>
      </w:r>
      <w:r>
        <w:rPr>
          <w:rFonts w:hint="eastAsia"/>
        </w:rPr>
        <w:t xml:space="preserve">层级受控比较、正确性条件与评价问题</w:t>
      </w:r>
    </w:p>
    <w:p>
      <w:pPr>
        <w:pStyle w:val="HFUTBody"/>
        <w:spacing w:before="0" w:after="0" w:line="360" w:lineRule="atLeast"/>
      </w:pPr>
      <w:r>
        <w:rPr>
          <w:rFonts w:hint="eastAsia"/>
        </w:rPr>
        <w:t xml:space="preserve">如图1所示，干预层级依据受控结构变量的范围划分：</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同时改变跨边界表示和张量形成位置，并引入相应的原始图像暂存，即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保持不变，属于耦合的路径级重构；</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在</w:t>
      </w:r>
      <ns2:oMath>
        <ns2:r>
          <ns2:t>R</ns2:t>
        </ns2:r>
        <ns2:r>
          <ns2:rPr>
            <ns2:sty ns2:val="p"/>
          </ns2:rPr>
          <ns2:t>,</ns2:t>
        </ns2:r>
        <ns2:r>
          <ns2:t>F</ns2:t>
        </ns2:r>
        <ns2:r>
          <ns2:rPr>
            <ns2:sty ns2:val="p"/>
          </ns2:rPr>
          <ns2:t>,</ns2:t>
        </ns2:r>
        <ns2:r>
          <ns2:t>E</ns2:t>
        </ns2:r>
      </ns2:oMath>
      <w:r>
        <w:rPr>
          <w:rFonts w:hint="eastAsia"/>
        </w:rPr>
        <w:t xml:space="preserve">保持不变时只改变</w:t>
      </w:r>
      <ns2:oMath>
        <ns2:r>
          <ns2:t>M</ns2:t>
        </ns2:r>
      </ns2:oMath>
      <w:r>
        <w:rPr>
          <w:rFonts w:hint="eastAsia"/>
        </w:rPr>
        <w:t xml:space="preserve">，属于局部暂存策略细化。该层级不预设收益大小、组件重要性或瓶颈关系，也不构成阶段级因果分解。</w:t>
      </w:r>
    </w:p>
    <w:tbl>
      <w:tblPr>
        <w:tblpPr w:leftFromText="0" w:rightFromText="0" w:topFromText="0" w:bottomFromText="0" w:vertAnchor="margin" w:horzAnchor="margin" w:tblpXSpec="center" w:tblpYSpec="top"/>
        <w:tblOverlap w:val="never"/>
        <w:tblW w:w="9071"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1"/>
      </w:tblPr>
      <w:tblGrid>
        <w:gridCol w:w="9071"/>
      </w:tblGrid>
      <w:tr>
        <w:trPr>
          <w:cantSplit/>
        </w:trPr>
        <w:tc>
          <w:tcPr>
            <w:tcW w:w="9071"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5759999" cy="2851093"/>
                  <ns3:effectExtent b="0" l="0" r="0" t="0"/>
                  <ns3:docPr descr="" title="" id="14" name="Picture"/>
                  <ns4:graphic>
                    <ns4:graphicData uri="http://schemas.openxmlformats.org/drawingml/2006/picture">
                      <ns5:pic>
                        <ns5:nvPicPr>
                          <ns5:cNvPr descr="fig1_input_data_path_model_phase59c.png" id="15" name="Picture"/>
                          <ns5:cNvPicPr>
                            <ns4:picLocks noChangeArrowheads="1" noChangeAspect="1"/>
                          </ns5:cNvPicPr>
                        </ns5:nvPicPr>
                        <ns5:blipFill>
                          <ns4:blip ns1:embed="rId13"/>
                          <ns4:stretch>
                            <ns4:fillRect/>
                          </ns4:stretch>
                        </ns5:blipFill>
                        <ns5:spPr bwMode="auto">
                          <ns4:xfrm>
                            <ns4:off x="0" y="0"/>
                            <ns4:ext cx="5759999" cy="2851093"/>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图1</w:t>
            </w:r>
            <w:r>
              <w:rPr>
                <w:b/>
                <w:bCs/>
              </w:rPr>
              <w:t xml:space="preserve">　</w:t>
            </w:r>
            <w:r>
              <w:rPr>
                <w:rFonts w:hint="eastAsia"/>
                <w:b/>
                <w:bCs/>
              </w:rPr>
              <w:t xml:space="preserve">输入数据路径抽象及层级受控比较。图中层级表示结构变量的干预范围，不表示收益大小或组件级因果关系。</w:t>
            </w:r>
          </w:p>
        </w:tc>
      </w:tr>
    </w:tbl>
    <w:p>
      <w:pPr>
        <w:pStyle w:val="HFUTBody"/>
      </w:pPr>
      <w:r>
        <w:rPr>
          <w:rFonts w:hint="eastAsia"/>
        </w:rPr>
        <w:t xml:space="preserve">性能响应进入路径比较之前还必须满足正确性条件：三条路径使用同一工作负载、评价器、模型/Engine、输入和后处理语义；V2R通过预定义的任务级核验，V3R由同一评价器确定性重算；汇总任务指标一致，类别级AP50与Recall最大路径间差异为0。该准入条件只保证冻结工作负载和评价口径内的可比性，不表示逐位相等或对未来输入普适等价。</w:t>
      </w:r>
    </w:p>
    <w:p>
      <w:pPr>
        <w:pStyle w:val="HFUTBody"/>
      </w:pPr>
      <w:r>
        <w:rPr>
          <w:rFonts w:hint="eastAsia"/>
        </w:rPr>
        <w:t xml:space="preserve">完整路径的直接测量响应定义为</w:t>
      </w:r>
    </w:p>
    <w:p>
      <w:pPr>
        <w:pStyle w:val="HFUTEquation"/>
        <w:tabs>
          <w:tab w:val="center" w:pos="2205"/>
          <w:tab w:val="right" w:pos="4410"/>
        </w:tabs>
        <w:jc w:val="left"/>
      </w:pPr>
      <w:r>
        <w:tab/>
      </w:r>
      <ns2:oMath>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E</ns2:t>
            </ns2:r>
            <ns2:r>
              <ns2:rPr>
                <ns2:sty ns2:val="p"/>
              </ns2:rPr>
              <w:rPr>
                <w:rFonts w:ascii="Times New Roman" w:hAnsi="Times New Roman" w:eastAsia="宋体"/>
                <w:sz w:val="21"/>
                <w:szCs w:val="21"/>
              </w:rPr>
              <ns2:t>2</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p</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e</ns2:t>
            </ns2:r>
            <ns2:r>
              <ns2:rPr>
                <ns2:no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i</ns2:t>
            </ns2:r>
            <ns2:r>
              <ns2:rPr>
                <ns2:sty ns2:val="p"/>
              </ns2:rPr>
              <w:rPr>
                <w:rFonts w:ascii="Times New Roman" w:hAnsi="Times New Roman" w:eastAsia="宋体"/>
                <w:sz w:val="21"/>
                <w:szCs w:val="21"/>
              </w:rPr>
              <ns2:t>n</ns2:t>
            </ns2:r>
            <ns2:r>
              <ns2:rPr>
                <ns2:sty ns2:val="p"/>
              </ns2:rPr>
              <w:rPr>
                <w:rFonts w:ascii="Times New Roman" w:hAnsi="Times New Roman" w:eastAsia="宋体"/>
                <w:sz w:val="21"/>
                <w:szCs w:val="21"/>
              </w:rPr>
              <ns2:t>k</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o</ns2:t>
            </ns2:r>
            <ns2:r>
              <ns2:rPr>
                <ns2:sty ns2:val="p"/>
              </ns2:rPr>
              <w:rPr>
                <w:rFonts w:ascii="Times New Roman" w:hAnsi="Times New Roman" w:eastAsia="宋体"/>
                <w:sz w:val="21"/>
                <w:szCs w:val="21"/>
              </w:rPr>
              <ns2:t>u</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c</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（3）</w:t>
      </w:r>
    </w:p>
    <w:p>
      <w:pPr>
        <w:pStyle w:val="HFUTBody"/>
        <w:spacing w:before="0" w:after="0" w:line="360" w:lineRule="atLeast"/>
      </w:pPr>
      <w:r>
        <w:rPr>
          <w:rFonts w:hint="eastAsia"/>
        </w:rPr>
        <w:t xml:space="preserve">其中，</w:t>
      </w:r>
      <ns2:oMath>
        <ns2:sSub>
          <ns2:e>
            <ns2:r>
              <ns2:t>t</ns2:t>
            </ns2:r>
          </ns2:e>
          <ns2:sub>
            <ns2:r>
              <ns2:rPr>
                <ns2:sty ns2:val="p"/>
              </ns2:rPr>
              <ns2:t>s</ns2:t>
            </ns2:r>
            <ns2:r>
              <ns2:rPr>
                <ns2:sty ns2:val="p"/>
              </ns2:rPr>
              <ns2:t>o</ns2:t>
            </ns2:r>
            <ns2:r>
              <ns2:rPr>
                <ns2:sty ns2:val="p"/>
              </ns2:rPr>
              <ns2:t>u</ns2:t>
            </ns2:r>
            <ns2:r>
              <ns2:rPr>
                <ns2:sty ns2:val="p"/>
              </ns2:rPr>
              <ns2:t>r</ns2:t>
            </ns2:r>
            <ns2:r>
              <ns2:rPr>
                <ns2:sty ns2:val="p"/>
              </ns2:rPr>
              <ns2:t>c</ns2:t>
            </ns2:r>
            <ns2:r>
              <ns2:rPr>
                <ns2:sty ns2:val="p"/>
              </ns2:rPr>
              <ns2:t>e</ns2:t>
            </ns2:r>
          </ns2:sub>
        </ns2:sSub>
      </ns2:oMath>
      <w:r>
        <w:rPr>
          <w:rFonts w:hint="eastAsia"/>
        </w:rPr>
        <w:t xml:space="preserve">位于获取数据源帧前，</w:t>
      </w:r>
      <ns2:oMath>
        <ns2:sSub>
          <ns2:e>
            <ns2:r>
              <ns2:t>t</ns2:t>
            </ns2:r>
          </ns2:e>
          <ns2:sub>
            <ns2:r>
              <ns2:rPr>
                <ns2:sty ns2:val="p"/>
              </ns2:rPr>
              <ns2:t>p</ns2:t>
            </ns2:r>
            <ns2:r>
              <ns2:rPr>
                <ns2:sty ns2:val="p"/>
              </ns2:rPr>
              <ns2:t>r</ns2:t>
            </ns2:r>
            <ns2:r>
              <ns2:rPr>
                <ns2:sty ns2:val="p"/>
              </ns2:rPr>
              <ns2:t>e</ns2:t>
            </ns2:r>
            <ns2:r>
              <ns2:rPr>
                <ns2:nor/>
                <ns2:sty ns2:val="p"/>
              </ns2:rPr>
              <ns2:t>-</ns2:t>
            </ns2:r>
            <ns2:r>
              <ns2:rPr>
                <ns2:sty ns2:val="p"/>
              </ns2:rPr>
              <ns2:t>s</ns2:t>
            </ns2:r>
            <ns2:r>
              <ns2:rPr>
                <ns2:sty ns2:val="p"/>
              </ns2:rPr>
              <ns2:t>i</ns2:t>
            </ns2:r>
            <ns2:r>
              <ns2:rPr>
                <ns2:sty ns2:val="p"/>
              </ns2:rPr>
              <ns2:t>n</ns2:t>
            </ns2:r>
            <ns2:r>
              <ns2:rPr>
                <ns2:sty ns2:val="p"/>
              </ns2:rPr>
              <ns2:t>k</ns2:t>
            </ns2:r>
          </ns2:sub>
        </ns2:sSub>
      </ns2:oMath>
      <w:r>
        <w:rPr>
          <w:rFonts w:hint="eastAsia"/>
        </w:rPr>
        <w:t xml:space="preserve">位于结果构造完成且序列化和写文件前。本文评价完整路径</w:t>
      </w:r>
      <ns2:oMath>
        <ns2:r>
          <ns2:t>P</ns2:t>
        </ns2:r>
      </ns2:oMath>
      <w:r>
        <w:rPr>
          <w:rFonts w:hint="eastAsia"/>
        </w:rPr>
        <w:t xml:space="preserve">的E2E响应，不独立测量H2D、预处理或CUDA核函数时间。</w:t>
      </w:r>
    </w:p>
    <w:p>
      <w:pPr>
        <w:pStyle w:val="HFUTBody"/>
        <w:spacing w:before="0" w:after="0" w:line="360" w:lineRule="atLeast"/>
      </w:pPr>
      <w:r>
        <w:rPr>
          <w:rFonts w:hint="eastAsia"/>
        </w:rPr>
        <w:t xml:space="preserve">据此提出：RQ1，在固定推理对象、工作负载和任务语义时，</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路径级重构对完整E2E平均响应产生何种影响？RQ2，在</w:t>
      </w:r>
      <ns2:oMath>
        <ns2:r>
          <ns2:t>R</ns2:t>
        </ns2:r>
        <ns2:r>
          <ns2:rPr>
            <ns2:sty ns2:val="p"/>
          </ns2:rPr>
          <ns2:t>,</ns2:t>
        </ns2:r>
        <ns2:r>
          <ns2:t>F</ns2:t>
        </ns2:r>
        <ns2:r>
          <ns2:rPr>
            <ns2:sty ns2:val="p"/>
          </ns2:rPr>
          <ns2:t>,</ns2:t>
        </ns2:r>
        <ns2:r>
          <ns2:t>E</ns2:t>
        </ns2:r>
      </ns2:oMath>
      <w:r>
        <w:rPr>
          <w:rFonts w:hint="eastAsia"/>
        </w:rPr>
        <w:t xml:space="preserve">、GPU预处理语义及下游结构保持不变时，</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只改变主机暂存策略，是否产生额外平均响应，以及P95/P99是否呈现一致改善？RQ1由4.2节回答，RQ2由4.3和4.4节回答。</w:t>
      </w:r>
    </w:p>
    <w:p>
      <w:pPr>
        <w:pStyle w:val="HFUTHeading1"/>
      </w:pPr>
      <w:r>
        <w:t xml:space="preserve">2 </w:t>
      </w:r>
      <w:r>
        <w:rPr>
          <w:rFonts w:hint="eastAsia"/>
        </w:rPr>
        <w:t xml:space="preserve">受控输入数据路径重构</w:t>
      </w:r>
    </w:p>
    <w:p>
      <w:pPr>
        <w:pStyle w:val="HFUTHeading2"/>
      </w:pPr>
      <w:r>
        <w:t xml:space="preserve">2.1 </w:t>
      </w:r>
      <w:r>
        <w:rPr>
          <w:rFonts w:hint="eastAsia"/>
        </w:rPr>
        <w:t xml:space="preserve">V0基线路径</w:t>
      </w:r>
    </w:p>
    <w:p>
      <w:pPr>
        <w:pStyle w:val="HFUTBody"/>
        <w:spacing w:before="0" w:after="0" w:line="360" w:lineRule="atLeast"/>
      </w:pPr>
      <w:r>
        <w:rPr>
          <w:rFonts w:hint="eastAsia"/>
        </w:rPr>
        <w:t xml:space="preserve">V0实现</w:t>
      </w:r>
      <ns2:oMath>
        <ns2:sSub>
          <ns2:e>
            <ns2:r>
              <ns2:t>P</ns2:t>
            </ns2:r>
          </ns2:e>
          <ns2:sub>
            <ns2:r>
              <ns2:t>0</ns2:t>
            </ns2:r>
          </ns2:sub>
        </ns2:sSub>
      </ns2:oMath>
      <w:r>
        <w:rPr>
          <w:rFonts w:hint="eastAsia"/>
        </w:rPr>
        <w:t xml:space="preserve">的主机张量路径，其路径语义是由主机形成模型输入，并由FP32</w:t>
      </w:r>
      <w:r>
        <w:t xml:space="preserve"> </w:t>
      </w:r>
      <w:r>
        <w:rPr>
          <w:rFonts w:hint="eastAsia"/>
        </w:rPr>
        <w:t xml:space="preserve">NCHW张量跨越主机—设备边界。该路径中</w:t>
      </w:r>
      <ns2:oMath>
        <ns2:r>
          <ns2:t>F</ns2:t>
        </ns2:r>
      </ns2:oMath>
      <w:r>
        <w:rPr>
          <w:rFonts w:hint="eastAsia"/>
        </w:rPr>
        <w:t xml:space="preserve">为主机、</w:t>
      </w:r>
      <ns2:oMath>
        <ns2:r>
          <ns2:t>R</ns2:t>
        </ns2:r>
      </ns2:oMath>
      <w:r>
        <w:rPr>
          <w:rFonts w:hint="eastAsia"/>
        </w:rPr>
        <w:t xml:space="preserve">为FP32</w:t>
      </w:r>
      <w:r>
        <w:t xml:space="preserve"> NCHW、</w:t>
      </w:r>
      <ns2:oMath>
        <ns2:r>
          <ns2:t>M</ns2:t>
        </ns2:r>
      </ns2:oMath>
      <w:r>
        <w:rPr>
          <w:rFonts w:hint="eastAsia"/>
        </w:rPr>
        <w:t xml:space="preserve">无额外打包原始图像暂存，</w:t>
      </w:r>
      <ns2:oMath>
        <ns2:r>
          <ns2:t>E</ns2:t>
        </ns2:r>
      </ns2:oMath>
      <w:r>
        <w:rPr>
          <w:rFonts w:hint="eastAsia"/>
        </w:rPr>
        <w:t xml:space="preserve">保持为单帧顺序执行。</w:t>
      </w:r>
    </w:p>
    <w:p>
      <w:pPr>
        <w:pStyle w:val="HFUTBody"/>
        <w:spacing w:before="0" w:after="0" w:line="360" w:lineRule="atLeast"/>
      </w:pPr>
      <w:r>
        <w:rPr>
          <w:rFonts w:hint="eastAsia"/>
        </w:rPr>
        <w:t xml:space="preserve">作为上述结构语义的实现映射，数据源解码为BGR图像后，CPU/OpenCV采用</w:t>
      </w:r>
      <w:r>
        <w:rPr>
          <w:rStyle w:val="VerbatimChar"/>
        </w:rPr>
        <w:t xml:space="preserve">INTER_LINEAR</w:t>
      </w:r>
      <w:r>
        <w:rPr>
          <w:rFonts w:hint="eastAsia"/>
        </w:rPr>
        <w:t xml:space="preserve">完成640×640</w:t>
      </w:r>
      <w:r>
        <w:t xml:space="preserve"> </w:t>
      </w:r>
      <w:r>
        <w:rPr>
          <w:rFonts w:hint="eastAsia"/>
        </w:rPr>
        <w:t xml:space="preserve">letterbox与常数114填充，并完成BGR→RGB、HWC→CHW及</w:t>
      </w:r>
      <ns2:oMath>
        <ns2:r>
          <ns2:t>1</ns2:t>
        </ns2:r>
        <ns2:r>
          <ns2:rPr>
            <ns2:sty ns2:val="p"/>
          </ns2:rPr>
          <ns2:t>/</ns2:t>
        </ns2:r>
        <ns2:r>
          <ns2:t>255</ns2:t>
        </ns2:r>
      </ns2:oMath>
      <w:r>
        <w:rPr>
          <w:rFonts w:hint="eastAsia"/>
        </w:rPr>
        <w:t xml:space="preserve">归一化，在主机侧形成</w:t>
      </w:r>
      <w:r>
        <w:rPr>
          <w:rStyle w:val="VerbatimChar"/>
        </w:rPr>
        <w:t xml:space="preserve">1×3×640×640</w:t>
      </w:r>
      <w:r>
        <w:t xml:space="preserve"> </w:t>
      </w:r>
      <w:r>
        <w:t xml:space="preserve">FP32 </w:t>
      </w:r>
      <w:r>
        <w:rPr>
          <w:rFonts w:hint="eastAsia"/>
        </w:rPr>
        <w:t xml:space="preserve">NCHW张量后执行FP32</w:t>
      </w:r>
      <w:r>
        <w:t xml:space="preserve"> </w:t>
      </w:r>
      <w:r>
        <w:rPr>
          <w:rFonts w:hint="eastAsia"/>
        </w:rPr>
        <w:t xml:space="preserve">H2D复制。这些具体操作用于复现</w:t>
      </w:r>
      <ns2:oMath>
        <ns2:sSub>
          <ns2:e>
            <ns2:r>
              <ns2:t>P</ns2:t>
            </ns2:r>
          </ns2:e>
          <ns2:sub>
            <ns2:r>
              <ns2:t>0</ns2:t>
            </ns2:r>
          </ns2:sub>
        </ns2:sSub>
      </ns2:oMath>
      <w:r>
        <w:rPr>
          <w:rFonts w:hint="eastAsia"/>
        </w:rPr>
        <w:t xml:space="preserve">，不作为独立研究对象。</w:t>
      </w:r>
    </w:p>
    <w:p>
      <w:pPr>
        <w:pStyle w:val="HFUTHeading2"/>
      </w:pPr>
      <w:r>
        <w:t xml:space="preserve">2.2 </w:t>
      </w:r>
      <w:r>
        <w:rPr>
          <w:rFonts w:hint="eastAsia"/>
        </w:rPr>
        <w:t xml:space="preserve">V2R路径级重构</w:t>
      </w:r>
    </w:p>
    <w:p>
      <w:pPr>
        <w:pStyle w:val="HFUTBody"/>
        <w:spacing w:before="0" w:after="0" w:line="360" w:lineRule="atLeast"/>
      </w:pPr>
      <w:r>
        <w:rPr>
          <w:rFonts w:hint="eastAsia"/>
        </w:rPr>
        <w:t xml:space="preserve">V2R实现</w:t>
      </w:r>
      <ns2:oMath>
        <ns2:sSub>
          <ns2:e>
            <ns2:r>
              <ns2:t>P</ns2:t>
            </ns2:r>
          </ns2:e>
          <ns2:sub>
            <ns2:r>
              <ns2:t>2</ns2:t>
            </ns2:r>
          </ns2:sub>
        </ns2:sSub>
      </ns2:oMath>
      <w:r>
        <w:rPr>
          <w:rFonts w:hint="eastAsia"/>
        </w:rPr>
        <w:t xml:space="preserve">的设备张量形成路径，其路径语义是packed</w:t>
      </w:r>
      <w:r>
        <w:t xml:space="preserve"> BGR </w:t>
      </w:r>
      <w:r>
        <w:rPr>
          <w:rFonts w:hint="eastAsia"/>
        </w:rPr>
        <w:t xml:space="preserve">uint8表示跨越边界，并在设备侧形成TensorRT输入。相对</w:t>
      </w:r>
      <ns2:oMath>
        <ns2:sSub>
          <ns2:e>
            <ns2:r>
              <ns2:t>P</ns2:t>
            </ns2:r>
          </ns2:e>
          <ns2:sub>
            <ns2:r>
              <ns2:t>0</ns2:t>
            </ns2:r>
          </ns2:sub>
        </ns2:sSub>
      </ns2:oMath>
      <w:r>
        <w:rPr>
          <w:rFonts w:hint="eastAsia"/>
        </w:rPr>
        <w:t xml:space="preserve">，</w:t>
      </w:r>
      <ns2:oMath>
        <ns2:r>
          <ns2:t>R</ns2:t>
        </ns2:r>
      </ns2:oMath>
      <w:r>
        <w:rPr>
          <w:rFonts w:hint="eastAsia"/>
        </w:rPr>
        <w:t xml:space="preserve">与</w:t>
      </w:r>
      <ns2:oMath>
        <ns2:r>
          <ns2:t>F</ns2:t>
        </ns2:r>
      </ns2:oMath>
      <w:r>
        <w:rPr>
          <w:rFonts w:hint="eastAsia"/>
        </w:rPr>
        <w:t xml:space="preserve">发生变化，</w:t>
      </w:r>
      <ns2:oMath>
        <ns2:r>
          <ns2:t>M</ns2:t>
        </ns2:r>
      </ns2:oMath>
      <w:r>
        <w:rPr>
          <w:rFonts w:hint="eastAsia"/>
        </w:rPr>
        <w:t xml:space="preserve">被引入为pageable暂存，而</w:t>
      </w:r>
      <ns2:oMath>
        <ns2:r>
          <ns2:t>E</ns2:t>
        </ns2:r>
      </ns2:oMath>
      <w:r>
        <w:rPr>
          <w:rFonts w:hint="eastAsia"/>
        </w:rPr>
        <w:t xml:space="preserve">仍为单帧顺序执行。</w:t>
      </w:r>
    </w:p>
    <w:p>
      <w:pPr>
        <w:pStyle w:val="HFUTBody"/>
        <w:spacing w:before="0" w:after="0" w:line="360" w:lineRule="atLeast"/>
      </w:pPr>
      <w:r>
        <w:rPr>
          <w:rFonts w:hint="eastAsia"/>
        </w:rPr>
        <w:t xml:space="preserve">作为该结构变化的实现映射，冻结工作负载的200×200源图像在主机侧形成连续的600</w:t>
      </w:r>
      <w:r>
        <w:t xml:space="preserve"> </w:t>
      </w:r>
      <w:r>
        <w:rPr>
          <w:rFonts w:hint="eastAsia"/>
        </w:rPr>
        <w:t xml:space="preserve">B行宽packed</w:t>
      </w:r>
      <w:r>
        <w:t xml:space="preserve"> BGR </w:t>
      </w:r>
      <w:r>
        <w:rPr>
          <w:rFonts w:hint="eastAsia"/>
        </w:rPr>
        <w:t xml:space="preserve">pageable暂存，经二维H2D复制后，由设备侧融合预处理直接写入TensorRT管理的FP32</w:t>
      </w:r>
      <w:r>
        <w:t xml:space="preserve"> </w:t>
      </w:r>
      <w:r>
        <w:rPr>
          <w:rFonts w:hint="eastAsia"/>
        </w:rPr>
        <w:t xml:space="preserve">NCHW输入。二维复制采用</w:t>
      </w:r>
      <w:r>
        <w:rPr>
          <w:rStyle w:val="VerbatimChar"/>
        </w:rPr>
        <w:t xml:space="preserve">cudaMemcpy2DAsync</w:t>
      </w:r>
      <w:r>
        <w:rPr>
          <w:rFonts w:hint="eastAsia"/>
        </w:rPr>
        <w:t xml:space="preserve">；融合处理完成resize、padding、BGR→RGB、归一化与布局变换。该API及融合核函数用于实现</w:t>
      </w:r>
      <ns2:oMath>
        <ns2:sSub>
          <ns2:e>
            <ns2:r>
              <ns2:t>P</ns2:t>
            </ns2:r>
          </ns2:e>
          <ns2:sub>
            <ns2:r>
              <ns2:t>2</ns2:t>
            </ns2:r>
          </ns2:sub>
        </ns2:sSub>
      </ns2:oMath>
      <w:r>
        <w:rPr>
          <w:rFonts w:hint="eastAsia"/>
        </w:rPr>
        <w:t xml:space="preserve">，本身不是路径级研究贡献。</w:t>
      </w:r>
    </w:p>
    <w:p>
      <w:pPr>
        <w:pStyle w:val="HFUTBody"/>
      </w:pPr>
      <w:r>
        <w:t xml:space="preserve">GPU </w:t>
      </w:r>
      <w:r>
        <w:rPr>
          <w:rFonts w:hint="eastAsia"/>
        </w:rPr>
        <w:t xml:space="preserve">resize按V0的OpenCV</w:t>
      </w:r>
      <w:r>
        <w:t xml:space="preserve"> 4.5.4</w:t>
      </w:r>
      <w:r>
        <w:t xml:space="preserve"> </w:t>
      </w:r>
      <w:r>
        <w:rPr>
          <w:rStyle w:val="VerbatimChar"/>
        </w:rPr>
        <w:t xml:space="preserve">INTER_LINEAR</w:t>
      </w:r>
      <w:r>
        <w:rPr>
          <w:rFonts w:hint="eastAsia"/>
        </w:rPr>
        <w:t xml:space="preserve">语义建立受控对齐，letterbox几何和填充值保持一致。该约束服务于三条路径的输入语义一致性，不构成通用CUDA/OpenCV等价性声明。相关设备缓冲区和执行上下文在进程内复用，以避免逐帧重复分配或创建。</w:t>
      </w:r>
    </w:p>
    <w:p>
      <w:pPr>
        <w:pStyle w:val="HFUTHeading2"/>
      </w:pPr>
      <w:r>
        <w:t xml:space="preserve">2.3 </w:t>
      </w:r>
      <w:r>
        <w:rPr>
          <w:rFonts w:hint="eastAsia"/>
        </w:rPr>
        <w:t xml:space="preserve">V3R暂存策略细化</w:t>
      </w:r>
    </w:p>
    <w:p>
      <w:pPr>
        <w:pStyle w:val="HFUTBody"/>
        <w:spacing w:before="0" w:after="0" w:line="360" w:lineRule="atLeast"/>
      </w:pPr>
      <w:r>
        <w:rPr>
          <w:rFonts w:hint="eastAsia"/>
        </w:rPr>
        <w:t xml:space="preserve">V3R实现</w:t>
      </w:r>
      <ns2:oMath>
        <ns2:sSub>
          <ns2:e>
            <ns2:r>
              <ns2:t>P</ns2:t>
            </ns2:r>
          </ns2:e>
          <ns2:sub>
            <ns2:r>
              <ns2:t>3</ns2:t>
            </ns2:r>
          </ns2:sub>
        </ns2:sSub>
      </ns2:oMath>
      <w:r>
        <w:rPr>
          <w:rFonts w:hint="eastAsia"/>
        </w:rPr>
        <w:t xml:space="preserve">的局部暂存策略细化，其路径语义是在V2R基础上只将</w:t>
      </w:r>
      <ns2:oMath>
        <ns2:r>
          <ns2:t>M</ns2:t>
        </ns2:r>
      </ns2:oMath>
      <w:r>
        <w:rPr>
          <w:rFonts w:hint="eastAsia"/>
        </w:rPr>
        <w:t xml:space="preserve">由pageable改为pinned。跨边界表示</w:t>
      </w:r>
      <ns2:oMath>
        <ns2:r>
          <ns2:t>R</ns2:t>
        </ns2:r>
      </ns2:oMath>
      <w:r>
        <w:rPr>
          <w:rFonts w:hint="eastAsia"/>
        </w:rPr>
        <w:t xml:space="preserve">、张量形成位置</w:t>
      </w:r>
      <ns2:oMath>
        <ns2:r>
          <ns2:t>F</ns2:t>
        </ns2:r>
      </ns2:oMath>
      <w:r>
        <w:rPr>
          <w:rFonts w:hint="eastAsia"/>
        </w:rPr>
        <w:t xml:space="preserve">和执行拓扑</w:t>
      </w:r>
      <ns2:oMath>
        <ns2:r>
          <ns2:t>E</ns2:t>
        </ns2:r>
      </ns2:oMath>
      <w:r>
        <w:rPr>
          <w:rFonts w:hint="eastAsia"/>
        </w:rPr>
        <w:t xml:space="preserve">均保持不变，GPU融合预处理语义、二维复制拓扑、CUDA</w:t>
      </w:r>
      <w:r>
        <w:t xml:space="preserve"> </w:t>
      </w:r>
      <w:r>
        <w:rPr>
          <w:rFonts w:hint="eastAsia"/>
        </w:rPr>
        <w:t xml:space="preserve">stream、Engine和全部下游处理也受到控制。</w:t>
      </w:r>
    </w:p>
    <w:p>
      <w:pPr>
        <w:pStyle w:val="HFUTBody"/>
        <w:spacing w:before="0" w:after="0" w:line="360" w:lineRule="atLeast"/>
      </w:pPr>
      <w:r>
        <w:rPr>
          <w:rFonts w:hint="eastAsia"/>
        </w:rPr>
        <w:t xml:space="preserve">作为</w:t>
      </w:r>
      <ns2:oMath>
        <ns2:r>
          <ns2:t>M</ns2:t>
        </ns2:r>
        <ns2:r>
          <ns2:rPr>
            <ns2:sty ns2:val="p"/>
          </ns2:rPr>
          <ns2:t>=</ns2:t>
        </ns2:r>
        <ns2:r>
          <ns2:rPr>
            <ns2:sty ns2:val="p"/>
          </ns2:rPr>
          <ns2:t>p</ns2:t>
        </ns2:r>
        <ns2:r>
          <ns2:rPr>
            <ns2:sty ns2:val="p"/>
          </ns2:rPr>
          <ns2:t>i</ns2:t>
        </ns2:r>
        <ns2:r>
          <ns2:rPr>
            <ns2:sty ns2:val="p"/>
          </ns2:rPr>
          <ns2:t>n</ns2:t>
        </ns2:r>
        <ns2:r>
          <ns2:rPr>
            <ns2:sty ns2:val="p"/>
          </ns2:rPr>
          <ns2:t>n</ns2:t>
        </ns2:r>
        <ns2:r>
          <ns2:rPr>
            <ns2:sty ns2:val="p"/>
          </ns2:rPr>
          <ns2:t>e</ns2:t>
        </ns2:r>
        <ns2:r>
          <ns2:rPr>
            <ns2:sty ns2:val="p"/>
          </ns2:rPr>
          <ns2:t>d</ns2:t>
        </ns2:r>
      </ns2:oMath>
      <w:r>
        <w:rPr>
          <w:rFonts w:hint="eastAsia"/>
        </w:rPr>
        <w:t xml:space="preserve">的实现映射，V3R使用</w:t>
      </w:r>
      <w:r>
        <w:rPr>
          <w:rStyle w:val="VerbatimChar"/>
        </w:rPr>
        <w:t xml:space="preserve">cudaHostAlloc</w:t>
      </w:r>
      <w:r>
        <w:rPr>
          <w:rFonts w:hint="eastAsia"/>
        </w:rPr>
        <w:t xml:space="preserve">建立跨帧复用的pinned暂存。该分配API不改变复制内容和每帧有效几何，也不构成独立于</w:t>
      </w:r>
      <ns2:oMath>
        <ns2:r>
          <ns2:t>M</ns2:t>
        </ns2:r>
      </ns2:oMath>
      <w:r>
        <w:rPr>
          <w:rFonts w:hint="eastAsia"/>
        </w:rPr>
        <w:t xml:space="preserve">的结构变量。</w:t>
      </w:r>
    </w:p>
    <w:p>
      <w:pPr>
        <w:pStyle w:val="HFUTHeading2"/>
      </w:pPr>
      <w:r>
        <w:t xml:space="preserve">2.4 </w:t>
      </w:r>
      <w:r>
        <w:rPr>
          <w:rFonts w:hint="eastAsia"/>
        </w:rPr>
        <w:t xml:space="preserve">共同控制与正确性约束</w:t>
      </w:r>
    </w:p>
    <w:p>
      <w:pPr>
        <w:pStyle w:val="HFUTBody"/>
      </w:pPr>
      <w:r>
        <w:rPr>
          <w:rFonts w:hint="eastAsia"/>
        </w:rPr>
        <w:t xml:space="preserve">三条路径共用同一Engine、CUDA</w:t>
      </w:r>
      <w:r>
        <w:t xml:space="preserve"> </w:t>
      </w:r>
      <w:r>
        <w:rPr>
          <w:rFonts w:hint="eastAsia"/>
        </w:rPr>
        <w:t xml:space="preserve">stream语义、推理同步、输出回传以及CPU检测框解码、置信度筛选和NMS，执行拓扑均为单帧顺序。后处理配置固定为置信度阈值0.25、IoU阈值0.45、</w:t>
      </w:r>
      <w:r>
        <w:rPr>
          <w:rStyle w:val="VerbatimChar"/>
        </w:rPr>
        <w:t xml:space="preserve">max_nms=30000</w:t>
      </w:r>
      <w:r>
        <w:t xml:space="preserve">、</w:t>
      </w:r>
      <w:r>
        <w:rPr>
          <w:rStyle w:val="VerbatimChar"/>
        </w:rPr>
        <w:t xml:space="preserve">max_det=300</w:t>
      </w:r>
      <w:r>
        <w:rPr>
          <w:rFonts w:hint="eastAsia"/>
        </w:rPr>
        <w:t xml:space="preserve">和class-aware单标签语义。V2R通过预定义任务级核验；V3R由相同评价程序对冻结预测结果确定性重算，并通过输入顺序、处理数量、丢帧和EOS检查确保执行完整性及路径间可比性。</w:t>
      </w:r>
    </w:p>
    <w:p>
      <w:pPr>
        <w:pStyle w:val="HFUTHeading1"/>
      </w:pPr>
      <w:r>
        <w:t xml:space="preserve">3 </w:t>
      </w:r>
      <w:r>
        <w:rPr>
          <w:rFonts w:hint="eastAsia"/>
        </w:rPr>
        <w:t xml:space="preserve">实验协议</w:t>
      </w:r>
    </w:p>
    <w:p>
      <w:pPr>
        <w:pStyle w:val="HFUTHeading2"/>
      </w:pPr>
      <w:r>
        <w:t xml:space="preserve">3.1 </w:t>
      </w:r>
      <w:r>
        <w:rPr>
          <w:rFonts w:hint="eastAsia"/>
        </w:rPr>
        <w:t xml:space="preserve">实验平台与模型配置</w:t>
      </w:r>
    </w:p>
    <w:p>
      <w:pPr>
        <w:pStyle w:val="HFUTBody"/>
      </w:pPr>
      <w:r>
        <w:rPr>
          <w:rFonts w:hint="eastAsia"/>
        </w:rPr>
        <w:t xml:space="preserve">平台、固定推理对象和统一协议见表2。软件版本、功耗模式和工作负载是复现实验的条件，不参与路径描述符定义。</w:t>
      </w:r>
    </w:p>
    <w:p>
      <w:pPr>
        <w:pStyle w:val="HFUTTableCaption"/>
        <w:keepNext/>
        <w:jc w:val="center"/>
      </w:pPr>
      <w:r>
        <w:rPr>
          <w:rFonts w:hint="eastAsia"/>
          <w:b/>
          <w:bCs/>
        </w:rPr>
        <w:t xml:space="preserve">表2</w:t>
      </w:r>
      <w:r>
        <w:rPr>
          <w:b/>
          <w:bCs/>
        </w:rPr>
        <w:t xml:space="preserve">　</w:t>
      </w:r>
      <w:r>
        <w:rPr>
          <w:rFonts w:hint="eastAsia"/>
          <w:b/>
          <w:bCs/>
        </w:rPr>
        <w:t xml:space="preserve">平台、模型与统一基准协议。</w:t>
      </w:r>
    </w:p>
    <w:tbl>
      <w:tblPr>
        <w:tblStyle w:val="HFUTThreeLineTable"/>
        <w:tblW w:type="dxa" w:w="4400"/>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500"/>
        <w:gridCol w:w="2900"/>
      </w:tblGrid>
      <w:tr>
        <w:trPr>
          <w:tblHeader w:val="on"/>
          <w:cantSplit/>
        </w:trPr>
        <w:tc>
          <w:tcPr>
            <w:tcW w:w="15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项目</w:t>
            </w:r>
          </w:p>
        </w:tc>
        <w:tc>
          <w:tcPr>
            <w:tcW w:w="29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设置</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平台</w:t>
            </w:r>
          </w:p>
        </w:tc>
        <w:tc>
          <w:tcPr>
            <w:tcW w:w="2900" w:type="dxa"/>
            <w:tcBorders>
              <w:top w:val="nil"/>
              <w:left w:val="nil"/>
              <w:bottom w:val="nil"/>
              <w:right w:val="nil"/>
            </w:tcBorders>
          </w:tcPr>
          <w:p>
            <w:pPr>
              <w:pStyle w:val="HFUTTableContent"/>
              <w:ind w:left="0" w:right="0" w:firstLine="0"/>
              <w:jc w:val="left"/>
            </w:pPr>
            <w:r>
              <w:t xml:space="preserve">NVIDIA Jetson Orin Nano Engineering Reference Developer Kit Super</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软件栈</w:t>
            </w:r>
          </w:p>
        </w:tc>
        <w:tc>
          <w:tcPr>
            <w:tcW w:w="2900" w:type="dxa"/>
            <w:tcBorders>
              <w:top w:val="nil"/>
              <w:left w:val="nil"/>
              <w:bottom w:val="nil"/>
              <w:right w:val="nil"/>
            </w:tcBorders>
          </w:tcPr>
          <w:p>
            <w:pPr>
              <w:pStyle w:val="HFUTTableContent"/>
              <w:ind w:left="0" w:right="0" w:firstLine="0"/>
              <w:jc w:val="left"/>
            </w:pPr>
            <w:r>
              <w:t xml:space="preserve">L4T </w:t>
            </w:r>
            <w:r>
              <w:rPr>
                <w:rFonts w:hint="eastAsia"/>
              </w:rPr>
              <w:t xml:space="preserve">R36.5；CUDA</w:t>
            </w:r>
            <w:r>
              <w:t xml:space="preserve"> </w:t>
            </w:r>
            <w:r>
              <w:rPr>
                <w:rFonts w:hint="eastAsia"/>
              </w:rPr>
              <w:t xml:space="preserve">12.6；TensorRT</w:t>
            </w:r>
            <w:r>
              <w:t xml:space="preserve"> </w:t>
            </w:r>
            <w:r>
              <w:rPr>
                <w:rFonts w:hint="eastAsia"/>
              </w:rPr>
              <w:t xml:space="preserve">10.3；OpenCV</w:t>
            </w:r>
            <w:r>
              <w:t xml:space="preserve"> 4.5.4</w:t>
            </w:r>
          </w:p>
        </w:tc>
      </w:tr>
      <w:tr>
        <w:trPr>
          <w:cantSplit/>
        </w:trPr>
        <w:tc>
          <w:tcPr>
            <w:tcW w:w="1500" w:type="dxa"/>
            <w:tcBorders>
              <w:top w:val="nil"/>
              <w:left w:val="nil"/>
              <w:bottom w:val="nil"/>
              <w:right w:val="nil"/>
            </w:tcBorders>
          </w:tcPr>
          <w:p>
            <w:pPr>
              <w:pStyle w:val="HFUTTableContent"/>
              <w:ind w:left="0" w:right="0" w:firstLine="0"/>
              <w:jc w:val="left"/>
            </w:pPr>
            <w:r>
              <w:t xml:space="preserve">Detector / </w:t>
            </w:r>
            <w:r>
              <w:rPr>
                <w:rFonts w:hint="eastAsia"/>
              </w:rPr>
              <w:t xml:space="preserve">输入</w:t>
            </w:r>
          </w:p>
        </w:tc>
        <w:tc>
          <w:tcPr>
            <w:tcW w:w="2900" w:type="dxa"/>
            <w:tcBorders>
              <w:top w:val="nil"/>
              <w:left w:val="nil"/>
              <w:bottom w:val="nil"/>
              <w:right w:val="nil"/>
            </w:tcBorders>
          </w:tcPr>
          <w:p>
            <w:pPr>
              <w:pStyle w:val="HFUTTableContent"/>
              <w:ind w:left="0" w:right="0" w:firstLine="0"/>
              <w:jc w:val="left"/>
            </w:pPr>
            <w:r>
              <w:rPr>
                <w:rFonts w:hint="eastAsia"/>
              </w:rPr>
              <w:t xml:space="preserve">YOLOv8n；640</w:t>
            </w:r>
            <w:r>
              <w:t xml:space="preserve"> × </w:t>
            </w:r>
            <w:r>
              <w:rPr>
                <w:rFonts w:hint="eastAsia"/>
              </w:rPr>
              <w:t xml:space="preserve">640；batch</w:t>
            </w:r>
            <w:r>
              <w:t xml:space="preserve"> 1</w:t>
            </w:r>
          </w:p>
        </w:tc>
      </w:tr>
      <w:tr>
        <w:trPr>
          <w:cantSplit/>
        </w:trPr>
        <w:tc>
          <w:tcPr>
            <w:tcW w:w="1500" w:type="dxa"/>
            <w:tcBorders>
              <w:top w:val="nil"/>
              <w:left w:val="nil"/>
              <w:bottom w:val="nil"/>
              <w:right w:val="nil"/>
            </w:tcBorders>
          </w:tcPr>
          <w:p>
            <w:pPr>
              <w:pStyle w:val="HFUTTableContent"/>
              <w:ind w:left="0" w:right="0" w:firstLine="0"/>
              <w:jc w:val="left"/>
            </w:pPr>
            <w:r>
              <w:t xml:space="preserve">Engine</w:t>
            </w:r>
          </w:p>
        </w:tc>
        <w:tc>
          <w:tcPr>
            <w:tcW w:w="2900" w:type="dxa"/>
            <w:tcBorders>
              <w:top w:val="nil"/>
              <w:left w:val="nil"/>
              <w:bottom w:val="nil"/>
              <w:right w:val="nil"/>
            </w:tcBorders>
          </w:tcPr>
          <w:p>
            <w:pPr>
              <w:pStyle w:val="HFUTTableContent"/>
              <w:ind w:left="0" w:right="0" w:firstLine="0"/>
              <w:jc w:val="left"/>
            </w:pPr>
            <w:r>
              <w:t xml:space="preserve">TensorRT </w:t>
            </w:r>
            <w:r>
              <w:rPr>
                <w:rFonts w:hint="eastAsia"/>
              </w:rPr>
              <w:t xml:space="preserve">INT8混合精度（INT8</w:t>
            </w:r>
            <w:r>
              <w:t xml:space="preserve"> + FP16 </w:t>
            </w:r>
            <w:r>
              <w:rPr>
                <w:rFonts w:hint="eastAsia"/>
              </w:rPr>
              <w:t xml:space="preserve">fallback）；Engine输入张量：FP32</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校准</w:t>
            </w:r>
          </w:p>
        </w:tc>
        <w:tc>
          <w:tcPr>
            <w:tcW w:w="2900" w:type="dxa"/>
            <w:tcBorders>
              <w:top w:val="nil"/>
              <w:left w:val="nil"/>
              <w:bottom w:val="nil"/>
              <w:right w:val="nil"/>
            </w:tcBorders>
          </w:tcPr>
          <w:p>
            <w:pPr>
              <w:pStyle w:val="HFUTTableContent"/>
              <w:ind w:left="0" w:right="0" w:firstLine="0"/>
              <w:jc w:val="left"/>
            </w:pPr>
            <w:r>
              <w:rPr>
                <w:rFonts w:hint="eastAsia"/>
              </w:rPr>
              <w:t xml:space="preserve">1260张去重训练图像；IInt8EntropyCalibrator2；batch</w:t>
            </w:r>
            <w:r>
              <w:t xml:space="preserve"> </w:t>
            </w:r>
            <w:r>
              <w:rPr>
                <w:rFonts w:hint="eastAsia"/>
              </w:rPr>
              <w:t xml:space="preserve">1；排除test</w:t>
            </w:r>
            <w:r>
              <w:t xml:space="preserve"> split</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工作负载</w:t>
            </w:r>
          </w:p>
        </w:tc>
        <w:tc>
          <w:tcPr>
            <w:tcW w:w="2900" w:type="dxa"/>
            <w:tcBorders>
              <w:top w:val="nil"/>
              <w:left w:val="nil"/>
              <w:bottom w:val="nil"/>
              <w:right w:val="nil"/>
            </w:tcBorders>
          </w:tcPr>
          <w:p>
            <w:pPr>
              <w:pStyle w:val="HFUTTableContent"/>
              <w:ind w:left="0" w:right="0" w:firstLine="0"/>
              <w:jc w:val="left"/>
            </w:pPr>
            <w:r>
              <w:rPr>
                <w:rFonts w:hint="eastAsia"/>
              </w:rPr>
              <w:t xml:space="preserve">固定180张test图像</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路径</w:t>
            </w:r>
          </w:p>
        </w:tc>
        <w:tc>
          <w:tcPr>
            <w:tcW w:w="2900" w:type="dxa"/>
            <w:tcBorders>
              <w:top w:val="nil"/>
              <w:left w:val="nil"/>
              <w:bottom w:val="nil"/>
              <w:right w:val="nil"/>
            </w:tcBorders>
          </w:tcPr>
          <w:p>
            <w:pPr>
              <w:pStyle w:val="HFUTTableContent"/>
              <w:ind w:left="0" w:right="0" w:firstLine="0"/>
              <w:jc w:val="left"/>
            </w:pPr>
            <w:r>
              <w:t xml:space="preserve">V0 / V2R / </w:t>
            </w:r>
            <w:r>
              <w:rPr>
                <w:rFonts w:hint="eastAsia"/>
              </w:rPr>
              <w:t xml:space="preserve">V3R；单帧顺序执行</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计时协议</w:t>
            </w:r>
          </w:p>
        </w:tc>
        <w:tc>
          <w:tcPr>
            <w:tcW w:w="2900" w:type="dxa"/>
            <w:tcBorders>
              <w:top w:val="nil"/>
              <w:left w:val="nil"/>
              <w:bottom w:val="nil"/>
              <w:right w:val="nil"/>
            </w:tcBorders>
          </w:tcPr>
          <w:p>
            <w:pPr>
              <w:pStyle w:val="HFUTTableContent"/>
              <w:ind w:left="0" w:right="0" w:firstLine="0"/>
              <w:jc w:val="left"/>
            </w:pPr>
            <w:r>
              <w:rPr>
                <w:rFonts w:hint="eastAsia"/>
              </w:rPr>
              <w:t xml:space="preserve">60帧预热；每进程1080帧；每路径5个独立进程</w:t>
            </w:r>
          </w:p>
        </w:tc>
      </w:tr>
      <w:tr>
        <w:trPr>
          <w:cantSplit/>
        </w:trPr>
        <w:tc>
          <w:tcPr>
            <w:tcW w:w="1500" w:type="dxa"/>
            <w:tcBorders>
              <w:top w:val="nil"/>
              <w:left w:val="nil"/>
              <w:bottom w:val="single" w:sz="8" w:space="0" w:color="000000"/>
              <w:right w:val="nil"/>
            </w:tcBorders>
          </w:tcPr>
          <w:p>
            <w:pPr>
              <w:pStyle w:val="HFUTTableContent"/>
              <w:ind w:left="0" w:right="0" w:firstLine="0"/>
              <w:jc w:val="left"/>
            </w:pPr>
            <w:r>
              <w:rPr>
                <w:rFonts w:hint="eastAsia"/>
              </w:rPr>
              <w:t xml:space="preserve">正式计时</w:t>
            </w:r>
          </w:p>
        </w:tc>
        <w:tc>
          <w:tcPr>
            <w:tcW w:w="2900" w:type="dxa"/>
            <w:tcBorders>
              <w:top w:val="nil"/>
              <w:left w:val="nil"/>
              <w:bottom w:val="single" w:sz="8" w:space="0" w:color="000000"/>
              <w:right w:val="nil"/>
            </w:tcBorders>
          </w:tcPr>
          <w:p>
            <w:pPr>
              <w:pStyle w:val="HFUTTableContent"/>
              <w:ind w:left="0" w:right="0" w:firstLine="0"/>
              <w:jc w:val="left"/>
            </w:pPr>
            <w:r>
              <w:rPr>
                <w:rFonts w:hint="eastAsia"/>
              </w:rPr>
              <w:t xml:space="preserve">关闭diagnostics与profiling</w:t>
            </w:r>
          </w:p>
        </w:tc>
      </w:tr>
    </w:tbl>
    <w:p>
      <w:pPr>
        <w:pStyle w:val="HFUTBody"/>
      </w:pPr>
      <w:r>
        <w:rPr>
          <w:rFonts w:hint="eastAsia"/>
        </w:rPr>
        <w:t xml:space="preserve">正式运行采用</w:t>
      </w:r>
      <w:r>
        <w:rPr>
          <w:rStyle w:val="VerbatimChar"/>
        </w:rPr>
        <w:t xml:space="preserve">MAXN_SUPER</w:t>
      </w:r>
      <w:r>
        <w:rPr>
          <w:rFonts w:hint="eastAsia"/>
        </w:rPr>
        <w:t xml:space="preserve">电源模式（</w:t>
      </w:r>
      <w:r>
        <w:rPr>
          <w:rStyle w:val="VerbatimChar"/>
        </w:rPr>
        <w:t xml:space="preserve">nvpmodel</w:t>
      </w:r>
      <w:r>
        <w:t xml:space="preserve"> </w:t>
      </w:r>
      <w:r>
        <w:t xml:space="preserve">mode </w:t>
      </w:r>
      <w:r>
        <w:rPr>
          <w:rFonts w:hint="eastAsia"/>
        </w:rPr>
        <w:t xml:space="preserve">2），未调用</w:t>
      </w:r>
      <w:r>
        <w:rPr>
          <w:rStyle w:val="VerbatimChar"/>
        </w:rPr>
        <w:t xml:space="preserve">jetson_clocks</w:t>
      </w:r>
      <w:r>
        <w:rPr>
          <w:rFonts w:hint="eastAsia"/>
        </w:rPr>
        <w:t xml:space="preserve">，频率未独立归档。运行前温度约46.8–47.1</w:t>
      </w:r>
      <w:r>
        <w:t xml:space="preserve"> </w:t>
      </w:r>
      <w:r>
        <w:rPr>
          <w:rFonts w:hint="eastAsia"/>
        </w:rPr>
        <w:t xml:space="preserve">℃，运行后约48.7–49.6</w:t>
      </w:r>
      <w:r>
        <w:t xml:space="preserve"> </w:t>
      </w:r>
      <w:r>
        <w:rPr>
          <w:rFonts w:hint="eastAsia"/>
        </w:rPr>
        <w:t xml:space="preserve">℃；这些非连续观察不用于判断持续温度、运行时降频或功耗状态。</w:t>
      </w:r>
    </w:p>
    <w:p>
      <w:pPr>
        <w:pStyle w:val="HFUTHeading2"/>
      </w:pPr>
      <w:r>
        <w:t xml:space="preserve">3.2 </w:t>
      </w:r>
      <w:r>
        <w:rPr>
          <w:rFonts w:hint="eastAsia"/>
        </w:rPr>
        <w:t xml:space="preserve">运行与正确性协议</w:t>
      </w:r>
    </w:p>
    <w:p>
      <w:pPr>
        <w:pStyle w:val="HFUTBody"/>
      </w:pPr>
      <w:r>
        <w:rPr>
          <w:rFonts w:hint="eastAsia"/>
        </w:rPr>
        <w:t xml:space="preserve">性能实验使用同一manifest限定的split-v2固定180幅测试图像及顺序。每个独立进程预热60帧，同步并重置测量窗口后测量1080帧；每条路径执行5个独立进程，形成5400个逐帧延迟样本，三条路径共15个进程和16200个样本，路径间不构造运行配对。</w:t>
      </w:r>
    </w:p>
    <w:p>
      <w:pPr>
        <w:pStyle w:val="HFUTBody"/>
      </w:pPr>
      <w:r>
        <w:rPr>
          <w:rFonts w:hint="eastAsia"/>
        </w:rPr>
        <w:t xml:space="preserve">15个独立进程按预先设定的交错顺序执行。全部进程均处理1080个测量帧、丢帧为0，且输入顺序与EOS检查通过，确保执行完整性和比较条件一致；逐帧diagnostics与profiling保持关闭。</w:t>
      </w:r>
    </w:p>
    <w:p>
      <w:pPr>
        <w:pStyle w:val="HFUTHeading2"/>
      </w:pPr>
      <w:r>
        <w:t xml:space="preserve">3.3 </w:t>
      </w:r>
      <w:r>
        <w:rPr>
          <w:rFonts w:hint="eastAsia"/>
        </w:rPr>
        <w:t xml:space="preserve">E2E、FPS与尾延迟指标</w:t>
      </w:r>
    </w:p>
    <w:p>
      <w:pPr>
        <w:pStyle w:val="HFUTBody"/>
        <w:spacing w:before="0" w:after="0" w:line="360" w:lineRule="atLeast"/>
      </w:pPr>
      <w:r>
        <w:rPr>
          <w:rFonts w:hint="eastAsia"/>
        </w:rPr>
        <w:t xml:space="preserve">正确性采用冻结测试集和统一评价器，报告Precision、Recall、mAP50、mAP50-95及类别级AP50/Recall。性能指标沿用式（3）的source-to-pre-sink边界；第</w:t>
      </w:r>
      <ns2:oMath>
        <ns2:r>
          <ns2:t>i</ns2:t>
        </ns2:r>
      </ns2:oMath>
      <w:r>
        <w:rPr>
          <w:rFonts w:hint="eastAsia"/>
        </w:rPr>
        <w:t xml:space="preserve">个独立进程的FPS按</w:t>
      </w:r>
      <ns2:oMath>
        <ns2:sSub>
          <ns2:e>
            <ns2:r>
              <ns2:t>f</ns2:t>
            </ns2:r>
          </ns2:e>
          <ns2:sub>
            <ns2:r>
              <ns2:t>i</ns2:t>
            </ns2:r>
          </ns2:sub>
        </ns2:sSub>
        <ns2:r>
          <ns2:rPr>
            <ns2:sty ns2:val="p"/>
          </ns2:rPr>
          <ns2:t>=</ns2:t>
        </ns2:r>
        <ns2:r>
          <ns2:t>N</ns2:t>
        </ns2:r>
        <ns2:r>
          <ns2:rPr>
            <ns2:sty ns2:val="p"/>
          </ns2:rPr>
          <ns2:t>/</ns2:t>
        </ns2:r>
        <ns2:sSub>
          <ns2:e>
            <ns2:r>
              <ns2:t>T</ns2:t>
            </ns2:r>
          </ns2:e>
          <ns2:sub>
            <ns2:r>
              <ns2:t>i</ns2:t>
            </ns2:r>
          </ns2:sub>
        </ns2:sSub>
      </ns2:oMath>
      <w:r>
        <w:rPr>
          <w:rFonts w:hint="eastAsia"/>
        </w:rPr>
        <w:t xml:space="preserve">计算，其中</w:t>
      </w:r>
      <ns2:oMath>
        <ns2:r>
          <ns2:t>N</ns2:t>
        </ns2:r>
        <ns2:r>
          <ns2:rPr>
            <ns2:sty ns2:val="p"/>
          </ns2:rPr>
          <ns2:t>=</ns2:t>
        </ns2:r>
        <ns2:r>
          <ns2:t>1080</ns2:t>
        </ns2:r>
      </ns2:oMath>
      <w:r>
        <w:rPr>
          <w:rFonts w:hint="eastAsia"/>
        </w:rPr>
        <w:t xml:space="preserve">，</w:t>
      </w:r>
      <ns2:oMath>
        <ns2:sSub>
          <ns2:e>
            <ns2:r>
              <ns2:t>T</ns2:t>
            </ns2:r>
          </ns2:e>
          <ns2:sub>
            <ns2:r>
              <ns2:t>i</ns2:t>
            </ns2:r>
          </ns2:sub>
        </ns2:sSub>
      </ns2:oMath>
      <w:r>
        <w:rPr>
          <w:rFonts w:hint="eastAsia"/>
        </w:rPr>
        <w:t xml:space="preserve">为完整测量阶段wall</w:t>
      </w:r>
      <w:r>
        <w:t xml:space="preserve"> </w:t>
      </w:r>
      <w:r>
        <w:rPr>
          <w:rFonts w:hint="eastAsia"/>
        </w:rPr>
        <w:t xml:space="preserve">time，故FPS不是逐帧延迟的倒数。每条路径报⁠告5个进程级FPS的均值与样本标准差，并合并5400个逐帧样本计算平均延迟、P95和P99；百分位采用Type-7线性插值。所有统计均为描述性结果，不进行置信区间、假设检验或统计显著性推断。</w:t>
      </w:r>
    </w:p>
    <w:p>
      <w:pPr>
        <w:pStyle w:val="HFUTHeading1"/>
      </w:pPr>
      <w:r>
        <w:t xml:space="preserve">4 </w:t>
      </w:r>
      <w:r>
        <w:rPr>
          <w:rFonts w:hint="eastAsia"/>
        </w:rPr>
        <w:t xml:space="preserve">结果与分析</w:t>
      </w:r>
    </w:p>
    <w:p>
      <w:pPr>
        <w:pStyle w:val="HFUTHeading2"/>
      </w:pPr>
      <w:r>
        <w:t xml:space="preserve">4.1 </w:t>
      </w:r>
      <w:r>
        <w:rPr>
          <w:rFonts w:hint="eastAsia"/>
        </w:rPr>
        <w:t xml:space="preserve">正确性约束验证</w:t>
      </w:r>
    </w:p>
    <w:p>
      <w:pPr>
        <w:pStyle w:val="HFUTBody"/>
      </w:pPr>
      <w:r>
        <w:rPr>
          <w:rFonts w:hint="eastAsia"/>
        </w:rPr>
        <w:t xml:space="preserve">性能响应只有在任务行为保持时才具有路径比较意义。三条路径在冻结180幅测试图像和统一评价程序下获得相同的汇总任务指标，类别级最大AP50与Recall路径间差异均为0，结果见表3。V2R通过预定义任务级核验，V3R由同一评价器对冻结预测结果确定性重算；因此后续比较处于同一冻结任务行为约束内，但不扩展为逐位相等或未来输入上的普适结论。</w:t>
      </w:r>
    </w:p>
    <w:p>
      <w:pPr>
        <w:pStyle w:val="HFUTTableCaption"/>
        <w:keepNext/>
        <w:jc w:val="center"/>
      </w:pPr>
      <w:r>
        <w:rPr>
          <w:rFonts w:hint="eastAsia"/>
          <w:b/>
          <w:bCs/>
        </w:rPr>
        <w:t xml:space="preserve">表3</w:t>
      </w:r>
      <w:r>
        <w:rPr>
          <w:b/>
          <w:bCs/>
        </w:rPr>
        <w:t xml:space="preserve">　</w:t>
      </w:r>
      <w:r>
        <w:rPr>
          <w:rFonts w:hint="eastAsia"/>
          <w:b/>
          <w:bCs/>
        </w:rPr>
        <w:t xml:space="preserve">三条路径在冻结工作负载和统一评价程序下的任务级正确性。</w:t>
      </w:r>
    </w:p>
    <w:tbl>
      <w:tblPr>
        <w:tblStyle w:val="HFUTThreeLineTable"/>
        <w:tblW w:type="dxa" w:w="4400"/>
        <w:tblBorders>
          <w:top w:val="single" w:sz="8" w:space="0" w:color="000000"/>
          <w:left w:val="nil"/>
          <w:bottom w:val="single" w:sz="8" w:space="0" w:color="000000"/>
          <w:right w:val="nil"/>
          <w:insideH w:val="nil"/>
          <w:insideV w:val="nil"/>
        </w:tblBorders>
        <w:tblLook w:firstRow="1" w:lastRow="0" w:firstColumn="0" w:lastColumn="0" w:noHBand="0" w:noVBand="0" w:val="0020"/>
      </w:tblPr>
      <w:tblGrid>
        <w:gridCol w:w="1000"/>
        <w:gridCol w:w="3400"/>
      </w:tblGrid>
      <w:tr>
        <w:trPr>
          <w:tblHeader w:val="on"/>
          <w:cantSplit/>
        </w:trPr>
        <w:tc>
          <w:tcPr>
            <w:tcW w:w="10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Path</w:t>
            </w:r>
          </w:p>
        </w:tc>
        <w:tc>
          <w:tcPr>
            <w:tcW w:w="34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Precision / Recall / mAP50 / mAP50-95</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V0</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V2R</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single" w:sz="8" w:space="0" w:color="000000"/>
              <w:right w:val="nil"/>
            </w:tcBorders>
            <w:tcMar>
              <w:top w:w="0" w:type="dxa"/>
              <w:left w:w="108" w:type="dxa"/>
              <w:bottom w:w="0" w:type="dxa"/>
              <w:right w:w="108" w:type="dxa"/>
            </w:tcMar>
          </w:tcPr>
          <w:p>
            <w:pPr>
              <w:pStyle w:val="HFUTTableContent"/>
              <w:jc w:val="left"/>
            </w:pPr>
            <w:r>
              <w:t xml:space="preserve">V3R</w:t>
            </w:r>
          </w:p>
        </w:tc>
        <w:tc>
          <w:tcPr>
            <w:tcW w:w="3400" w:type="dxa"/>
            <w:tcBorders>
              <w:top w:val="nil"/>
              <w:left w:val="nil"/>
              <w:bottom w:val="single" w:sz="8" w:space="0" w:color="000000"/>
              <w:right w:val="nil"/>
            </w:tcBorders>
            <w:tcMar>
              <w:top w:w="0" w:type="dxa"/>
              <w:left w:w="108" w:type="dxa"/>
              <w:bottom w:w="0" w:type="dxa"/>
              <w:right w:w="108" w:type="dxa"/>
            </w:tcMar>
          </w:tcPr>
          <w:p>
            <w:pPr>
              <w:pStyle w:val="HFUTTableContent"/>
              <w:jc w:val="center"/>
            </w:pPr>
            <w:r>
              <w:t xml:space="preserve">0.6913 / 0.6991 / 0.6476 / 0.3523</w:t>
            </w:r>
          </w:p>
        </w:tc>
      </w:tr>
    </w:tbl>
    <w:p>
      <w:pPr>
        <w:pStyle w:val="HFUTHeading2"/>
      </w:pPr>
      <w:r>
        <w:t xml:space="preserve">4.2 </w:t>
      </w:r>
      <w:r>
        <w:rPr>
          <w:rFonts w:hint="eastAsia"/>
        </w:rPr>
        <w:t xml:space="preserve">路径级重构的E2E响应</w:t>
      </w:r>
    </w:p>
    <w:p>
      <w:pPr>
        <w:pStyle w:val="HFUTBody"/>
        <w:spacing w:before="0" w:after="0" w:line="360" w:lineRule="atLeast"/>
      </w:pPr>
      <w:r>
        <w:rPr>
          <w:rFonts w:hint="eastAsia"/>
        </w:rPr>
        <w:t xml:space="preserve">V0和V2R的平均FPS分别为54.600和122.122，合并样本平均E2E延迟分别为18.273</w:t>
      </w:r>
      <w:r>
        <w:t xml:space="preserve"> </w:t>
      </w:r>
      <w:r>
        <w:rPr>
          <w:rFonts w:hint="eastAsia"/>
        </w:rPr>
        <w:t xml:space="preserve">ms和8.140</w:t>
      </w:r>
      <w:r>
        <w:t xml:space="preserve"> </w:t>
      </w:r>
      <w:r>
        <w:rPr>
          <w:rFonts w:hint="eastAsia"/>
        </w:rPr>
        <w:t xml:space="preserve">ms。由此，</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达到2.236671×原始FPS比，按论文精度为2.24×；平均延迟降低55.4519%，按论文精度为55.45%。整体结果见图2。</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2"/>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5575190"/>
                  <ns3:effectExtent b="0" l="0" r="0" t="0"/>
                  <ns3:docPr descr="" title="" id="17" name="Picture"/>
                  <ns4:graphic>
                    <ns4:graphicData uri="http://schemas.openxmlformats.org/drawingml/2006/picture">
                      <ns5:pic>
                        <ns5:nvPicPr>
                          <ns5:cNvPr descr="fig3_main_e2e_phase56.png" id="18" name="Picture"/>
                          <ns5:cNvPicPr>
                            <ns4:picLocks noChangeArrowheads="1" noChangeAspect="1"/>
                          </ns5:cNvPicPr>
                        </ns5:nvPicPr>
                        <ns5:blipFill>
                          <ns4:blip ns1:embed="rId16"/>
                          <ns4:stretch>
                            <ns4:fillRect/>
                          </ns4:stretch>
                        </ns5:blipFill>
                        <ns5:spPr bwMode="auto">
                          <ns4:xfrm>
                            <ns4:off x="0" y="0"/>
                            <ns4:ext cx="2699999" cy="5575190"/>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图2</w:t>
            </w:r>
            <w:r>
              <w:rPr>
                <w:b/>
                <w:bCs/>
              </w:rPr>
              <w:t xml:space="preserve">　</w:t>
            </w:r>
            <w:r>
              <w:rPr>
                <w:rFonts w:hint="eastAsia"/>
                <w:b/>
                <w:bCs/>
              </w:rPr>
              <w:t xml:space="preserve">三条路径的端到端性能。(a)</w:t>
            </w:r>
            <w:r>
              <w:rPr>
                <w:b/>
                <w:bCs/>
              </w:rPr>
              <w:t xml:space="preserve"> </w:t>
            </w:r>
            <w:r>
              <w:rPr>
                <w:rFonts w:hint="eastAsia"/>
                <w:b/>
                <w:bCs/>
              </w:rPr>
              <w:t xml:space="preserve">为5个独立进程FPS的均值±样本标准差；(b)(c)</w:t>
            </w:r>
            <w:r>
              <w:rPr>
                <w:b/>
                <w:bCs/>
              </w:rPr>
              <w:t xml:space="preserve"> </w:t>
            </w:r>
            <w:r>
              <w:rPr>
                <w:rFonts w:hint="eastAsia"/>
                <w:b/>
                <w:bCs/>
              </w:rPr>
              <w:t xml:space="preserve">为每条路径合并5400个延迟样本的均值、P95和P99。</w:t>
            </w:r>
          </w:p>
        </w:tc>
      </w:tr>
    </w:tbl>
    <w:p>
      <w:pPr>
        <w:pStyle w:val="HFUTBody"/>
        <w:spacing w:before="0" w:after="0" w:line="360" w:lineRule="atLeast"/>
      </w:pPr>
      <w:r>
        <w:rPr>
          <w:rFonts w:hint="eastAsia"/>
        </w:rPr>
        <w:t xml:space="preserve">从结构上看，这项观测是耦合路径级干预的完整E2E响应：跨边界表示由FP32</w:t>
      </w:r>
      <w:r>
        <w:t xml:space="preserve"> </w:t>
      </w:r>
      <w:r>
        <w:rPr>
          <w:rFonts w:hint="eastAsia"/>
        </w:rPr>
        <w:t xml:space="preserve">NCHW张量变为packed</w:t>
      </w:r>
      <w:r>
        <w:t xml:space="preserve"> BGR </w:t>
      </w:r>
      <w:r>
        <w:rPr>
          <w:rFonts w:hint="eastAsia"/>
        </w:rPr>
        <w:t xml:space="preserve">uint8，输入张量形成位置由主机移至设备，并引入相应的pageable原始图像暂存组织，即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保持不变。它回答的是重构后完整路径如何响应，而不是各变化项分别贡献多少。</w:t>
      </w:r>
    </w:p>
    <w:p>
      <w:pPr>
        <w:pStyle w:val="HFUTBody"/>
        <w:spacing w:before="0" w:after="0" w:line="360" w:lineRule="atLeast"/>
      </w:pPr>
      <w:r>
        <w:rPr>
          <w:rFonts w:hint="eastAsia"/>
        </w:rPr>
        <w:t xml:space="preserve">式（2）给出的名义输入复制载荷由4.9152</w:t>
      </w:r>
      <w:r>
        <w:t xml:space="preserve"> </w:t>
      </w:r>
      <w:r>
        <w:rPr>
          <w:rFonts w:hint="eastAsia"/>
        </w:rPr>
        <w:t xml:space="preserve">MB/frame降至0.1200</w:t>
      </w:r>
      <w:r>
        <w:t xml:space="preserve"> </w:t>
      </w:r>
      <w:r>
        <w:rPr>
          <w:rFonts w:hint="eastAsia"/>
        </w:rPr>
        <w:t xml:space="preserve">MB/frame，形成40.96×结构对比；该量只是重构路径的一项表示派生属性，不是实测带宽、流量、H2D时间或独立控制变量。由于未进行阶段插桩或总线/DRAM流量测量，2.24×</w:t>
      </w:r>
      <w:r>
        <w:t xml:space="preserve"> </w:t>
      </w:r>
      <w:r>
        <w:rPr>
          <w:rFonts w:hint="eastAsia"/>
        </w:rPr>
        <w:t xml:space="preserve">E2E响应只能归属于完整</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路径，不能分解为GPU预处理、H2D、CUDA核函数或表示变化的贡献，也不能解释为40.96×传输加速。</w:t>
      </w:r>
    </w:p>
    <w:p>
      <w:pPr>
        <w:pStyle w:val="HFUTHeading2"/>
      </w:pPr>
      <w:r>
        <w:t xml:space="preserve">4.3 </w:t>
      </w:r>
      <w:r>
        <w:rPr>
          <w:rFonts w:hint="eastAsia"/>
        </w:rPr>
        <w:t xml:space="preserve">暂存策略的增量响应</w:t>
      </w:r>
    </w:p>
    <w:p>
      <w:pPr>
        <w:pStyle w:val="HFUTBody"/>
      </w:pPr>
      <w:r>
        <w:rPr>
          <w:rFonts w:hint="eastAsia"/>
        </w:rPr>
        <w:t xml:space="preserve">V3R平均FPS为127.097，平均E2E延迟为7.812</w:t>
      </w:r>
      <w:r>
        <w:t xml:space="preserve"> </w:t>
      </w:r>
      <w:r>
        <w:rPr>
          <w:rFonts w:hint="eastAsia"/>
        </w:rPr>
        <w:t xml:space="preserve">ms；相对V2R，FPS提高4.0738%（论文值+4.07%），平均延迟降低4.0349%（论文值−4.03%）。</w:t>
      </w:r>
    </w:p>
    <w:p>
      <w:pPr>
        <w:pStyle w:val="HFUTBody"/>
        <w:spacing w:before="0" w:after="0" w:line="360" w:lineRule="atLeast"/>
      </w:pPr>
      <w:r>
        <w:rPr>
          <w:rFonts w:hint="eastAsia"/>
        </w:rPr>
        <w:t xml:space="preserve">这项观测对应</w:t>
      </w:r>
      <ns2:oMath>
        <ns2:r>
          <ns2:t>M</ns2:t>
        </ns2:r>
      </ns2:oMath>
      <w:r>
        <w:rPr>
          <w:rFonts w:hint="eastAsia"/>
        </w:rPr>
        <w:t xml:space="preserve">的单变量局部细化：</w:t>
      </w:r>
      <ns2:oMath>
        <ns2:r>
          <ns2:t>R</ns2:t>
        </ns2:r>
        <ns2:r>
          <ns2:rPr>
            <ns2:sty ns2:val="p"/>
          </ns2:rPr>
          <ns2:t>,</ns2:t>
        </ns2:r>
        <ns2:r>
          <ns2:t>F</ns2:t>
        </ns2:r>
        <ns2:r>
          <ns2:rPr>
            <ns2:sty ns2:val="p"/>
          </ns2:rPr>
          <ns2:t>,</ns2:t>
        </ns2:r>
        <ns2:r>
          <ns2:t>E</ns2:t>
        </ns2:r>
      </ns2:oMath>
      <w:r>
        <w:rPr>
          <w:rFonts w:hint="eastAsia"/>
        </w:rPr>
        <w:t xml:space="preserve">、GPU预处理语义、Engine、stream和下游结构均保持不变，只把额外打包原始图像的主机暂存由pageable改为pinned。在受测系统中，其平均响应幅度明显小于此前同时改变</w:t>
      </w:r>
      <ns2:oMath>
        <ns2:r>
          <ns2:t>R</ns2:t>
        </ns2:r>
        <ns2:r>
          <ns2:rPr>
            <ns2:sty ns2:val="p"/>
          </ns2:rPr>
          <ns2:t>,</ns2:t>
        </ns2:r>
        <ns2:r>
          <ns2:t>F</ns2:t>
        </ns2:r>
        <ns2:r>
          <ns2:rPr>
            <ns2:sty ns2:val="p"/>
          </ns2:rPr>
          <ns2:t>,</ns2:t>
        </ns2:r>
        <ns2:r>
          <ns2:t>M</ns2:t>
        </ns2:r>
      </ns2:oMath>
      <w:r>
        <w:rPr>
          <w:rFonts w:hint="eastAsia"/>
        </w:rPr>
        <w:t xml:space="preserve">的耦合路径级干预。</w:t>
      </w:r>
    </w:p>
    <w:p>
      <w:pPr>
        <w:pStyle w:val="HFUTBody"/>
      </w:pPr>
      <w:r>
        <w:rPr>
          <w:rFonts w:hint="eastAsia"/>
        </w:rPr>
        <w:t xml:space="preserve">上述幅度差异仅描述本文受控系统内两种干预范围的响应，不表示组件重要性，也不推出约4%的改善是pinned内存在其他平台、模型或负载下的普遍收益。</w:t>
      </w:r>
    </w:p>
    <w:p>
      <w:pPr>
        <w:pStyle w:val="HFUTHeading2"/>
      </w:pPr>
      <w:r>
        <w:t xml:space="preserve">4.4 </w:t>
      </w:r>
      <w:r>
        <w:rPr>
          <w:rFonts w:hint="eastAsia"/>
        </w:rPr>
        <w:t xml:space="preserve">平均性能与尾延迟响应</w:t>
      </w:r>
    </w:p>
    <w:p>
      <w:pPr>
        <w:pStyle w:val="HFUTBody"/>
      </w:pPr>
      <w:r>
        <w:rPr>
          <w:rFonts w:hint="eastAsia"/>
        </w:rPr>
        <w:t xml:space="preserve">5个独立进程中，V2R与V3R的进程级FPS范围分别为121.443–122.759和125.595–128.301，进程平均延迟范围分别为8.098–8.185</w:t>
      </w:r>
      <w:r>
        <w:t xml:space="preserve"> </w:t>
      </w:r>
      <w:r>
        <w:rPr>
          <w:rFonts w:hint="eastAsia"/>
        </w:rPr>
        <w:t xml:space="preserve">ms和7.740–7.894</w:t>
      </w:r>
      <w:r>
        <w:t xml:space="preserve"> </w:t>
      </w:r>
      <w:r>
        <w:rPr>
          <w:rFonts w:hint="eastAsia"/>
        </w:rPr>
        <w:t xml:space="preserve">ms，分布见图3。V3R相对V2R的合并样本P95变化为+0.1514%（论文值+0.15%），P99变化为−0.1184%（论文值−0.12%）。</w:t>
      </w:r>
    </w:p>
    <w:p>
      <w:pPr>
        <w:pStyle w:val="HFUTBody"/>
      </w:pPr>
      <w:r>
        <w:rPr>
          <w:rFonts w:hint="eastAsia"/>
        </w:rPr>
        <w:t xml:space="preserve">进程级均值范围均不重叠，说明平均响应在5个独立进程中重复观察到，而非仅由单一异常进程形成；与此同时，P95与P99变化方向相反，未形成一致的尾延迟改善证据。两类观测共同表明，平均响应和尾延迟是不同评价维度，局部策略在本实验中改善均值并不意味着尾部指标同步改善。</w:t>
      </w:r>
    </w:p>
    <w:p>
      <w:pPr>
        <w:pStyle w:val="HFUTBody"/>
      </w:pPr>
      <w:r>
        <w:rPr>
          <w:rFonts w:hint="eastAsia"/>
        </w:rPr>
        <w:t xml:space="preserve">不同路径的进程独立且不配对，本文不据此进行显著性推断；现有数据也不支持“pinned改善稳定性”的结论。</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3"/>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4380468"/>
                  <ns3:effectExtent b="0" l="0" r="0" t="0"/>
                  <ns3:docPr descr="" title="" id="20" name="Picture"/>
                  <ns4:graphic>
                    <ns4:graphicData uri="http://schemas.openxmlformats.org/drawingml/2006/picture">
                      <ns5:pic>
                        <ns5:nvPicPr>
                          <ns5:cNvPr descr="fig4_run_level_distribution_phase56.png" id="21" name="Picture"/>
                          <ns5:cNvPicPr>
                            <ns4:picLocks noChangeArrowheads="1" noChangeAspect="1"/>
                          </ns5:cNvPicPr>
                        </ns5:nvPicPr>
                        <ns5:blipFill>
                          <ns4:blip ns1:embed="rId19"/>
                          <ns4:stretch>
                            <ns4:fillRect/>
                          </ns4:stretch>
                        </ns5:blipFill>
                        <ns5:spPr bwMode="auto">
                          <ns4:xfrm>
                            <ns4:off x="0" y="0"/>
                            <ns4:ext cx="2699999" cy="4380468"/>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图3</w:t>
            </w:r>
            <w:r>
              <w:rPr>
                <w:b/>
                <w:bCs/>
              </w:rPr>
              <w:t xml:space="preserve">　</w:t>
            </w:r>
            <w:r>
              <w:rPr>
                <w:rFonts w:hint="eastAsia"/>
                <w:b/>
                <w:bCs/>
              </w:rPr>
              <w:t xml:space="preserve">运行级分布与尾延迟。各点为独立进程级描述量，横向偏移仅用于区分，不表示运行配对。</w:t>
            </w:r>
          </w:p>
        </w:tc>
      </w:tr>
    </w:tbl>
    <w:p>
      <w:pPr>
        <w:pStyle w:val="HFUTHeading2"/>
      </w:pPr>
      <w:r>
        <w:t xml:space="preserve">4.5 </w:t>
      </w:r>
      <w:r>
        <w:rPr>
          <w:rFonts w:hint="eastAsia"/>
        </w:rPr>
        <w:t xml:space="preserve">解释边界与局限性</w:t>
      </w:r>
    </w:p>
    <w:p>
      <w:pPr>
        <w:pStyle w:val="HFUTBody"/>
      </w:pPr>
      <w:r>
        <w:rPr>
          <w:rFonts w:hint="eastAsia"/>
        </w:rPr>
        <w:t xml:space="preserve">在本文这类固定推理对象的数据路径评价中，受控结果支持一项有边界的工程原则：应先把耦合的路径级结构决策与局部暂存策略细化分开；只有在其余结构变量受控后，局部策略响应才具有清晰解释；完整E2E平均响应与尾部响应还应分别评价，不能相互替代。该原则用于组织本文同类受控评价，不构成普遍优化定律。</w:t>
      </w:r>
    </w:p>
    <w:p>
      <w:pPr>
        <w:pStyle w:val="HFUTBody"/>
      </w:pPr>
      <w:r>
        <w:rPr>
          <w:rFonts w:hint="eastAsia"/>
        </w:rPr>
        <w:t xml:space="preserve">本文只评价单一Jetson平台、YOLOv8n</w:t>
      </w:r>
      <w:r>
        <w:t xml:space="preserve"> TensorRT </w:t>
      </w:r>
      <w:r>
        <w:rPr>
          <w:rFonts w:hint="eastAsia"/>
        </w:rPr>
        <w:t xml:space="preserve">INT8混合精度Engine、NEU-DET固定180幅离线回放工作负载和单帧顺序拓扑，未覆盖真实相机、跨平台、跨模型或跨数据集泛化。运行状态只有非连续温度观察，没有连续遥测、功耗或能耗测量，也没有独立归档的频率证据。实验未测量阶段级H2D、预处理或CUDA核函数时间，也未测量实际总线或DRAM流量，因而不能进行组件级因果分配。每条路径5个独立进程仅支持描述性解释，不支持统计显著性推断。上述限制将结论约束为受测系统中的路径结构—E2E响应关系。</w:t>
      </w:r>
    </w:p>
    <w:p>
      <w:pPr>
        <w:pStyle w:val="HFUTHeading1"/>
      </w:pPr>
      <w:r>
        <w:t xml:space="preserve">5 </w:t>
      </w:r>
      <w:r>
        <w:rPr>
          <w:rFonts w:hint="eastAsia"/>
        </w:rPr>
        <w:t xml:space="preserve">结论</w:t>
      </w:r>
    </w:p>
    <w:p>
      <w:pPr>
        <w:pStyle w:val="HFUTBody"/>
        <w:spacing w:before="0" w:after="0" w:line="360" w:lineRule="atLeast"/>
      </w:pPr>
      <w:r>
        <w:rPr>
          <w:rFonts w:hint="eastAsia"/>
        </w:rPr>
        <w:t xml:space="preserve">固定推理对象并不能唯一确定其输入数据路径。本文以</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描述跨边界表示、输入张量形成位置、额外打包原始图像暂存策略和执行拓扑，从而把同时改变</w:t>
      </w:r>
      <ns2:oMath>
        <ns2:r>
          <ns2:t>R</ns2:t>
        </ns2:r>
        <ns2:r>
          <ns2:rPr>
            <ns2:sty ns2:val="p"/>
          </ns2:rPr>
          <ns2:t>,</ns2:t>
        </ns2:r>
        <ns2:r>
          <ns2:t>F</ns2:t>
        </ns2:r>
        <ns2:r>
          <ns2:rPr>
            <ns2:sty ns2:val="p"/>
          </ns2:rPr>
          <ns2:t>,</ns2:t>
        </ns2:r>
        <ns2:r>
          <ns2:t>M</ns2:t>
        </ns2:r>
      </ns2:oMath>
      <w:r>
        <w:rPr>
          <w:rFonts w:hint="eastAsia"/>
        </w:rPr>
        <w:t xml:space="preserve">且保持</w:t>
      </w:r>
      <ns2:oMath>
        <ns2:r>
          <ns2:t>E</ns2:t>
        </ns2:r>
      </ns2:oMath>
      <w:r>
        <w:rPr>
          <w:rFonts w:hint="eastAsia"/>
        </w:rPr>
        <w:t xml:space="preserve">不变的耦合路径级干预，与仅改变</w:t>
      </w:r>
      <ns2:oMath>
        <ns2:r>
          <ns2:t>M</ns2:t>
        </ns2:r>
      </ns2:oMath>
      <w:r>
        <w:rPr>
          <w:rFonts w:hint="eastAsia"/>
        </w:rPr>
        <w:t xml:space="preserve">的单变量暂存策略细化区分为两类评价对象。在这一结构下，平均响应和尾部响应必须分别解释：局部策略产生平均改善，并不等同于P95与P99同步改善。</w:t>
      </w:r>
    </w:p>
    <w:p>
      <w:pPr>
        <w:pStyle w:val="HFUTBody"/>
        <w:spacing w:before="0" w:after="0" w:line="360" w:lineRule="atLeast"/>
      </w:pPr>
      <w:r>
        <w:rPr>
          <w:rFonts w:hint="eastAsia"/>
        </w:rPr>
        <w:t xml:space="preserve">在冻结180幅测试图像且三条路径任务级评价一致的条件下，</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使FPS达到2.24×、平均E2E延迟降低55.45%；</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使FPS提高4.07%、平均延迟降低4.03%，而P95增加0.15%、P99降低0.12%，未形成一致的尾延迟改善证据。由此得到的受限工程认识是：固定推理对象的数据路径评价应先分离路径级结构决策与局部暂存策略，并在其他结构变量受控后评价局部策略，同时保留均值与尾部两个响应维度。</w:t>
      </w:r>
    </w:p>
    <w:p>
      <w:pPr>
        <w:pStyle w:val="HFUTBody"/>
      </w:pPr>
      <w:r>
        <w:rPr>
          <w:rFonts w:hint="eastAsia"/>
        </w:rPr>
        <w:t xml:space="preserve">上述数值和认识仅适用于本文单一Jetson平台、检测器/Engine、数据集、离线回放与单帧顺序配置。完整E2E响应不能由单个API或名义载荷直接解释，本文也不作阶段级因果、统计显著性或跨平台、跨模型普适推断。</w:t>
      </w:r>
    </w:p>
    <w:p>
      <w:pPr>
        <w:pStyle w:val="HFUTReferenceHeading"/>
      </w:pPr>
      <w:r>
        <w:rPr>
          <w:rFonts w:hint="eastAsia"/>
        </w:rPr>
        <w:t xml:space="preserve">参考文献</w:t>
      </w:r>
    </w:p>
    <w:bookmarkStart w:id="64" w:name="refs"/>
    <w:bookmarkStart w:id="23" w:name="ref-lv_et_al_2020_metallic_defects"/>
    <w:p>
      <w:pPr>
        <w:pStyle w:val="Bibliography"/>
      </w:pPr>
      <w:r>
        <w:t xml:space="preserve">[1]</w:t>
      </w:r>
      <w:r>
        <w:t xml:space="preserve"> </w:t>
      </w:r>
      <w:r>
        <w:t xml:space="preserve">	</w:t>
      </w:r>
      <w:r>
        <w:t xml:space="preserve">Lv </w:t>
      </w:r>
      <w:r>
        <w:rPr>
          <w:rFonts w:hint="eastAsia"/>
        </w:rPr>
        <w:t xml:space="preserve">X，Duan</w:t>
      </w:r>
      <w:r>
        <w:t xml:space="preserve"> </w:t>
      </w:r>
      <w:r>
        <w:rPr>
          <w:rFonts w:hint="eastAsia"/>
        </w:rPr>
        <w:t xml:space="preserve">F，Jiang</w:t>
      </w:r>
      <w:r>
        <w:t xml:space="preserve"> </w:t>
      </w:r>
      <w:r>
        <w:rPr>
          <w:rFonts w:hint="eastAsia"/>
        </w:rPr>
        <w:t xml:space="preserve">J，et</w:t>
      </w:r>
      <w:r>
        <w:t xml:space="preserve"> al.</w:t>
      </w:r>
      <w:r>
        <w:t xml:space="preserve"> </w:t>
      </w:r>
      <w:hyperlink ns1:id="rId22">
        <w:r>
          <w:rPr>
            <w:rStyle w:val="Hyperlink"/>
          </w:rPr>
          <w:t xml:space="preserve">Deep metallic surface defect detection: The new benchmark and detection network</w:t>
        </w:r>
      </w:hyperlink>
      <w:r>
        <w:t xml:space="preserve">[J]. </w:t>
      </w:r>
      <w:r>
        <w:rPr>
          <w:rFonts w:hint="eastAsia"/>
        </w:rPr>
        <w:t xml:space="preserve">Sensors，2020，20（6）：1562.</w:t>
      </w:r>
    </w:p>
    <w:bookmarkEnd w:id="23"/>
    <w:bookmarkStart w:id="25" w:name="ref-song_yan_2013_neu_surface_defects"/>
    <w:p>
      <w:pPr>
        <w:pStyle w:val="Bibliography"/>
      </w:pPr>
      <w:r>
        <w:t xml:space="preserve">[2]</w:t>
      </w:r>
      <w:r>
        <w:t xml:space="preserve"> </w:t>
      </w:r>
      <w:r>
        <w:t xml:space="preserve">	</w:t>
      </w:r>
      <w:r>
        <w:t xml:space="preserve">Song </w:t>
      </w:r>
      <w:r>
        <w:rPr>
          <w:rFonts w:hint="eastAsia"/>
        </w:rPr>
        <w:t xml:space="preserve">K，Yan</w:t>
      </w:r>
      <w:r>
        <w:t xml:space="preserve"> Y.</w:t>
      </w:r>
      <w:r>
        <w:t xml:space="preserve"> </w:t>
      </w:r>
      <w:hyperlink ns1:id="rId24">
        <w:r>
          <w:rPr>
            <w:rStyle w:val="Hyperlink"/>
          </w:rPr>
          <w:t xml:space="preserve">A noise robust method based on completed local binary patterns for hot-rolled steel strip surface defects</w:t>
        </w:r>
      </w:hyperlink>
      <w:r>
        <w:t xml:space="preserve">[J]. Applied Surface </w:t>
      </w:r>
      <w:r>
        <w:rPr>
          <w:rFonts w:hint="eastAsia"/>
        </w:rPr>
        <w:t xml:space="preserve">Science，2013，285：858-864.</w:t>
      </w:r>
    </w:p>
    <w:bookmarkEnd w:id="25"/>
    <w:bookmarkStart w:id="27" w:name="ref-shao_et_al_2024_td_net"/>
    <w:p>
      <w:pPr>
        <w:pStyle w:val="Bibliography"/>
      </w:pPr>
      <w:r>
        <w:t xml:space="preserve">[3]</w:t>
      </w:r>
      <w:r>
        <w:t xml:space="preserve"> </w:t>
      </w:r>
      <w:r>
        <w:t xml:space="preserve">	</w:t>
      </w:r>
      <w:r>
        <w:t xml:space="preserve">Shao </w:t>
      </w:r>
      <w:r>
        <w:rPr>
          <w:rFonts w:hint="eastAsia"/>
        </w:rPr>
        <w:t xml:space="preserve">R，Zhou</w:t>
      </w:r>
      <w:r>
        <w:t xml:space="preserve"> </w:t>
      </w:r>
      <w:r>
        <w:rPr>
          <w:rFonts w:hint="eastAsia"/>
        </w:rPr>
        <w:t xml:space="preserve">M，Li</w:t>
      </w:r>
      <w:r>
        <w:t xml:space="preserve"> </w:t>
      </w:r>
      <w:r>
        <w:rPr>
          <w:rFonts w:hint="eastAsia"/>
        </w:rPr>
        <w:t xml:space="preserve">M，et</w:t>
      </w:r>
      <w:r>
        <w:t xml:space="preserve"> al.</w:t>
      </w:r>
      <w:r>
        <w:t xml:space="preserve"> </w:t>
      </w:r>
      <w:hyperlink ns1:id="rId26">
        <w:r>
          <w:rPr>
            <w:rStyle w:val="Hyperlink"/>
          </w:rPr>
          <w:t xml:space="preserve">TD-net: Tiny defect detection network for industrial products</w:t>
        </w:r>
      </w:hyperlink>
      <w:r>
        <w:t xml:space="preserve">[J]. Complex &amp; Intelligent </w:t>
      </w:r>
      <w:r>
        <w:rPr>
          <w:rFonts w:hint="eastAsia"/>
        </w:rPr>
        <w:t xml:space="preserve">Systems，2024，10：3943-3954.</w:t>
      </w:r>
    </w:p>
    <w:bookmarkEnd w:id="27"/>
    <w:bookmarkStart w:id="29" w:name="ref-chu_yu_rong_2024_strip_steel_yolov8"/>
    <w:p>
      <w:pPr>
        <w:pStyle w:val="Bibliography"/>
      </w:pPr>
      <w:r>
        <w:t xml:space="preserve">[4]</w:t>
      </w:r>
      <w:r>
        <w:t xml:space="preserve"> </w:t>
      </w:r>
      <w:r>
        <w:t xml:space="preserve">	</w:t>
      </w:r>
      <w:r>
        <w:t xml:space="preserve">Chu </w:t>
      </w:r>
      <w:r>
        <w:rPr>
          <w:rFonts w:hint="eastAsia"/>
        </w:rPr>
        <w:t xml:space="preserve">Y，Yu</w:t>
      </w:r>
      <w:r>
        <w:t xml:space="preserve"> </w:t>
      </w:r>
      <w:r>
        <w:rPr>
          <w:rFonts w:hint="eastAsia"/>
        </w:rPr>
        <w:t xml:space="preserve">X，Rong</w:t>
      </w:r>
      <w:r>
        <w:t xml:space="preserve"> X.</w:t>
      </w:r>
      <w:r>
        <w:t xml:space="preserve"> </w:t>
      </w:r>
      <w:hyperlink ns1:id="rId28">
        <w:r>
          <w:rPr>
            <w:rStyle w:val="Hyperlink"/>
          </w:rPr>
          <w:t xml:space="preserve">A lightweight strip steel surface defect detection network based on improved YOLOv8</w:t>
        </w:r>
      </w:hyperlink>
      <w:r>
        <w:t xml:space="preserve">[J]. </w:t>
      </w:r>
      <w:r>
        <w:rPr>
          <w:rFonts w:hint="eastAsia"/>
        </w:rPr>
        <w:t xml:space="preserve">Sensors，2024，24（19）：6495.</w:t>
      </w:r>
    </w:p>
    <w:bookmarkEnd w:id="29"/>
    <w:bookmarkStart w:id="31" w:name="ref-zhang_pang_jiang_2024_gdm_yolo"/>
    <w:p>
      <w:pPr>
        <w:pStyle w:val="Bibliography"/>
      </w:pPr>
      <w:r>
        <w:t xml:space="preserve">[5]</w:t>
      </w:r>
      <w:r>
        <w:t xml:space="preserve"> </w:t>
      </w:r>
      <w:r>
        <w:t xml:space="preserve">	</w:t>
      </w:r>
      <w:r>
        <w:t xml:space="preserve">Zhang </w:t>
      </w:r>
      <w:r>
        <w:rPr>
          <w:rFonts w:hint="eastAsia"/>
        </w:rPr>
        <w:t xml:space="preserve">T，Pang</w:t>
      </w:r>
      <w:r>
        <w:t xml:space="preserve"> </w:t>
      </w:r>
      <w:r>
        <w:rPr>
          <w:rFonts w:hint="eastAsia"/>
        </w:rPr>
        <w:t xml:space="preserve">H，Jiang</w:t>
      </w:r>
      <w:r>
        <w:t xml:space="preserve"> C.</w:t>
      </w:r>
      <w:r>
        <w:t xml:space="preserve"> </w:t>
      </w:r>
      <w:hyperlink ns1:id="rId30">
        <w:r>
          <w:rPr>
            <w:rStyle w:val="Hyperlink"/>
          </w:rPr>
          <w:t xml:space="preserve">GDM-YOLO: A model for steel surface defect detection based on YOLOv8s</w:t>
        </w:r>
      </w:hyperlink>
      <w:r>
        <w:t xml:space="preserve">[J]. IEEE </w:t>
      </w:r>
      <w:r>
        <w:rPr>
          <w:rFonts w:hint="eastAsia"/>
        </w:rPr>
        <w:t xml:space="preserve">Access，2024，12：148817-148825.</w:t>
      </w:r>
    </w:p>
    <w:bookmarkEnd w:id="31"/>
    <w:bookmarkStart w:id="33" w:name="ref-ultralytics_2023_yolov8_docs"/>
    <w:p>
      <w:pPr>
        <w:pStyle w:val="Bibliography"/>
      </w:pPr>
      <w:r>
        <w:t xml:space="preserve">[6]</w:t>
      </w:r>
      <w:r>
        <w:t xml:space="preserve"> </w:t>
      </w:r>
      <w:r>
        <w:t xml:space="preserve">	</w:t>
      </w:r>
      <w:r>
        <w:t xml:space="preserve">Ultralytics. Explore ultralytics YOLOv8[EB/OL]. </w:t>
      </w:r>
      <w:r>
        <w:rPr>
          <w:rFonts w:hint="eastAsia"/>
        </w:rPr>
        <w:t xml:space="preserve">（2023）[2026-08-07].</w:t>
      </w:r>
      <w:r>
        <w:t xml:space="preserve"> </w:t>
      </w:r>
      <w:hyperlink ns1:id="rId32">
        <w:r>
          <w:rPr>
            <w:rStyle w:val="Hyperlink"/>
          </w:rPr>
          <w:t xml:space="preserve">https://docs.ultralytics.com/models/yolov8/</w:t>
        </w:r>
      </w:hyperlink>
      <w:r>
        <w:t xml:space="preserve">.</w:t>
      </w:r>
    </w:p>
    <w:bookmarkEnd w:id="33"/>
    <w:bookmarkStart w:id="35" w:name="ref-stacker_et_al_2021_edge_runtime"/>
    <w:p>
      <w:pPr>
        <w:pStyle w:val="Bibliography"/>
      </w:pPr>
      <w:r>
        <w:t xml:space="preserve">[7]</w:t>
      </w:r>
      <w:r>
        <w:t xml:space="preserve"> </w:t>
      </w:r>
      <w:r>
        <w:t xml:space="preserve">	</w:t>
      </w:r>
      <w:r>
        <w:t xml:space="preserve">Stäcker </w:t>
      </w:r>
      <w:r>
        <w:rPr>
          <w:rFonts w:hint="eastAsia"/>
        </w:rPr>
        <w:t xml:space="preserve">L，Fei</w:t>
      </w:r>
      <w:r>
        <w:t xml:space="preserve"> </w:t>
      </w:r>
      <w:r>
        <w:rPr>
          <w:rFonts w:hint="eastAsia"/>
        </w:rPr>
        <w:t xml:space="preserve">J，Heidenreich</w:t>
      </w:r>
      <w:r>
        <w:t xml:space="preserve"> </w:t>
      </w:r>
      <w:r>
        <w:rPr>
          <w:rFonts w:hint="eastAsia"/>
        </w:rPr>
        <w:t xml:space="preserve">P，et</w:t>
      </w:r>
      <w:r>
        <w:t xml:space="preserve"> al.</w:t>
      </w:r>
      <w:r>
        <w:t xml:space="preserve"> </w:t>
      </w:r>
      <w:hyperlink ns1:id="rId34">
        <w:r>
          <w:rPr>
            <w:rStyle w:val="Hyperlink"/>
          </w:rPr>
          <w:t xml:space="preserve">Deployment of deep neural networks for object detection on edge AI devices with runtime optimization</w:t>
        </w:r>
      </w:hyperlink>
      <w:r>
        <w:t xml:space="preserve">[C]//2021 IEEE/CVF international conference on computer vision workshops (ICCVW). Piscataway, NJ, </w:t>
      </w:r>
      <w:r>
        <w:rPr>
          <w:rFonts w:hint="eastAsia"/>
        </w:rPr>
        <w:t xml:space="preserve">USA：IEEE，2021：1015-1022.</w:t>
      </w:r>
    </w:p>
    <w:bookmarkEnd w:id="35"/>
    <w:bookmarkStart w:id="37" w:name="ref-lee_han_kim_2025_presto"/>
    <w:p>
      <w:pPr>
        <w:pStyle w:val="Bibliography"/>
      </w:pPr>
      <w:r>
        <w:t xml:space="preserve">[8]</w:t>
      </w:r>
      <w:r>
        <w:t xml:space="preserve"> </w:t>
      </w:r>
      <w:r>
        <w:t xml:space="preserve">	</w:t>
      </w:r>
      <w:r>
        <w:t xml:space="preserve">Lee </w:t>
      </w:r>
      <w:r>
        <w:rPr>
          <w:rFonts w:hint="eastAsia"/>
        </w:rPr>
        <w:t xml:space="preserve">J，Han</w:t>
      </w:r>
      <w:r>
        <w:t xml:space="preserve"> </w:t>
      </w:r>
      <w:r>
        <w:rPr>
          <w:rFonts w:hint="eastAsia"/>
        </w:rPr>
        <w:t xml:space="preserve">D，Kim</w:t>
      </w:r>
      <w:r>
        <w:t xml:space="preserve"> J.</w:t>
      </w:r>
      <w:r>
        <w:t xml:space="preserve"> </w:t>
      </w:r>
      <w:hyperlink ns1:id="rId36">
        <w:r>
          <w:rPr>
            <w:rStyle w:val="Hyperlink"/>
          </w:rPr>
          <w:t xml:space="preserve">PRESTO: Hybrid CPU-GPU preprocessing framework for video-based AI inference system</w:t>
        </w:r>
      </w:hyperlink>
      <w:r>
        <w:t xml:space="preserve">[C]//Proceedings of the 23rd annual international conference on mobile systems, applications and services. New York, NY, </w:t>
      </w:r>
      <w:r>
        <w:rPr>
          <w:rFonts w:hint="eastAsia"/>
        </w:rPr>
        <w:t xml:space="preserve">USA：Association</w:t>
      </w:r>
      <w:r>
        <w:t xml:space="preserve"> for Computing </w:t>
      </w:r>
      <w:r>
        <w:rPr>
          <w:rFonts w:hint="eastAsia"/>
        </w:rPr>
        <w:t xml:space="preserve">Machinery，2025：735-740.</w:t>
      </w:r>
    </w:p>
    <w:bookmarkEnd w:id="37"/>
    <w:bookmarkStart w:id="39" w:name="Xac090a0af5deee57030702f51fb1ef136bc741c"/>
    <w:p>
      <w:pPr>
        <w:pStyle w:val="Bibliography"/>
      </w:pPr>
      <w:r>
        <w:t xml:space="preserve">[9]</w:t>
      </w:r>
      <w:r>
        <w:t xml:space="preserve"> </w:t>
      </w:r>
      <w:r>
        <w:t xml:space="preserve">	</w:t>
      </w:r>
      <w:r>
        <w:t xml:space="preserve">Weiss </w:t>
      </w:r>
      <w:r>
        <w:rPr>
          <w:rFonts w:hint="eastAsia"/>
        </w:rPr>
        <w:t xml:space="preserve">E，Caplan</w:t>
      </w:r>
      <w:r>
        <w:t xml:space="preserve"> </w:t>
      </w:r>
      <w:r>
        <w:rPr>
          <w:rFonts w:hint="eastAsia"/>
        </w:rPr>
        <w:t xml:space="preserve">S，Horn</w:t>
      </w:r>
      <w:r>
        <w:t xml:space="preserve"> </w:t>
      </w:r>
      <w:r>
        <w:rPr>
          <w:rFonts w:hint="eastAsia"/>
        </w:rPr>
        <w:t xml:space="preserve">K，et</w:t>
      </w:r>
      <w:r>
        <w:t xml:space="preserve"> al.</w:t>
      </w:r>
      <w:r>
        <w:t xml:space="preserve"> </w:t>
      </w:r>
      <w:hyperlink ns1:id="rId38">
        <w:r>
          <w:rPr>
            <w:rStyle w:val="Hyperlink"/>
          </w:rPr>
          <w:t xml:space="preserve">Real-time defect detection in electronic components during assembly through deep learning</w:t>
        </w:r>
      </w:hyperlink>
      <w:r>
        <w:t xml:space="preserve">[J]. </w:t>
      </w:r>
      <w:r>
        <w:rPr>
          <w:rFonts w:hint="eastAsia"/>
        </w:rPr>
        <w:t xml:space="preserve">Electronics，2024，13（8）：1551.</w:t>
      </w:r>
    </w:p>
    <w:bookmarkEnd w:id="39"/>
    <w:bookmarkStart w:id="40" w:name="ref-jacob_et_al_2018_integer_inference"/>
    <w:p>
      <w:pPr>
        <w:pStyle w:val="Bibliography"/>
      </w:pPr>
      <w:r>
        <w:t xml:space="preserve">[10]</w:t>
      </w:r>
      <w:r>
        <w:t xml:space="preserve"> </w:t>
      </w:r>
      <w:r>
        <w:t xml:space="preserve">	</w:t>
      </w:r>
      <w:r>
        <w:t xml:space="preserve">Jacob </w:t>
      </w:r>
      <w:r>
        <w:rPr>
          <w:rFonts w:hint="eastAsia"/>
        </w:rPr>
        <w:t xml:space="preserve">B，Kligys</w:t>
      </w:r>
      <w:r>
        <w:t xml:space="preserve"> </w:t>
      </w:r>
      <w:r>
        <w:rPr>
          <w:rFonts w:hint="eastAsia"/>
        </w:rPr>
        <w:t xml:space="preserve">S，Chen</w:t>
      </w:r>
      <w:r>
        <w:t xml:space="preserve"> </w:t>
      </w:r>
      <w:r>
        <w:rPr>
          <w:rFonts w:hint="eastAsia"/>
        </w:rPr>
        <w:t xml:space="preserve">B，et</w:t>
      </w:r>
      <w:r>
        <w:t xml:space="preserve"> al. Quantization and training of neural networks for efficient integer-arithmetic-only inference[C]//Proceedings of the IEEE conference on computer vision and pattern recognition (CVPR). Piscataway, NJ, </w:t>
      </w:r>
      <w:r>
        <w:rPr>
          <w:rFonts w:hint="eastAsia"/>
        </w:rPr>
        <w:t xml:space="preserve">USA：IEEE，2018：2704-2713.</w:t>
      </w:r>
    </w:p>
    <w:bookmarkEnd w:id="40"/>
    <w:bookmarkStart w:id="41" w:name="ref-nagel_et_al_2020_adaround"/>
    <w:p>
      <w:pPr>
        <w:pStyle w:val="Bibliography"/>
      </w:pPr>
      <w:r>
        <w:t xml:space="preserve">[11]</w:t>
      </w:r>
      <w:r>
        <w:t xml:space="preserve"> </w:t>
      </w:r>
      <w:r>
        <w:t xml:space="preserve">	</w:t>
      </w:r>
      <w:r>
        <w:t xml:space="preserve">Nagel </w:t>
      </w:r>
      <w:r>
        <w:rPr>
          <w:rFonts w:hint="eastAsia"/>
        </w:rPr>
        <w:t xml:space="preserve">M，Amjad</w:t>
      </w:r>
      <w:r>
        <w:t xml:space="preserve"> R </w:t>
      </w:r>
      <w:r>
        <w:rPr>
          <w:rFonts w:hint="eastAsia"/>
        </w:rPr>
        <w:t xml:space="preserve">A，Van</w:t>
      </w:r>
      <w:r>
        <w:t xml:space="preserve"> Baalen </w:t>
      </w:r>
      <w:r>
        <w:rPr>
          <w:rFonts w:hint="eastAsia"/>
        </w:rPr>
        <w:t xml:space="preserve">M，et</w:t>
      </w:r>
      <w:r>
        <w:t xml:space="preserve"> al. Up or down? Adaptive rounding for post-training quantization[C]//Proceedings of the 37th international conference on machine </w:t>
      </w:r>
      <w:r>
        <w:rPr>
          <w:rFonts w:hint="eastAsia"/>
        </w:rPr>
        <w:t xml:space="preserve">learning：v.119.</w:t>
      </w:r>
      <w:r>
        <w:t xml:space="preserve"> Cambridge, MA, </w:t>
      </w:r>
      <w:r>
        <w:rPr>
          <w:rFonts w:hint="eastAsia"/>
        </w:rPr>
        <w:t xml:space="preserve">USA：PMLR，2020：7197-7206.</w:t>
      </w:r>
    </w:p>
    <w:bookmarkEnd w:id="41"/>
    <w:bookmarkStart w:id="43" w:name="ref-nvidia_tensorrt_10_3_release_notes"/>
    <w:p>
      <w:pPr>
        <w:pStyle w:val="Bibliography"/>
      </w:pPr>
      <w:r>
        <w:t xml:space="preserve">[12]</w:t>
      </w:r>
      <w:r>
        <w:t xml:space="preserve"> </w:t>
      </w:r>
      <w:r>
        <w:t xml:space="preserve">	</w:t>
      </w:r>
      <w:r>
        <w:t xml:space="preserve">NVIDIA Corporation. TensorRT 10.3 release notes[EB/OL]. </w:t>
      </w:r>
      <w:r>
        <w:rPr>
          <w:rFonts w:hint="eastAsia"/>
        </w:rPr>
        <w:t xml:space="preserve">（2024）[2026-08-07].</w:t>
      </w:r>
      <w:r>
        <w:t xml:space="preserve"> </w:t>
      </w:r>
      <w:hyperlink ns1:id="rId42">
        <w:r>
          <w:rPr>
            <w:rStyle w:val="Hyperlink"/>
          </w:rPr>
          <w:t xml:space="preserve">https://docs.nvidia.com/deeplearning/tensorrt/archives/tensorrt-1030/pdf/TensorRT-Release-Notes.pdf</w:t>
        </w:r>
      </w:hyperlink>
      <w:r>
        <w:t xml:space="preserve">.</w:t>
      </w:r>
    </w:p>
    <w:bookmarkEnd w:id="43"/>
    <w:bookmarkStart w:id="45" w:name="ref-kim_lee_kim_2024_hyq"/>
    <w:p>
      <w:pPr>
        <w:pStyle w:val="Bibliography"/>
      </w:pPr>
      <w:r>
        <w:t xml:space="preserve">[13]</w:t>
      </w:r>
      <w:r>
        <w:t xml:space="preserve"> </w:t>
      </w:r>
      <w:r>
        <w:t xml:space="preserve">	</w:t>
      </w:r>
      <w:r>
        <w:t xml:space="preserve">Kim N </w:t>
      </w:r>
      <w:r>
        <w:rPr>
          <w:rFonts w:hint="eastAsia"/>
        </w:rPr>
        <w:t xml:space="preserve">J，Lee</w:t>
      </w:r>
      <w:r>
        <w:t xml:space="preserve"> </w:t>
      </w:r>
      <w:r>
        <w:rPr>
          <w:rFonts w:hint="eastAsia"/>
        </w:rPr>
        <w:t xml:space="preserve">J，Kim</w:t>
      </w:r>
      <w:r>
        <w:t xml:space="preserve"> H.</w:t>
      </w:r>
      <w:r>
        <w:t xml:space="preserve"> </w:t>
      </w:r>
      <w:hyperlink ns1:id="rId44">
        <w:r>
          <w:rPr>
            <w:rStyle w:val="Hyperlink"/>
          </w:rPr>
          <w:t xml:space="preserve">HyQ: Hardware-friendly post-training quantization for CNN-transformer hybrid networks</w:t>
        </w:r>
      </w:hyperlink>
      <w:r>
        <w:t xml:space="preserve">[C]//Proceedings of the thirty-third international joint conference on artificial intelligence, IJCAI-24. Menlo Park, CA, </w:t>
      </w:r>
      <w:r>
        <w:rPr>
          <w:rFonts w:hint="eastAsia"/>
        </w:rPr>
        <w:t xml:space="preserve">USA：International</w:t>
      </w:r>
      <w:r>
        <w:t xml:space="preserve"> Joint Conferences on Artificial Intelligence </w:t>
      </w:r>
      <w:r>
        <w:rPr>
          <w:rFonts w:hint="eastAsia"/>
        </w:rPr>
        <w:t xml:space="preserve">Organization，2024：4291-4299.</w:t>
      </w:r>
    </w:p>
    <w:bookmarkEnd w:id="45"/>
    <w:bookmarkStart w:id="47" w:name="ref-tang_qian_2024_yolov8_jetson_orin"/>
    <w:p>
      <w:pPr>
        <w:pStyle w:val="Bibliography"/>
      </w:pPr>
      <w:r>
        <w:t xml:space="preserve">[14]</w:t>
      </w:r>
      <w:r>
        <w:t xml:space="preserve"> </w:t>
      </w:r>
      <w:r>
        <w:t xml:space="preserve">	</w:t>
      </w:r>
      <w:r>
        <w:t xml:space="preserve">Tang </w:t>
      </w:r>
      <w:r>
        <w:rPr>
          <w:rFonts w:hint="eastAsia"/>
        </w:rPr>
        <w:t xml:space="preserve">Y，Qian</w:t>
      </w:r>
      <w:r>
        <w:t xml:space="preserve"> Y.</w:t>
      </w:r>
      <w:r>
        <w:t xml:space="preserve"> </w:t>
      </w:r>
      <w:hyperlink ns1:id="rId46">
        <w:r>
          <w:rPr>
            <w:rStyle w:val="Hyperlink"/>
          </w:rPr>
          <w:t xml:space="preserve">High-speed railway track components inspection framework based on YOLOv8 with high-performance model deployment</w:t>
        </w:r>
      </w:hyperlink>
      <w:r>
        <w:t xml:space="preserve">[J]. High-speed </w:t>
      </w:r>
      <w:r>
        <w:rPr>
          <w:rFonts w:hint="eastAsia"/>
        </w:rPr>
        <w:t xml:space="preserve">Railway，2024，2：42-50.</w:t>
      </w:r>
    </w:p>
    <w:bookmarkEnd w:id="47"/>
    <w:bookmarkStart w:id="49" w:name="ref-nvidia_cuda_best_practices_12_6"/>
    <w:p>
      <w:pPr>
        <w:pStyle w:val="Bibliography"/>
      </w:pPr>
      <w:r>
        <w:t xml:space="preserve">[15]</w:t>
      </w:r>
      <w:r>
        <w:t xml:space="preserve"> </w:t>
      </w:r>
      <w:r>
        <w:t xml:space="preserve">	</w:t>
      </w:r>
      <w:r>
        <w:t xml:space="preserve">NVIDIA Corporation. CUDA c++ best practices guide: Release 12.6[EB/OL]. </w:t>
      </w:r>
      <w:r>
        <w:rPr>
          <w:rFonts w:hint="eastAsia"/>
        </w:rPr>
        <w:t xml:space="preserve">（2024）[2026-08-07].</w:t>
      </w:r>
      <w:r>
        <w:t xml:space="preserve"> </w:t>
      </w:r>
      <w:hyperlink ns1:id="rId48">
        <w:r>
          <w:rPr>
            <w:rStyle w:val="Hyperlink"/>
          </w:rPr>
          <w:t xml:space="preserve">https://docs.nvidia.com/cuda/archive/12.6.0/cuda-c-best-practices-guide/index.html</w:t>
        </w:r>
      </w:hyperlink>
      <w:r>
        <w:t xml:space="preserve">.</w:t>
      </w:r>
    </w:p>
    <w:bookmarkEnd w:id="49"/>
    <w:bookmarkStart w:id="51" w:name="ref-bateni_et_al_2020_integrated_memory"/>
    <w:p>
      <w:pPr>
        <w:pStyle w:val="Bibliography"/>
      </w:pPr>
      <w:r>
        <w:t xml:space="preserve">[16]</w:t>
      </w:r>
      <w:r>
        <w:t xml:space="preserve"> </w:t>
      </w:r>
      <w:r>
        <w:t xml:space="preserve">	</w:t>
      </w:r>
      <w:r>
        <w:t xml:space="preserve">Bateni </w:t>
      </w:r>
      <w:r>
        <w:rPr>
          <w:rFonts w:hint="eastAsia"/>
        </w:rPr>
        <w:t xml:space="preserve">S，Wang</w:t>
      </w:r>
      <w:r>
        <w:t xml:space="preserve"> </w:t>
      </w:r>
      <w:r>
        <w:rPr>
          <w:rFonts w:hint="eastAsia"/>
        </w:rPr>
        <w:t xml:space="preserve">Z，Zhu</w:t>
      </w:r>
      <w:r>
        <w:t xml:space="preserve"> </w:t>
      </w:r>
      <w:r>
        <w:rPr>
          <w:rFonts w:hint="eastAsia"/>
        </w:rPr>
        <w:t xml:space="preserve">Y，et</w:t>
      </w:r>
      <w:r>
        <w:t xml:space="preserve"> al.</w:t>
      </w:r>
      <w:r>
        <w:t xml:space="preserve"> </w:t>
      </w:r>
      <w:hyperlink ns1:id="rId50">
        <w:r>
          <w:rPr>
            <w:rStyle w:val="Hyperlink"/>
          </w:rPr>
          <w:t xml:space="preserve">Co-optimizing performance and memory footprint via integrated CPU/GPU memory management, an implementation on autonomous driving platform</w:t>
        </w:r>
      </w:hyperlink>
      <w:r>
        <w:t xml:space="preserve">[C]//2020 IEEE real-time and embedded technology and applications symposium (RTAS). Piscataway, NJ, </w:t>
      </w:r>
      <w:r>
        <w:rPr>
          <w:rFonts w:hint="eastAsia"/>
        </w:rPr>
        <w:t xml:space="preserve">USA：IEEE，2020：310-323.</w:t>
      </w:r>
    </w:p>
    <w:bookmarkEnd w:id="51"/>
    <w:bookmarkStart w:id="53" w:name="X881c6431a49a2524d16166655dd1f283b779e51"/>
    <w:p>
      <w:pPr>
        <w:pStyle w:val="Bibliography"/>
      </w:pPr>
      <w:r>
        <w:t xml:space="preserve">[17]</w:t>
      </w:r>
      <w:r>
        <w:t xml:space="preserve"> </w:t>
      </w:r>
      <w:r>
        <w:t xml:space="preserve">	</w:t>
      </w:r>
      <w:r>
        <w:t xml:space="preserve">Rodriguez </w:t>
      </w:r>
      <w:r>
        <w:rPr>
          <w:rFonts w:hint="eastAsia"/>
        </w:rPr>
        <w:t xml:space="preserve">M，Yarza</w:t>
      </w:r>
      <w:r>
        <w:t xml:space="preserve"> </w:t>
      </w:r>
      <w:r>
        <w:rPr>
          <w:rFonts w:hint="eastAsia"/>
        </w:rPr>
        <w:t xml:space="preserve">I，Kosmidis</w:t>
      </w:r>
      <w:r>
        <w:t xml:space="preserve"> </w:t>
      </w:r>
      <w:r>
        <w:rPr>
          <w:rFonts w:hint="eastAsia"/>
        </w:rPr>
        <w:t xml:space="preserve">L，et</w:t>
      </w:r>
      <w:r>
        <w:t xml:space="preserve"> al.</w:t>
      </w:r>
      <w:r>
        <w:t xml:space="preserve"> </w:t>
      </w:r>
      <w:hyperlink ns1:id="rId52">
        <w:r>
          <w:rPr>
            <w:rStyle w:val="Hyperlink"/>
          </w:rPr>
          <w:t xml:space="preserve">Analysis of GPU memory allocation characteristics</w:t>
        </w:r>
      </w:hyperlink>
      <w:r>
        <w:t xml:space="preserve">[C]//16th workshop on parallel programming and run-time management techniques for many-core architectures and 14th workshop on design tools and architectures for multicore embedded computing platforms (PARMA-DITAM </w:t>
      </w:r>
      <w:r>
        <w:rPr>
          <w:rFonts w:hint="eastAsia"/>
        </w:rPr>
        <w:t xml:space="preserve">2025)：v.127.</w:t>
      </w:r>
      <w:r>
        <w:t xml:space="preserve"> Dagstuhl, </w:t>
      </w:r>
      <w:r>
        <w:rPr>
          <w:rFonts w:hint="eastAsia"/>
        </w:rPr>
        <w:t xml:space="preserve">Germany：Schloss</w:t>
      </w:r>
      <w:r>
        <w:t xml:space="preserve"> Dagstuhl – Leibniz-Zentrum f</w:t>
      </w:r>
      <w:r>
        <w:t xml:space="preserve">ü</w:t>
      </w:r>
      <w:r>
        <w:t xml:space="preserve">r </w:t>
      </w:r>
      <w:r>
        <w:rPr>
          <w:rFonts w:hint="eastAsia"/>
        </w:rPr>
        <w:t xml:space="preserve">Informatik，2025：1:1-1:15.</w:t>
      </w:r>
    </w:p>
    <w:bookmarkEnd w:id="53"/>
    <w:bookmarkStart w:id="55" w:name="ref-nvidia_cuda_programming_guide_12_6"/>
    <w:p>
      <w:pPr>
        <w:pStyle w:val="Bibliography"/>
      </w:pPr>
      <w:r>
        <w:t xml:space="preserve">[18]</w:t>
      </w:r>
      <w:r>
        <w:t xml:space="preserve"> </w:t>
      </w:r>
      <w:r>
        <w:t xml:space="preserve">	</w:t>
      </w:r>
      <w:r>
        <w:t xml:space="preserve">NVIDIA Corporation. CUDA c++ programming guide: Release 12.6[EB/OL]. </w:t>
      </w:r>
      <w:r>
        <w:rPr>
          <w:rFonts w:hint="eastAsia"/>
        </w:rPr>
        <w:t xml:space="preserve">（2024）[2026-08-07].</w:t>
      </w:r>
      <w:r>
        <w:t xml:space="preserve"> </w:t>
      </w:r>
      <w:hyperlink ns1:id="rId54">
        <w:r>
          <w:rPr>
            <w:rStyle w:val="Hyperlink"/>
          </w:rPr>
          <w:t xml:space="preserve">https://docs.nvidia.com/cuda/archive/12.6.0/cuda-c-programming-guide/index.html</w:t>
        </w:r>
      </w:hyperlink>
      <w:r>
        <w:t xml:space="preserve">.</w:t>
      </w:r>
    </w:p>
    <w:bookmarkEnd w:id="55"/>
    <w:bookmarkStart w:id="57" w:name="X5eac914f9fdc977465bff71c2e51c3ea52c72b4"/>
    <w:p>
      <w:pPr>
        <w:pStyle w:val="Bibliography"/>
      </w:pPr>
      <w:r>
        <w:t xml:space="preserve">[19]</w:t>
      </w:r>
      <w:r>
        <w:t xml:space="preserve"> </w:t>
      </w:r>
      <w:r>
        <w:t xml:space="preserve">	</w:t>
      </w:r>
      <w:r>
        <w:t xml:space="preserve">Kim </w:t>
      </w:r>
      <w:r>
        <w:rPr>
          <w:rFonts w:hint="eastAsia"/>
        </w:rPr>
        <w:t xml:space="preserve">S，Kim</w:t>
      </w:r>
      <w:r>
        <w:t xml:space="preserve"> </w:t>
      </w:r>
      <w:r>
        <w:rPr>
          <w:rFonts w:hint="eastAsia"/>
        </w:rPr>
        <w:t xml:space="preserve">C，Kim</w:t>
      </w:r>
      <w:r>
        <w:t xml:space="preserve"> S.</w:t>
      </w:r>
      <w:r>
        <w:t xml:space="preserve"> </w:t>
      </w:r>
      <w:hyperlink ns1:id="rId56">
        <w:r>
          <w:rPr>
            <w:rStyle w:val="Hyperlink"/>
          </w:rPr>
          <w:t xml:space="preserve">Improving performance of real-time object detection in edge device through concurrent multi-frame processing</w:t>
        </w:r>
      </w:hyperlink>
      <w:r>
        <w:t xml:space="preserve">[J]. IEEE </w:t>
      </w:r>
      <w:r>
        <w:rPr>
          <w:rFonts w:hint="eastAsia"/>
        </w:rPr>
        <w:t xml:space="preserve">Access，2025，13：1522-1533.</w:t>
      </w:r>
    </w:p>
    <w:bookmarkEnd w:id="57"/>
    <w:bookmarkStart w:id="59" w:name="ref-dean_barroso_2013_tail_scale"/>
    <w:p>
      <w:pPr>
        <w:pStyle w:val="Bibliography"/>
      </w:pPr>
      <w:r>
        <w:t xml:space="preserve">[20]</w:t>
      </w:r>
      <w:r>
        <w:t xml:space="preserve"> </w:t>
      </w:r>
      <w:r>
        <w:t xml:space="preserve">	</w:t>
      </w:r>
      <w:r>
        <w:t xml:space="preserve">Dean </w:t>
      </w:r>
      <w:r>
        <w:rPr>
          <w:rFonts w:hint="eastAsia"/>
        </w:rPr>
        <w:t xml:space="preserve">J，Barroso</w:t>
      </w:r>
      <w:r>
        <w:t xml:space="preserve"> L A.</w:t>
      </w:r>
      <w:r>
        <w:t xml:space="preserve"> </w:t>
      </w:r>
      <w:hyperlink ns1:id="rId58">
        <w:r>
          <w:rPr>
            <w:rStyle w:val="Hyperlink"/>
          </w:rPr>
          <w:t xml:space="preserve">The tail at scale</w:t>
        </w:r>
      </w:hyperlink>
      <w:r>
        <w:t xml:space="preserve">[J]. Communications of the </w:t>
      </w:r>
      <w:r>
        <w:rPr>
          <w:rFonts w:hint="eastAsia"/>
        </w:rPr>
        <w:t xml:space="preserve">ACM，2013，56（2）：74-80.</w:t>
      </w:r>
    </w:p>
    <w:bookmarkEnd w:id="59"/>
    <w:bookmarkStart w:id="61" w:name="ref-shin_kim_2022_jetson_yolo_frameworks"/>
    <w:p>
      <w:pPr>
        <w:pStyle w:val="Bibliography"/>
      </w:pPr>
      <w:r>
        <w:t xml:space="preserve">[21]</w:t>
      </w:r>
      <w:r>
        <w:t xml:space="preserve"> </w:t>
      </w:r>
      <w:r>
        <w:t xml:space="preserve">	</w:t>
      </w:r>
      <w:r>
        <w:t xml:space="preserve">Shin </w:t>
      </w:r>
      <w:r>
        <w:rPr>
          <w:rFonts w:hint="eastAsia"/>
        </w:rPr>
        <w:t xml:space="preserve">D-J，Kim</w:t>
      </w:r>
      <w:r>
        <w:t xml:space="preserve"> J-J.</w:t>
      </w:r>
      <w:r>
        <w:t xml:space="preserve"> </w:t>
      </w:r>
      <w:hyperlink ns1:id="rId60">
        <w:r>
          <w:rPr>
            <w:rStyle w:val="Hyperlink"/>
          </w:rPr>
          <w:t xml:space="preserve">A deep learning framework performance evaluation to use YOLO in nvidia jetson platform</w:t>
        </w:r>
      </w:hyperlink>
      <w:r>
        <w:t xml:space="preserve">[J]. Applied </w:t>
      </w:r>
      <w:r>
        <w:rPr>
          <w:rFonts w:hint="eastAsia"/>
        </w:rPr>
        <w:t xml:space="preserve">Sciences，2022，12（8）：3734.</w:t>
      </w:r>
    </w:p>
    <w:bookmarkEnd w:id="61"/>
    <w:bookmarkStart w:id="63" w:name="X4c8ed83c46bc651acbdbe066c419219a34e03ae"/>
    <w:p>
      <w:pPr>
        <w:pStyle w:val="Bibliography"/>
      </w:pPr>
      <w:r>
        <w:t xml:space="preserve">[22]</w:t>
      </w:r>
      <w:r>
        <w:t xml:space="preserve"> </w:t>
      </w:r>
      <w:r>
        <w:t xml:space="preserve">	</w:t>
      </w:r>
      <w:r>
        <w:t xml:space="preserve">Lema D </w:t>
      </w:r>
      <w:r>
        <w:rPr>
          <w:rFonts w:hint="eastAsia"/>
        </w:rPr>
        <w:t xml:space="preserve">G，Sánchez-González</w:t>
      </w:r>
      <w:r>
        <w:t xml:space="preserve"> </w:t>
      </w:r>
      <w:r>
        <w:rPr>
          <w:rFonts w:hint="eastAsia"/>
        </w:rPr>
        <w:t xml:space="preserve">L，Usamentiaga</w:t>
      </w:r>
      <w:r>
        <w:t xml:space="preserve"> </w:t>
      </w:r>
      <w:r>
        <w:rPr>
          <w:rFonts w:hint="eastAsia"/>
        </w:rPr>
        <w:t xml:space="preserve">R，et</w:t>
      </w:r>
      <w:r>
        <w:t xml:space="preserve"> al.</w:t>
      </w:r>
      <w:r>
        <w:t xml:space="preserve"> </w:t>
      </w:r>
      <w:hyperlink ns1:id="rId62">
        <w:r>
          <w:rPr>
            <w:rStyle w:val="Hyperlink"/>
          </w:rPr>
          <w:t xml:space="preserve">Benchmarking deep learning models for surface defect detection: A reproducible and statistically-rigorous approach</w:t>
        </w:r>
      </w:hyperlink>
      <w:r>
        <w:t xml:space="preserve">[J]. Journal of Intelligent </w:t>
      </w:r>
      <w:r>
        <w:rPr>
          <w:rFonts w:hint="eastAsia"/>
        </w:rPr>
        <w:t xml:space="preserve">Manufacturing，2026，37（7）：3001-3018.</w:t>
      </w:r>
    </w:p>
    <w:bookmarkEnd w:id="63"/>
    <w:bookmarkEnd w:id="64"/>
    <w:sectPr>
      <w:footerReference ns1:id="rId4" w:type="default"/>
      <w:type w:val="continuous"/>
      <w:pgSz w:h="16838" w:orient="portrait" w:w="11906"/>
      <w:pgMar w:bottom="1134" w:footer="907" w:gutter="0" w:header="720" w:left="1304" w:right="1304" w:top="1361"/>
      <w:cols w:num="2"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宋体">
    <w:altName w:val="SimSun"/>
    <w:panose1 w:val="02010600030101010101"/>
    <w:charset w:val="86"/>
    <w:family w:val="auto"/>
    <w:pitch w:val="variable"/>
  </w:font>
  <w:font w:name="黑体">
    <w:altName w:val="SimHei"/>
    <w:panose1 w:val="02010609060101010101"/>
    <w:charset w:val="86"/>
    <w:family w:val="modern"/>
    <w:pitch w:val="fixed"/>
  </w:font>
  <w:font w:name="楷体">
    <w:panose1 w:val="02010609060101010101"/>
    <w:charset w:val="86"/>
    <w:family w:val="modern"/>
    <w:pitch w:val="fixed"/>
  </w:font>
  <w:font w:name="Times New Roman">
    <w:panose1 w:val="02020603050405020304"/>
    <w:charset w:val="00"/>
    <w:family w:val="roman"/>
    <w:pitch w:val="variable"/>
  </w:font>
</w:fonts>
</file>

<file path=word/footer1.xml><?xml version="1.0" encoding="utf-8"?>
<w:ftr xmlns:w="http://schemas.openxmlformats.org/wordprocessingml/2006/main" xmlns:r="http://schemas.openxmlformats.org/officeDocument/2006/relationships">
  <w:p>
    <w:pPr>
      <w:pStyle w:val="PageNumber"/>
      <w:jc w:val="center"/>
    </w:pPr>
    <w:fldSimple w:instr=" PAGE ">
      <w:r>
        <w:rPr>
          <w:noProof/>
        </w:rPr>
      </w:r>
    </w:fldSimple>
  </w:p>
</w:ftr>
</file>

<file path=word/footer2.xml><?xml version="1.0" encoding="utf-8"?>
<w:ftr xmlns:w="http://schemas.openxmlformats.org/wordprocessingml/2006/main">
  <w:p>
    <w:pPr>
      <w:pStyle w:val="PageNumber"/>
      <w:jc w:val="center"/>
    </w:pPr>
    <w:fldSimple w:instr=" PAGE ">
      <w:r>
        <w:rPr>
          <w:noProof/>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multilevel"/>
    <w:lvl w:ilvl="0">
      <w:start w:val="1"/>
      <w:numFmt w:val="decimal"/>
      <w:lvlText w:val="%1"/>
      <w:lvlJc w:val="left"/>
      <w:pPr>
        <w:tabs>
          <w:tab w:pos="0" w:val="num"/>
        </w:tabs>
        <w:ind w:hanging="0" w:left="0"/>
      </w:pPr>
      <w:rPr>
        <w:rFonts w:ascii="Times New Roman" w:cs="Times New Roman" w:eastAsia="黑体" w:hAnsi="Times New Roman"/>
        <w:b/>
        <w:bCs/>
        <w:sz w:val="28"/>
        <w:szCs w:val="28"/>
        <w:lang w:bidi="ar-SA" w:eastAsia="zh-CN" w:val="en-US"/>
      </w:rPr>
    </w:lvl>
    <w:lvl w:ilvl="1">
      <w:start w:val="1"/>
      <w:numFmt w:val="decimal"/>
      <w:lvlText w:val="%1.%2"/>
      <w:lvlJc w:val="left"/>
      <w:pPr>
        <w:ind w:hanging="0" w:left="0"/>
      </w:pPr>
      <w:rPr>
        <w:rFonts w:ascii="Times New Roman" w:cs="Times New Roman" w:eastAsia="黑体" w:hAnsi="Times New Roman"/>
        <w:b/>
        <w:bCs/>
        <w:sz w:val="21"/>
        <w:szCs w:val="21"/>
        <w:lang w:bidi="ar-SA" w:eastAsia="zh-CN" w:val="en-US"/>
      </w:rPr>
    </w:lvl>
    <w:lvl w:ilvl="2">
      <w:start w:val="1"/>
      <w:numFmt w:val="decimal"/>
      <w:lvlText w:val="%1.%2.%3"/>
      <w:lvlJc w:val="left"/>
      <w:pPr>
        <w:ind w:hanging="0" w:left="0"/>
      </w:pPr>
      <w:rPr>
        <w:rFonts w:ascii="Times New Roman" w:cs="Times New Roman" w:eastAsia="楷体" w:hAnsi="Times New Roman"/>
        <w:sz w:val="21"/>
        <w:szCs w:val="21"/>
        <w:lang w:bidi="ar-SA" w:eastAsia="zh-CN" w:val="en-US"/>
      </w:rPr>
    </w:lvl>
  </w:abstractNum>
  <w:abstractNum w:abstractNumId="1">
    <w:multiLevelType w:val="singleLevel"/>
    <w:lvl w:ilvl="0">
      <w:start w:val="0"/>
      <w:numFmt w:val="decimal"/>
      <w:lvlText w:val="0"/>
      <w:lvlJc w:val="left"/>
      <w:pPr>
        <w:ind w:hanging="0" w:left="0"/>
      </w:pPr>
      <w:rPr>
        <w:rFonts w:ascii="Times New Roman" w:cs="Times New Roman" w:eastAsia="黑体" w:hAnsi="Times New Roman"/>
        <w:b/>
        <w:bCs/>
        <w:sz w:val="28"/>
        <w:szCs w:val="28"/>
        <w:lang w:bidi="ar-SA" w:eastAsia="zh-CN" w:val="en-U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宋体" w:hAnsi="Times New Roman"/>
        <w:lang w:bidi="ar-SA" w:eastAsia="zh-CN" w:val="en-US"/>
      </w:rPr>
    </w:rPrDefault>
    <w:pPrDefault>
      <w:pPr>
        <w:spacing w:after="0" w:before="0" w:line="320" w:lineRule="exact"/>
      </w:pPr>
    </w:pPrDefault>
  </w:docDefaults>
  <w:style w:styleId="Normal" w:type="paragraph">
    <w:name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PageNumber" w:type="paragraph">
    <w:name w:val="Page Number"/>
    <w:basedOn w:val="Normal"/>
    <w:pPr>
      <w:spacing w:after="0" w:before="0" w:line="240" w:lineRule="exact"/>
      <w:ind w:firstLine="0"/>
      <w:jc w:val="center"/>
    </w:pPr>
    <w:rPr>
      <w:rFonts w:ascii="Times New Roman" w:cs="Times New Roman" w:eastAsia="Times New Roman" w:hAnsi="Times New Roman"/>
      <w:sz w:val="18"/>
      <w:szCs w:val="18"/>
      <w:lang w:bidi="ar-SA" w:eastAsia="zh-CN" w:val="en-US"/>
    </w:rPr>
  </w:style>
  <w:style w:styleId="HFUTSpecimenNotice" w:type="paragraph">
    <w:name w:val="HFUT Specimen Notice"/>
    <w:basedOn w:val="Normal"/>
    <w:qFormat/>
    <w:pPr>
      <w:keepNext/>
      <w:spacing w:after="0" w:before="0" w:line="240" w:lineRule="exact"/>
      <w:jc w:val="center"/>
    </w:pPr>
    <w:rPr>
      <w:rFonts w:ascii="Times New Roman" w:cs="Times New Roman" w:eastAsia="Times New Roman" w:hAnsi="Times New Roman"/>
      <w:b/>
      <w:bCs/>
      <w:sz w:val="18"/>
      <w:szCs w:val="18"/>
      <w:lang w:bidi="ar-SA" w:eastAsia="zh-CN" w:val="en-US"/>
    </w:rPr>
  </w:style>
  <w:style w:styleId="HFUTBody" w:type="paragraph">
    <w:name w:val="HFUT Body"/>
    <w:basedOn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HFUTTitleCN" w:type="paragraph">
    <w:name w:val="HFUT Title CN"/>
    <w:basedOn w:val="Normal"/>
    <w:qFormat/>
    <w:pPr>
      <w:keepNext/>
      <w:snapToGrid w:val="false"/>
      <w:spacing w:after="0" w:before="0" w:line="240" w:lineRule="auto"/>
      <w:jc w:val="center"/>
    </w:pPr>
    <w:rPr>
      <w:rFonts w:ascii="Times New Roman" w:cs="Times New Roman" w:eastAsia="宋体" w:hAnsi="Times New Roman"/>
      <w:b/>
      <w:bCs/>
      <w:sz w:val="44"/>
      <w:szCs w:val="44"/>
      <w:lang w:bidi="ar-SA" w:eastAsia="zh-CN" w:val="en-US"/>
    </w:rPr>
  </w:style>
  <w:style w:styleId="HFUTTitleEN" w:type="paragraph">
    <w:name w:val="HFUT Title EN"/>
    <w:basedOn w:val="Normal"/>
    <w:qFormat/>
    <w:pPr>
      <w:keepNext/>
      <w:spacing w:after="0" w:before="0"/>
      <w:jc w:val="center"/>
    </w:pPr>
    <w:rPr>
      <w:rFonts w:ascii="Times New Roman" w:cs="Times New Roman" w:eastAsia="Times New Roman" w:hAnsi="Times New Roman"/>
      <w:b/>
      <w:bCs/>
      <w:sz w:val="28"/>
      <w:szCs w:val="28"/>
      <w:lang w:bidi="ar-SA" w:eastAsia="zh-CN" w:val="en-US"/>
    </w:rPr>
  </w:style>
  <w:style w:styleId="HFUTAuthorsCN" w:type="paragraph">
    <w:name w:val="HFUT Authors CN"/>
    <w:basedOn w:val="Normal"/>
    <w:qFormat/>
    <w:pPr>
      <w:spacing w:after="0" w:before="0"/>
      <w:jc w:val="center"/>
    </w:pPr>
    <w:rPr>
      <w:rFonts w:ascii="Times New Roman" w:cs="Times New Roman" w:eastAsia="楷体" w:hAnsi="Times New Roman"/>
      <w:sz w:val="28"/>
      <w:szCs w:val="28"/>
      <w:lang w:bidi="ar-SA" w:eastAsia="zh-CN" w:val="en-US"/>
    </w:rPr>
  </w:style>
  <w:style w:styleId="HFUTAuthorsEN" w:type="paragraph">
    <w:name w:val="HFUT Authors EN"/>
    <w:basedOn w:val="Normal"/>
    <w:qFormat/>
    <w:pPr>
      <w:spacing w:after="0" w:before="0"/>
      <w:jc w:val="center"/>
    </w:pPr>
    <w:rPr>
      <w:rFonts w:ascii="Times New Roman" w:cs="Times New Roman" w:eastAsia="Times New Roman" w:hAnsi="Times New Roman"/>
      <w:b/>
      <w:bCs/>
      <w:sz w:val="21"/>
      <w:szCs w:val="21"/>
      <w:lang w:bidi="ar-SA" w:eastAsia="zh-CN" w:val="en-US"/>
    </w:rPr>
  </w:style>
  <w:style w:styleId="HFUTAffiliationCN" w:type="paragraph">
    <w:name w:val="HFUT Affiliation CN"/>
    <w:basedOn w:val="Normal"/>
    <w:qFormat/>
    <w:pPr>
      <w:spacing w:after="0" w:before="0" w:line="240" w:lineRule="exact"/>
      <w:jc w:val="center"/>
    </w:pPr>
    <w:rPr>
      <w:rFonts w:ascii="Times New Roman" w:cs="Times New Roman" w:eastAsia="宋体" w:hAnsi="Times New Roman"/>
      <w:sz w:val="15"/>
      <w:szCs w:val="15"/>
      <w:lang w:bidi="ar-SA" w:eastAsia="zh-CN" w:val="en-US"/>
    </w:rPr>
  </w:style>
  <w:style w:styleId="HFUTAffiliationEN" w:type="paragraph">
    <w:name w:val="HFUT Affiliation EN"/>
    <w:basedOn w:val="Normal"/>
    <w:qFormat/>
    <w:pPr>
      <w:spacing w:after="0" w:before="0" w:line="240" w:lineRule="exact"/>
      <w:jc w:val="center"/>
    </w:pPr>
    <w:rPr>
      <w:rFonts w:ascii="Times New Roman" w:cs="Times New Roman" w:eastAsia="Times New Roman" w:hAnsi="Times New Roman"/>
      <w:sz w:val="15"/>
      <w:szCs w:val="15"/>
      <w:lang w:bidi="ar-SA" w:eastAsia="zh-CN" w:val="en-US"/>
    </w:rPr>
  </w:style>
  <w:style w:styleId="HFUTAbstractLabelCN" w:type="paragraph">
    <w:name w:val="HFUT Abstract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AbstractBodyCN" w:type="paragraph">
    <w:name w:val="HFUT Abstract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AbstractLabelEN" w:type="paragraph">
    <w:name w:val="HFUT Abstract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AbstractBodyEN" w:type="paragraph">
    <w:name w:val="HFUT Abstract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KeywordsLabelCN" w:type="paragraph">
    <w:name w:val="HFUT Keywords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KeywordsBodyCN" w:type="paragraph">
    <w:name w:val="HFUT Keywords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KeywordsLabelEN" w:type="paragraph">
    <w:name w:val="HFUT Keywords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KeywordsBodyEN" w:type="paragraph">
    <w:name w:val="HFUT Keywords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Classification" w:type="paragraph">
    <w:name w:val="HFUT Classification"/>
    <w:basedOn w:val="Normal"/>
    <w:qFormat/>
    <w:pPr>
      <w:spacing w:after="0" w:before="0" w:line="280" w:lineRule="exact"/>
      <w:jc w:val="left"/>
    </w:pPr>
    <w:rPr>
      <w:rFonts w:ascii="Times New Roman" w:cs="Times New Roman" w:eastAsia="宋体" w:hAnsi="Times New Roman"/>
      <w:sz w:val="18"/>
      <w:szCs w:val="18"/>
      <w:lang w:bidi="ar-SA" w:eastAsia="zh-CN" w:val="en-US"/>
    </w:rPr>
  </w:style>
  <w:style w:styleId="HFUTHeading1" w:type="paragraph">
    <w:name w:val="HFUT Heading 1"/>
    <w:basedOn w:val="Normal"/>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Heading2" w:type="paragraph">
    <w:name w:val="HFUT Heading 2"/>
    <w:basedOn w:val="Normal"/>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FUTHeading3" w:type="paragraph">
    <w:name w:val="HFUT Heading 3"/>
    <w:basedOn w:val="Normal"/>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HFUTIntroHeading" w:type="paragraph">
    <w:name w:val="HFUT Introduction Heading"/>
    <w:basedOn w:val="HFUTHeading1"/>
    <w:qFormat/>
    <w:pPr>
      <w:keepNext/>
      <w:keepLines/>
      <w:numPr>
        <w:ilvl w:val="0"/>
        <w:numId w:val="2"/>
      </w:numPr>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Equation" w:type="paragraph">
    <w:name w:val="HFUT Equation"/>
    <w:basedOn w:val="Normal"/>
    <w:qFormat/>
    <w:pPr>
      <w:keepLines/>
      <w:spacing w:after="0" w:before="0" w:line="320" w:lineRule="atLeast"/>
      <w:jc w:val="center"/>
    </w:pPr>
    <w:rPr>
      <w:rFonts w:ascii="Times New Roman" w:cs="Times New Roman" w:eastAsia="Times New Roman" w:hAnsi="Times New Roman"/>
      <w:sz w:val="21"/>
      <w:szCs w:val="21"/>
      <w:lang w:bidi="ar-SA" w:eastAsia="zh-CN" w:val="en-US"/>
    </w:rPr>
  </w:style>
  <w:style w:styleId="HFUTFigureCaption" w:type="paragraph">
    <w:name w:val="HFUT Figur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aption" w:type="paragraph">
    <w:name w:val="HFUT Tabl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ontent" w:type="paragraph">
    <w:name w:val="HFUT Table Content"/>
    <w:basedOn w:val="Normal"/>
    <w:qFormat/>
    <w:pPr>
      <w:keepLines/>
      <w:spacing w:after="0" w:before="0" w:line="240" w:lineRule="exact"/>
      <w:jc w:val="center"/>
    </w:pPr>
    <w:rPr>
      <w:rFonts w:ascii="Times New Roman" w:cs="Times New Roman" w:eastAsia="宋体" w:hAnsi="Times New Roman"/>
      <w:sz w:val="15"/>
      <w:szCs w:val="15"/>
      <w:lang w:bidi="ar-SA" w:eastAsia="zh-CN" w:val="en-US"/>
    </w:rPr>
  </w:style>
  <w:style w:styleId="HFUTReferenceHeading" w:type="paragraph">
    <w:name w:val="HFUT Reference Heading"/>
    <w:basedOn w:val="Normal"/>
    <w:qFormat/>
    <w:pPr>
      <w:keepNext/>
      <w:keepLines/>
      <w:spacing w:after="0" w:before="0" w:line="320" w:lineRule="exact"/>
      <w:jc w:val="left"/>
    </w:pPr>
    <w:rPr>
      <w:rFonts w:ascii="Times New Roman" w:cs="Times New Roman" w:eastAsia="黑体" w:hAnsi="Times New Roman"/>
      <w:b/>
      <w:bCs/>
      <w:sz w:val="21"/>
      <w:szCs w:val="21"/>
      <w:lang w:bidi="ar-SA" w:eastAsia="zh-CN" w:val="en-US"/>
    </w:rPr>
  </w:style>
  <w:style w:styleId="HFUTReferenceEntry" w:type="paragraph">
    <w:name w:val="HFUT Reference Entry"/>
    <w:basedOn w:val="Normal"/>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uthorBiography" w:type="paragraph">
    <w:name w:val="HFUT Author Biography"/>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Funding" w:type="paragraph">
    <w:name w:val="HFUT Funding"/>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Acknowledgement" w:type="paragraph">
    <w:name w:val="HFUT Acknowledgement"/>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BodyText" w:type="paragraph">
    <w:name w:val="Body Text"/>
    <w:basedOn w:val="HFUTBody"/>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Title" w:type="paragraph">
    <w:name w:val="Title"/>
    <w:basedOn w:val="HFUTTitleCN"/>
    <w:qFormat/>
    <w:pPr>
      <w:keepNext/>
      <w:spacing w:after="0" w:before="0"/>
      <w:jc w:val="center"/>
    </w:pPr>
    <w:rPr>
      <w:rFonts w:ascii="Times New Roman" w:cs="Times New Roman" w:eastAsia="宋体" w:hAnsi="Times New Roman"/>
      <w:b/>
      <w:bCs/>
      <w:sz w:val="44"/>
      <w:szCs w:val="44"/>
      <w:lang w:bidi="ar-SA" w:eastAsia="zh-CN" w:val="en-US"/>
    </w:rPr>
  </w:style>
  <w:style w:styleId="Subtitle" w:type="paragraph">
    <w:name w:val="Subtitle"/>
    <w:basedOn w:val="HFUTTitleEN"/>
    <w:qFormat/>
    <w:pPr>
      <w:keepNext/>
      <w:spacing w:after="0" w:before="0"/>
      <w:jc w:val="center"/>
    </w:pPr>
    <w:rPr>
      <w:rFonts w:ascii="Times New Roman" w:cs="Times New Roman" w:eastAsia="Times New Roman" w:hAnsi="Times New Roman"/>
      <w:b/>
      <w:bCs/>
      <w:sz w:val="28"/>
      <w:szCs w:val="28"/>
      <w:lang w:bidi="ar-SA" w:eastAsia="zh-CN" w:val="en-US"/>
    </w:rPr>
  </w:style>
  <w:style w:styleId="Author" w:type="paragraph">
    <w:name w:val="Author"/>
    <w:basedOn w:val="HFUTAuthorsEN"/>
    <w:qFormat/>
    <w:pPr>
      <w:spacing w:after="0" w:before="0"/>
      <w:jc w:val="center"/>
    </w:pPr>
    <w:rPr>
      <w:rFonts w:ascii="Times New Roman" w:cs="Times New Roman" w:eastAsia="Times New Roman" w:hAnsi="Times New Roman"/>
      <w:b/>
      <w:bCs/>
      <w:sz w:val="21"/>
      <w:szCs w:val="21"/>
      <w:lang w:bidi="ar-SA" w:eastAsia="zh-CN" w:val="en-US"/>
    </w:rPr>
  </w:style>
  <w:style w:styleId="Abstract" w:type="paragraph">
    <w:name w:val="Abstract"/>
    <w:basedOn w:val="HFUTAbstractBodyEN"/>
    <w:qFormat/>
    <w:pPr>
      <w:spacing w:after="0" w:before="0" w:line="280" w:lineRule="exact"/>
      <w:jc w:val="both"/>
    </w:pPr>
    <w:rPr>
      <w:rFonts w:ascii="Times New Roman" w:cs="Times New Roman" w:eastAsia="Times New Roman" w:hAnsi="Times New Roman"/>
      <w:sz w:val="21"/>
      <w:szCs w:val="21"/>
      <w:lang w:bidi="ar-SA" w:eastAsia="zh-CN" w:val="en-US"/>
    </w:rPr>
  </w:style>
  <w:style w:styleId="Heading1" w:type="paragraph">
    <w:name w:val="Heading 1"/>
    <w:basedOn w:val="HFUTHeading1"/>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eading2" w:type="paragraph">
    <w:name w:val="Heading 2"/>
    <w:basedOn w:val="HFUTHeading2"/>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eading3" w:type="paragraph">
    <w:name w:val="Heading 3"/>
    <w:basedOn w:val="HFUTHeading3"/>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Caption" w:type="paragraph">
    <w:name w:val="Caption"/>
    <w:basedOn w:val="HFUTFigureCaption"/>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Table" w:type="paragraph">
    <w:name w:val="Table"/>
    <w:basedOn w:val="HFUTTableContent"/>
    <w:qFormat/>
    <w:pPr>
      <w:keepLines/>
      <w:spacing w:after="0" w:before="0" w:line="240" w:lineRule="exact"/>
      <w:jc w:val="center"/>
    </w:pPr>
    <w:rPr>
      <w:rFonts w:ascii="Times New Roman" w:cs="Times New Roman" w:eastAsia="宋体" w:hAnsi="Times New Roman"/>
      <w:sz w:val="15"/>
      <w:szCs w:val="15"/>
      <w:lang w:bidi="ar-SA" w:eastAsia="zh-CN" w:val="en-US"/>
    </w:rPr>
  </w:style>
  <w:style w:styleId="Bibliography" w:type="paragraph">
    <w:name w:val="Bibliography"/>
    <w:basedOn w:val="HFUTReferenceEntry"/>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bstractLabelCNChar" w:type="character">
    <w:name w:val="HFUT Abstract Label CN Char"/>
    <w:basedOn w:val="DefaultParagraphFont"/>
    <w:qFormat/>
    <w:rPr>
      <w:rFonts w:ascii="Times New Roman" w:cs="Times New Roman" w:eastAsia="黑体" w:hAnsi="Times New Roman"/>
      <w:b/>
      <w:bCs/>
      <w:sz w:val="18"/>
      <w:szCs w:val="18"/>
      <w:lang w:bidi="ar-SA" w:eastAsia="zh-CN" w:val="en-US"/>
    </w:rPr>
  </w:style>
  <w:style w:styleId="HFUTKeywordsLabelCNChar" w:type="character">
    <w:name w:val="HFUT Keywords Label CN Char"/>
    <w:basedOn w:val="DefaultParagraphFont"/>
    <w:qFormat/>
    <w:rPr>
      <w:rFonts w:ascii="Times New Roman" w:cs="Times New Roman" w:eastAsia="黑体" w:hAnsi="Times New Roman"/>
      <w:b/>
      <w:bCs/>
      <w:sz w:val="18"/>
      <w:szCs w:val="18"/>
      <w:lang w:bidi="ar-SA" w:eastAsia="zh-CN" w:val="en-US"/>
    </w:rPr>
  </w:style>
  <w:style w:styleId="HFUTAbstractLabelENChar" w:type="character">
    <w:name w:val="HFUT Abstract Label EN Char"/>
    <w:basedOn w:val="DefaultParagraphFont"/>
    <w:qFormat/>
    <w:rPr>
      <w:rFonts w:ascii="Times New Roman" w:cs="Times New Roman" w:eastAsia="Times New Roman" w:hAnsi="Times New Roman"/>
      <w:b/>
      <w:bCs/>
      <w:sz w:val="21"/>
      <w:szCs w:val="21"/>
      <w:lang w:bidi="ar-SA" w:eastAsia="zh-CN" w:val="en-US"/>
    </w:rPr>
  </w:style>
  <w:style w:styleId="HFUTKeywordsLabelENChar" w:type="character">
    <w:name w:val="HFUT Keywords Label EN Char"/>
    <w:basedOn w:val="DefaultParagraphFont"/>
    <w:qFormat/>
    <w:rPr>
      <w:rFonts w:ascii="Times New Roman" w:cs="Times New Roman" w:eastAsia="Times New Roman" w:hAnsi="Times New Roman"/>
      <w:b/>
      <w:bCs/>
      <w:sz w:val="21"/>
      <w:szCs w:val="21"/>
      <w:lang w:bidi="ar-SA" w:eastAsia="zh-CN" w:val="en-US"/>
    </w:rPr>
  </w:style>
  <w:style w:styleId="HFUTLatin" w:type="character">
    <w:name w:val="HFUT Latin"/>
    <w:basedOn w:val="DefaultParagraphFont"/>
    <w:qFormat/>
    <w:rPr>
      <w:rFonts w:ascii="Times New Roman" w:cs="Times New Roman" w:eastAsia="Times New Roman" w:hAnsi="Times New Roman"/>
      <w:sz w:val="21"/>
      <w:szCs w:val="21"/>
      <w:lang w:bidi="ar-SA" w:eastAsia="zh-CN" w:val="en-US"/>
    </w:rPr>
  </w:style>
  <w:style w:styleId="HFUTThreeLineTable" w:type="table">
    <w:name w:val="HFUT Three Line Table"/>
    <w:basedOn w:val="TableNormal"/>
    <w:qFormat/>
    <w:tblPr>
      <w:tblBorders>
        <w:top w:color="000000" w:space="0" w:sz="8" w:val="single"/>
        <w:left w:val="nil"/>
        <w:bottom w:color="000000" w:space="0" w:sz="8" w:val="single"/>
        <w:right w:val="nil"/>
        <w:insideH w:color="000000" w:space="0" w:sz="4" w:val="single"/>
        <w:insideV w:val="nil"/>
      </w:tblBorders>
      <w:tblCellMar>
        <w:top w:type="dxa" w:w="0"/>
        <w:left w:type="dxa" w:w="108"/>
        <w:bottom w:type="dxa" w:w="0"/>
        <w:right w:type="dxa" w:w="108"/>
      </w:tblCellMar>
    </w:tblPr>
    <w:tblStylePr w:type="firstRow">
      <w:tblPr>
        <w:tblBorders>
          <w:bottom w:color="000000" w:space="0" w:sz="4" w:val="single"/>
        </w:tblBorders>
      </w:tbl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 Id="rId63" Type="http://schemas.openxmlformats.org/officeDocument/2006/relationships/footer" Target="footer2.xml" /></Relationships>
</file>

<file path=word/_rels/footnotes.xml.rels><?xml version="1.0" encoding="UTF-8"?><Relationships xmlns="http://schemas.openxmlformats.org/package/2006/relationships"><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ns0:Properties xmlns:ns0="http://schemas.openxmlformats.org/officeDocument/2006/extended-properties">
  <ns0:Application>Anonymous manuscript build</ns0:Application>
  <ns0:DocSecurity>0</ns0:DocSecurity>
  <ns0:ScaleCrop>false</ns0:ScaleCrop>
  <ns0:Company/>
  <ns0:LinksUpToDate>false</ns0:LinksUpToDate>
  <ns0:SharedDoc>false</ns0:SharedDoc>
  <ns0:HyperlinksChanged>false</ns0:HyperlinksChanged>
  <ns0:AppVersion>1.0</ns0:AppVersion>
</ns0:Properties>
</file>

<file path=docProps/core.xml><?xml version="1.0" encoding="utf-8"?>
<cp:coreProperties xmlns:cp="http://schemas.openxmlformats.org/package/2006/metadata/core-properties" xmlns:dc="http://purl.org/dc/elements/1.1/" xmlns:dcterms="http://purl.org/dc/terms/" xmlns:xsi="http://www.w3.org/2001/XMLSchema-instance">
  <dc:title/>
  <dc:creator/>
  <cp:keywords/>
  <dcterms:created xsi:type="dcterms:W3CDTF">2026-08-24T14:43:53Z</dcterms:created>
  <dcterms:modified xsi:type="dcterms:W3CDTF">2026-08-24T14:43:53Z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7" name="classification">
    <ns1:lpwstr>TP391.41</ns1:lpwstr>
  </ns0:property>
</ns0:Properties>
</file>