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uthorsCN"/>
      </w:pPr>
      <w:r>
        <w:rPr>
          <w:rFonts w:hint="eastAsia"/>
        </w:rPr>
        <w:t xml:space="preserve">王凯伦，王琦</w:t>
      </w:r>
    </w:p>
    <w:p>
      <w:pPr>
        <w:pStyle w:val="HFUTAffiliationCN"/>
      </w:pPr>
      <w:r>
        <w:rPr>
          <w:rFonts w:hint="eastAsia"/>
        </w:rPr>
        <w:t xml:space="preserve">合肥工业大学数学学院，安徽</w:t>
      </w:r>
      <w:r>
        <w:t xml:space="preserve"> </w:t>
      </w:r>
      <w:r>
        <w:rPr>
          <w:rFonts w:hint="eastAsia"/>
        </w:rPr>
        <w:t xml:space="preserve">合肥</w:t>
      </w:r>
      <w:r>
        <w:t xml:space="preserve"> 230601</w:t>
      </w:r>
    </w:p>
    <w:p>
      <w:pPr>
        <w:pStyle w:val="HFUTBody"/>
      </w:pPr>
      <w:r>
        <w:rPr>
          <w:rFonts w:hint="eastAsia"/>
        </w:rPr>
        <w:t xml:space="preserve">通信作者：王琦</w:t>
      </w:r>
    </w:p>
    <w:p>
      <w:pPr>
        <w:pStyle w:val="HFUTAbstractBodyCN"/>
      </w:pPr>
      <w:r>
        <w:rPr>
          <w:rStyle w:val="HFUTAbstractLabelCNChar"/>
          <w:rFonts w:hint="eastAsia"/>
        </w:rPr>
        <w:t xml:space="preserve">摘要：</w:t>
      </w:r>
      <w:r>
        <w:rPr>
          <w:rFonts w:hint="eastAsia"/>
        </w:rPr>
        <w:t xml:space="preserve">在边缘工业缺陷检测中，低精度部署可以降低网络侧开销，但即使推理对象已经固定，输入数据路径仍不能由此唯一确定，输入形成及主机—设备数据移动开销也不会自动消除。为明确固定推理对象之外仍待评价的系统关系，本文将输入数据路径作为独立结构对象，研究不同范围的路径干预如何对应完整端到端响应。方法上，以跨边界表示、输入张量形成位置、额外打包原始图像暂存策略和执行拓扑描述路径，通过路径级重构与单变量暂存细化形成层级受控比较，并以任务正确性保持作为性能比较准入条件，分别评价完整端到端均值与尾部响应。冻结180幅图像的离线回放结果表明，三条路径的任务级指标一致；路径级重构使FPS达到2.24×、平均端到端延迟降低55.45%，其后的暂存策略细化仅带来约4%的平均改善，且未形成一致的P95/P99改善。因而，在本文受测平台与配置内，路径级结构决策应先与局部暂存策略分离，平均响应也不能替代尾部响应评价。</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uthorsEN"/>
      </w:pPr>
      <w:r>
        <w:t xml:space="preserve">WANG Kailun, WANG Qi</w:t>
      </w:r>
    </w:p>
    <w:p>
      <w:pPr>
        <w:pStyle w:val="HFUTAffiliationEN"/>
      </w:pPr>
      <w:r>
        <w:t xml:space="preserve">School of Mathematics, Hefei University of Technology, Hefei 230601, China</w:t>
      </w:r>
    </w:p>
    <w:p>
      <w:pPr>
        <w:pStyle w:val="HFUTBody"/>
      </w:pPr>
      <w:r>
        <w:t xml:space="preserve">Corresponding author: WANG Qi</w:t>
      </w:r>
    </w:p>
    <w:p>
      <w:pPr>
        <w:pStyle w:val="HFUTAbstractBodyEN"/>
      </w:pPr>
      <w:r>
        <w:rPr>
          <w:rStyle w:val="HFUTAbstractLabelENChar"/>
        </w:rPr>
        <w:t xml:space="preserve">Abstract:</w:t>
      </w:r>
      <w:r>
        <w:t xml:space="preserve"> </w:t>
      </w:r>
      <w:r>
        <w:t xml:space="preserve">In edge-based industrial defect detection, low-precision deployment can reduce network-side cost; even after the inference object is fixed, however, the input data path is not uniquely determined, and input-formation and host-device data-movement costs are not automatically eliminated. To make the remaining system relation explicit, this study treats the input data path under a fixed inference object as a separate structural evaluation object and examines how interventions of different scopes correspond to complete end-to-end responses. A path is described by the representation crossing the host-device boundary, the location where the input tensor is formed, the policy for additional packed raw-image host staging, and the execution topology. Hierarchical controlled comparisons separate path-level reconstruction from single-variable staging refinement; performance comparison is admitted only when task correctness is preserved, and mean and tail responses are evaluated separately. Offline replay of the frozen 180-image workload yields identical task-level metrics across all three paths. The path-level reconstruction reaches 2.24× FPS and reduces mean end-to-end latency by 55.45%; the subsequent staging-policy refinement provides an approximately 4% mean improvement but no consistent P95/P99 improvement. Within the tested platform and configuration, path-level structural decisions should therefore be separated from local staging policies, and mean response should not substitute for tail-response evaluation.</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系统评价不仅涉及模型精度，还涉及从数据源取帧、输入形成、模型执行、后处理到结果构造的完整端到端（end-to-end，E2E）响应；仅以网络执行时间代替完整处理响应，无法覆盖模型入口之前的数据组织成本。</w:t>
      </w:r>
    </w:p>
    <w:p>
      <w:pPr>
        <w:pStyle w:val="HFUTBody"/>
      </w:pPr>
      <w:r>
        <w:rPr>
          <w:rFonts w:hint="eastAsia"/>
        </w:rPr>
        <w:t xml:space="preserve">检测模型研究通过轻量化骨干、注意力机制和多尺度特征融合改善精度与复杂度权衡</w:t>
      </w:r>
      <w:r>
        <w:rPr>
          <w:vertAlign w:val="superscript"/>
        </w:rPr>
        <w:t xml:space="preserve">[3–5]</w:t>
      </w:r>
      <w:r>
        <w:rPr>
          <w:rFonts w:hint="eastAsia"/>
        </w:rPr>
        <w:t xml:space="preserve">，YOLOv8也提供了训练、推理和导出链路</w:t>
      </w:r>
      <w:r>
        <w:rPr>
          <w:vertAlign w:val="superscript"/>
        </w:rPr>
        <w:t xml:space="preserve">[6]</w:t>
      </w:r>
      <w:r>
        <w:rPr>
          <w:rFonts w:hint="eastAsia"/>
        </w:rPr>
        <w:t xml:space="preserve">。这类工作定义了检测器及其网络结构，为边缘执行提供推理基础，却不能单独描述模型入口之前的数据组织。</w:t>
      </w:r>
    </w:p>
    <w:p>
      <w:pPr>
        <w:pStyle w:val="HFUTBody"/>
      </w:pPr>
      <w:r>
        <w:rPr>
          <w:rFonts w:hint="eastAsia"/>
        </w:rPr>
        <w:t xml:space="preserve">完整边缘检测链同时包含数据获取、预处理、模型执行、后处理与数据管理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。低精度部署可进一步压缩网络侧计算与存储开销，但量化误差仍须受到任务正确性约束</w:t>
      </w:r>
      <w:r>
        <w:rPr>
          <w:vertAlign w:val="superscript"/>
        </w:rPr>
        <w:t xml:space="preserve">[10,11]</w:t>
      </w:r>
      <w:r>
        <w:rPr>
          <w:rFonts w:hint="eastAsia"/>
        </w:rPr>
        <w:t xml:space="preserve">。本文据此固定检测器、输入、TensorRT</w:t>
      </w:r>
      <w:r>
        <w:t xml:space="preserve"> </w:t>
      </w:r>
      <w:r>
        <w:rPr>
          <w:rFonts w:hint="eastAsia"/>
        </w:rPr>
        <w:t xml:space="preserve">INT8混合精度Engine、工作负载与后处理语义；TensorRT</w:t>
      </w:r>
      <w:r>
        <w:t xml:space="preserve"> </w:t>
      </w:r>
      <w:r>
        <w:rPr>
          <w:rFonts w:hint="eastAsia"/>
        </w:rPr>
        <w:t xml:space="preserve">10.3的传统隐式INT8量化及calibrator接口具有明确版本边界</w:t>
      </w:r>
      <w:r>
        <w:rPr>
          <w:vertAlign w:val="superscript"/>
        </w:rPr>
        <w:t xml:space="preserve">[12]</w:t>
      </w:r>
      <w:r>
        <w:rPr>
          <w:rFonts w:hint="eastAsia"/>
        </w:rPr>
        <w:t xml:space="preserve">，相关部署研究也强调性能比较应维持任务行为</w:t>
      </w:r>
      <w:r>
        <w:rPr>
          <w:vertAlign w:val="superscript"/>
        </w:rPr>
        <w:t xml:space="preserve">[13]</w:t>
      </w:r>
      <w:r>
        <w:rPr>
          <w:rFonts w:hint="eastAsia"/>
        </w:rPr>
        <w:t xml:space="preserve">。然而，固定网络与Engine只定义了推理对象，并不唯一决定其输入数据路径。</w:t>
      </w:r>
    </w:p>
    <w:p>
      <w:pPr>
        <w:pStyle w:val="HFUTBody"/>
      </w:pPr>
      <w:r>
        <w:rPr>
          <w:rFonts w:hint="eastAsia"/>
        </w:rPr>
        <w:t xml:space="preserve">在推理对象固定后，输入路径仍须作出四类结构决策：以何种表示跨越主机—设备边界，模型输入张量在何处形成，额外打包原始图像采用何种主机暂存组织，以及各处理阶段采用何种执行拓扑。Jetson检测部署已有多种端到端组织</w:t>
      </w:r>
      <w:r>
        <w:rPr>
          <w:vertAlign w:val="superscript"/>
        </w:rPr>
        <w:t xml:space="preserve">[14]</w:t>
      </w:r>
      <w:r>
        <w:rPr>
          <w:rFonts w:hint="eastAsia"/>
        </w:rPr>
        <w:t xml:space="preserve">；主机内存类型与异步复制具有特定适用条件</w:t>
      </w:r>
      <w:r>
        <w:rPr>
          <w:vertAlign w:val="superscript"/>
        </w:rPr>
        <w:t xml:space="preserve">[15]</w:t>
      </w:r>
      <w:r>
        <w:rPr>
          <w:rFonts w:hint="eastAsia"/>
        </w:rPr>
        <w:t xml:space="preserve">，集成CPU-GPU系统和GPU内存分配研究表明内存策略响应取决于平台、工作负载和访问方式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。并发或流水化研究则说明执行拓扑本身构成另一类系统选择</w:t>
      </w:r>
      <w:r>
        <w:rPr>
          <w:vertAlign w:val="superscript"/>
        </w:rPr>
        <w:t xml:space="preserve">[19]</w:t>
      </w:r>
      <w:r>
        <w:t xml:space="preserve">。</w:t>
      </w:r>
    </w:p>
    <w:p>
      <w:pPr>
        <w:pStyle w:val="HFUTBody"/>
      </w:pPr>
      <w:r>
        <w:rPr>
          <w:rFonts w:hint="eastAsia"/>
        </w:rPr>
        <w:t xml:space="preserve">上述工作为具体结构选择提供了实现与评价依据，但如果缺少统一的路径描述，不同改变容易被组织为彼此孤立的优化技巧：表示变化、张量形成位置迁移、暂存策略调整和执行拓扑变化可能在一次比较中同时发生，也可能只有一个变量改变。由此产生的核心评价问题不是若干技术“组合得不够”，而是缺少一个能够在正确性保持和统一E2E边界下区分耦合路径级干预与单变量局部细化的评价对象。平均响应之外，尾部响应还是独立的系统性能维度</w:t>
      </w:r>
      <w:r>
        <w:rPr>
          <w:vertAlign w:val="superscript"/>
        </w:rPr>
        <w:t xml:space="preserve">[20]</w:t>
      </w:r>
      <w:r>
        <w:rPr>
          <w:rFonts w:hint="eastAsia"/>
        </w:rPr>
        <w:t xml:space="preserve">；Jetson平台比较具有配置依赖性</w:t>
      </w:r>
      <w:r>
        <w:rPr>
          <w:vertAlign w:val="superscript"/>
        </w:rPr>
        <w:t xml:space="preserve">[21]</w:t>
      </w:r>
      <w:r>
        <w:rPr>
          <w:rFonts w:hint="eastAsia"/>
        </w:rPr>
        <w:t xml:space="preserve">，缺陷检测基准也要求明确数据和评价边界</w:t>
      </w:r>
      <w:r>
        <w:rPr>
          <w:vertAlign w:val="superscript"/>
        </w:rPr>
        <w:t xml:space="preserve">[22]</w:t>
      </w:r>
      <w:r>
        <w:rPr>
          <w:rFonts w:hint="eastAsia"/>
        </w:rPr>
        <w:t xml:space="preserve">。因此，结构变量的干预范围和响应维度均需被显式控制，而不能事后由某个API或组件名称代替。</w:t>
      </w:r>
    </w:p>
    <w:p>
      <w:pPr>
        <w:pStyle w:val="HFUTBody"/>
        <w:spacing w:before="0" w:after="0" w:line="360" w:lineRule="atLeast"/>
      </w:pPr>
      <w:r>
        <w:rPr>
          <w:rFonts w:hint="eastAsia"/>
        </w:rPr>
        <w:t xml:space="preserve">为解决这一评价对象与知识组织上的缺口，本文将固定推理对象下的输入数据路径表示为结构描述符</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并以任务正确性保持作为性能比较的逻辑准入条件。在此基础上提出两个研究问题：其一，在固定推理对象、工作负载和任务语义时，路径级耦合重构对完整E2E平均响应产生何种影响；其二，在其余结构变量、GPU预处理语义及下游结构固定时，主机暂存策略的单变量变化是否产生额外平均响应，以及P95/P99是否呈现一致改善。两项问题的形式化表述见1.3节。</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使两级比较能够按受控结构变量范围区分；2）在任务正确性保持条件下，分别评价路径级耦合重构和暂存策略级细化，联合给出E2E均值、吞吐率及P95/P99响应，并形成受限于本文平台与配置的路径评价原则。</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固定推理对象只约束网络执行及任务语义，并不唯一确定模型输入如何到达Engine。其输入路径仍须决定四类结构关系：跨越主机—设备边界的表示、模型输入张量的形成位置、任何额外打包原始图像的主机暂存组织，以及各阶段的执行拓扑。基于这四类仍未被固定的决策，将一条输入数据路径表示为</w:t>
      </w:r>
    </w:p>
    <w:p>
      <w:pPr>
        <w:pStyle w:val="HFUTEquation"/>
        <w:tabs>
          <w:tab w:val="center" w:pos="2205"/>
          <w:tab w:val="right" w:pos="4410"/>
        </w:tabs>
        <w:jc w:val="left"/>
      </w:pPr>
      <w:r>
        <w:tab/>
      </w:r>
      <ns2:oMath>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r>
          <w:rPr>
            <w:rFonts w:ascii="Times New Roman" w:hAnsi="Times New Roman" w:eastAsia="宋体"/>
            <w:sz w:val="21"/>
            <w:szCs w:val="21"/>
          </w:rPr>
          <ns2:t>R</ns2:t>
        </ns2:r>
        <ns2:r>
          <ns2:rPr>
            <ns2:sty ns2:val="p"/>
          </ns2:rPr>
          <w:rPr>
            <w:rFonts w:ascii="Times New Roman" w:hAnsi="Times New Roman" w:eastAsia="宋体"/>
            <w:sz w:val="21"/>
            <w:szCs w:val="21"/>
          </w:rPr>
          <ns2:t>,</ns2:t>
        </ns2:r>
        <ns2:r>
          <w:rPr>
            <w:rFonts w:ascii="Times New Roman" w:hAnsi="Times New Roman" w:eastAsia="宋体"/>
            <w:sz w:val="21"/>
            <w:szCs w:val="21"/>
          </w:rPr>
          <ns2:t>F</ns2:t>
        </ns2:r>
        <ns2:r>
          <ns2:rPr>
            <ns2:sty ns2:val="p"/>
          </ns2:rPr>
          <w:rPr>
            <w:rFonts w:ascii="Times New Roman" w:hAnsi="Times New Roman" w:eastAsia="宋体"/>
            <w:sz w:val="21"/>
            <w:szCs w:val="21"/>
          </w:rPr>
          <ns2:t>,</ns2:t>
        </ns2:r>
        <ns2:r>
          <w:rPr>
            <w:rFonts w:ascii="Times New Roman" w:hAnsi="Times New Roman" w:eastAsia="宋体"/>
            <w:sz w:val="21"/>
            <w:szCs w:val="21"/>
          </w:rPr>
          <ns2:t>M</ns2:t>
        </ns2:r>
        <ns2:r>
          <ns2:rPr>
            <ns2:sty ns2:val="p"/>
          </ns2:rPr>
          <w:rPr>
            <w:rFonts w:ascii="Times New Roman" w:hAnsi="Times New Roman" w:eastAsia="宋体"/>
            <w:sz w:val="21"/>
            <w:szCs w:val="21"/>
          </w:rPr>
          <ns2:t>,</ns2:t>
        </ns2:r>
        <ns2:r>
          <w:rPr>
            <w:rFonts w:ascii="Times New Roman" w:hAnsi="Times New Roman" w:eastAsia="宋体"/>
            <w:sz w:val="21"/>
            <w:szCs w:val="21"/>
          </w:rPr>
          <ns2:t>E</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（1）</w:t>
      </w:r>
    </w:p>
    <w:p>
      <w:pPr>
        <w:pStyle w:val="HFUTBody"/>
        <w:spacing w:before="0" w:after="0" w:line="360" w:lineRule="atLeast"/>
      </w:pPr>
      <w:r>
        <w:rPr>
          <w:rFonts w:hint="eastAsia"/>
        </w:rPr>
        <w:t xml:space="preserve">式（1）中，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的实现映射，而非额外引入的独立控制变量。该描述符只用于识别比较中发生改变与保持受控的结构变量，不是延迟预测模型，也不用于分解各变量的延迟贡献。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tabs>
          <w:tab w:val="center" w:pos="2205"/>
          <w:tab w:val="right" w:pos="4410"/>
        </w:tabs>
        <w:jc w:val="left"/>
      </w:pPr>
      <w:r>
        <w:tab/>
      </w:r>
      <ns2:oMath>
        <ns2:r>
          <w:rPr>
            <w:rFonts w:ascii="Times New Roman" w:hAnsi="Times New Roman" w:eastAsia="宋体"/>
            <w:sz w:val="21"/>
            <w:szCs w:val="21"/>
          </w:rPr>
          <ns2:t>B</ns2:t>
        </ns2:r>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H</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W</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C</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s</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（2）</w:t>
      </w:r>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keepNext/>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w:rPr>
                      <w:rFonts w:ascii="Times New Roman" w:hAnsi="Times New Roman" w:eastAsia="宋体"/>
                      <w:sz w:val="15"/>
                      <w:szCs w:val="15"/>
                    </w:rPr>
                    <ns2:t>P</ns2:t>
                  </ns2:r>
                </ns2:e>
                <ns2:sub>
                  <ns2:r>
                    <w:rPr>
                      <w:rFonts w:ascii="Times New Roman" w:hAnsi="Times New Roman" w:eastAsia="宋体"/>
                      <w:sz w:val="15"/>
                      <w:szCs w:val="15"/>
                    </w:rP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w:rPr>
                      <w:rFonts w:ascii="Times New Roman" w:hAnsi="Times New Roman" w:eastAsia="宋体"/>
                      <w:sz w:val="15"/>
                      <w:szCs w:val="15"/>
                    </w:rPr>
                    <ns2:t>P</ns2:t>
                  </ns2:r>
                </ns2:e>
                <ns2:sub>
                  <ns2:r>
                    <w:rPr>
                      <w:rFonts w:ascii="Times New Roman" w:hAnsi="Times New Roman" w:eastAsia="宋体"/>
                      <w:sz w:val="15"/>
                      <w:szCs w:val="15"/>
                    </w:rP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w:rPr>
                      <w:rFonts w:ascii="Times New Roman" w:hAnsi="Times New Roman" w:eastAsia="宋体"/>
                      <w:sz w:val="15"/>
                      <w:szCs w:val="15"/>
                    </w:rPr>
                    <ns2:t>P</ns2:t>
                  </ns2:r>
                </ns2:e>
                <ns2:sub>
                  <ns2:r>
                    <w:rPr>
                      <w:rFonts w:ascii="Times New Roman" w:hAnsi="Times New Roman" w:eastAsia="宋体"/>
                      <w:sz w:val="15"/>
                      <w:szCs w:val="15"/>
                    </w:rP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w:rPr>
                  <w:rFonts w:ascii="Times New Roman" w:hAnsi="Times New Roman" w:eastAsia="宋体"/>
                  <w:sz w:val="15"/>
                  <w:szCs w:val="15"/>
                </w:rP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w:rPr>
                  <w:rFonts w:ascii="Times New Roman" w:hAnsi="Times New Roman" w:eastAsia="宋体"/>
                  <w:sz w:val="15"/>
                  <w:szCs w:val="15"/>
                </w:rP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w:rPr>
                  <w:rFonts w:ascii="Times New Roman" w:hAnsi="Times New Roman" w:eastAsia="宋体"/>
                  <w:sz w:val="15"/>
                  <w:szCs w:val="15"/>
                </w:rP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w:rPr>
                  <w:rFonts w:ascii="Times New Roman" w:hAnsi="Times New Roman" w:eastAsia="宋体"/>
                  <w:sz w:val="15"/>
                  <w:szCs w:val="15"/>
                </w:rPr>
                <ns2:t>B</ns2:t>
              </ns2:r>
              <ns2:r>
                <ns2:rPr>
                  <ns2:sty ns2:val="p"/>
                </ns2:rPr>
                <w:rPr>
                  <w:rFonts w:ascii="Times New Roman" w:hAnsi="Times New Roman" w:eastAsia="宋体"/>
                  <w:sz w:val="15"/>
                  <w:szCs w:val="15"/>
                </w:rPr>
                <ns2:t>(</ns2:t>
              </ns2:r>
              <ns2:r>
                <w:rPr>
                  <w:rFonts w:ascii="Times New Roman" w:hAnsi="Times New Roman" w:eastAsia="宋体"/>
                  <w:sz w:val="15"/>
                  <w:szCs w:val="15"/>
                </w:rPr>
                <ns2:t>P</ns2:t>
              </ns2:r>
              <ns2:r>
                <ns2:rPr>
                  <ns2:sty ns2:val="p"/>
                </ns2:rPr>
                <w:rPr>
                  <w:rFonts w:ascii="Times New Roman" w:hAnsi="Times New Roman" w:eastAsia="宋体"/>
                  <w:sz w:val="15"/>
                  <w:szCs w:val="15"/>
                </w:rPr>
                <ns2:t>)</ns2:t>
              </ns2:r>
            </ns2:oMath>
            <w:r>
              <w:t xml:space="preserve">/(MB/frame)</w:t>
            </w:r>
          </w:p>
        </w:tc>
        <w:tc>
          <w:tcPr>
            <w:tcW w:w="1957" w:type="dxa"/>
            <w:tcBorders>
              <w:top w:val="nil"/>
              <w:left w:val="nil"/>
              <w:bottom w:val="nil"/>
              <w:right w:val="nil"/>
            </w:tcBorders>
          </w:tcPr>
          <w:p>
            <w:pPr>
              <w:pStyle w:val="HFUTTableContent"/>
              <w:ind w:left="0" w:right="0" w:firstLine="0"/>
              <w:jc w:val="center"/>
            </w:pPr>
            <w:r>
              <w:t xml:space="preserve">4.9152</w:t>
            </w:r>
          </w:p>
        </w:tc>
        <w:tc>
          <w:tcPr>
            <w:tcW w:w="1957" w:type="dxa"/>
            <w:tcBorders>
              <w:top w:val="nil"/>
              <w:left w:val="nil"/>
              <w:bottom w:val="nil"/>
              <w:right w:val="nil"/>
            </w:tcBorders>
          </w:tcPr>
          <w:p>
            <w:pPr>
              <w:pStyle w:val="HFUTTableContent"/>
              <w:ind w:left="0" w:right="0" w:firstLine="0"/>
              <w:jc w:val="center"/>
            </w:pPr>
            <w:r>
              <w:t xml:space="preserve">0.1200</w:t>
            </w:r>
          </w:p>
        </w:tc>
        <w:tc>
          <w:tcPr>
            <w:tcW w:w="1958" w:type="dxa"/>
            <w:tcBorders>
              <w:top w:val="nil"/>
              <w:left w:val="nil"/>
              <w:bottom w:val="nil"/>
              <w:right w:val="nil"/>
            </w:tcBorders>
          </w:tcPr>
          <w:p>
            <w:pPr>
              <w:pStyle w:val="HFUTTableContent"/>
              <w:ind w:left="0" w:right="0" w:firstLine="0"/>
              <w:jc w:val="center"/>
            </w:pPr>
            <w:r>
              <w:t xml:space="preserve">0.1200</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w:rPr>
                  <w:rFonts w:ascii="Times New Roman" w:hAnsi="Times New Roman" w:eastAsia="宋体"/>
                  <w:sz w:val="15"/>
                  <w:szCs w:val="15"/>
                </w:rP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pPr>
      <w:r>
        <w:rPr>
          <w:rFonts w:hint="eastAsia"/>
        </w:rPr>
        <w:t xml:space="preserve">如图1所示，干预层级依据受控结构变量的范围划分：</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保持不变，属于耦合的路径级重构；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保持不变时只改变</w:t>
      </w:r>
      <ns2:oMath>
        <ns2:r>
          <ns2:t>M</ns2:t>
        </ns2:r>
      </ns2:oMath>
      <w:r>
        <w:rPr>
          <w:rFonts w:hint="eastAsia"/>
        </w:rPr>
        <w:t xml:space="preserve">，属于局部暂存策略细化。该层级不预设收益大小、组件重要性或瓶颈关系，也不构成阶段级因果分解。</w:t>
      </w:r>
    </w:p>
    <w:tbl>
      <w:tblPr>
        <w:tblpPr w:leftFromText="0" w:rightFromText="0" w:topFromText="0" w:bottomFromText="0" w:vertAnchor="margin" w:horzAnchor="margin" w:tblpXSpec="center" w:tblpYSpec="top"/>
        <w:tblOverlap w:val="never"/>
        <w:tblW w:w="9071"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1"/>
      </w:tblPr>
      <w:tblGrid>
        <w:gridCol w:w="9071"/>
      </w:tblGrid>
      <w:tr>
        <w:trPr>
          <w:cantSplit/>
        </w:trPr>
        <w:tc>
          <w:tcPr>
            <w:tcW w:w="9071"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tc>
      </w:tr>
    </w:tbl>
    <w:p>
      <w:pPr>
        <w:pStyle w:val="HFUTBody"/>
      </w:pPr>
      <w:r>
        <w:rPr>
          <w:rFonts w:hint="eastAsia"/>
        </w:rPr>
        <w:t xml:space="preserve">性能响应进入路径比较之前还必须满足正确性条件：三条路径使用同一工作负载、评价器、模型/Engine、输入和后处理语义；V2R通过预定义的任务级核验，V3R由同一评价器确定性重算；汇总任务指标一致，类别级AP50与Recall最大路径间差异为0。该准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tabs>
          <w:tab w:val="center" w:pos="2205"/>
          <w:tab w:val="right" w:pos="4410"/>
        </w:tabs>
        <w:jc w:val="left"/>
      </w:pPr>
      <w:r>
        <w:tab/>
      </w:r>
      <ns2:oMath>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E</ns2:t>
            </ns2:r>
            <ns2:r>
              <ns2:rPr>
                <ns2:sty ns2:val="p"/>
              </ns2:rPr>
              <w:rPr>
                <w:rFonts w:ascii="Times New Roman" w:hAnsi="Times New Roman" w:eastAsia="宋体"/>
                <w:sz w:val="21"/>
                <w:szCs w:val="21"/>
              </w:rPr>
              <ns2:t>2</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p</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e</ns2:t>
            </ns2:r>
            <ns2:r>
              <ns2:rPr>
                <ns2:no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i</ns2:t>
            </ns2:r>
            <ns2:r>
              <ns2:rPr>
                <ns2:sty ns2:val="p"/>
              </ns2:rPr>
              <w:rPr>
                <w:rFonts w:ascii="Times New Roman" w:hAnsi="Times New Roman" w:eastAsia="宋体"/>
                <w:sz w:val="21"/>
                <w:szCs w:val="21"/>
              </w:rPr>
              <ns2:t>n</ns2:t>
            </ns2:r>
            <ns2:r>
              <ns2:rPr>
                <ns2:sty ns2:val="p"/>
              </ns2:rPr>
              <w:rPr>
                <w:rFonts w:ascii="Times New Roman" w:hAnsi="Times New Roman" w:eastAsia="宋体"/>
                <w:sz w:val="21"/>
                <w:szCs w:val="21"/>
              </w:rPr>
              <ns2:t>k</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o</ns2:t>
            </ns2:r>
            <ns2:r>
              <ns2:rPr>
                <ns2:sty ns2:val="p"/>
              </ns2:rPr>
              <w:rPr>
                <w:rFonts w:ascii="Times New Roman" w:hAnsi="Times New Roman" w:eastAsia="宋体"/>
                <w:sz w:val="21"/>
                <w:szCs w:val="21"/>
              </w:rPr>
              <ns2:t>u</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c</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（3）</w:t>
      </w:r>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的主机张量路径，其路径语义是由主机形成模型输入，并由FP32</w:t>
      </w:r>
      <w:r>
        <w:t xml:space="preserve"> </w:t>
      </w:r>
      <w:r>
        <w:rPr>
          <w:rFonts w:hint="eastAsia"/>
        </w:rPr>
        <w:t xml:space="preserve">NCHW张量跨越主机—设备边界。该路径中</w:t>
      </w:r>
      <ns2:oMath>
        <ns2:r>
          <ns2:t>F</ns2:t>
        </ns2:r>
      </ns2:oMath>
      <w:r>
        <w:rPr>
          <w:rFonts w:hint="eastAsia"/>
        </w:rPr>
        <w:t xml:space="preserve">为主机、</w:t>
      </w:r>
      <ns2:oMath>
        <ns2:r>
          <ns2:t>R</ns2:t>
        </ns2:r>
      </ns2:oMath>
      <w:r>
        <w:rPr>
          <w:rFonts w:hint="eastAsia"/>
        </w:rPr>
        <w:t xml:space="preserve">为FP32</w:t>
      </w:r>
      <w:r>
        <w:t xml:space="preserve"> NCHW、</w:t>
      </w:r>
      <ns2:oMath>
        <ns2:r>
          <ns2:t>M</ns2:t>
        </ns2:r>
      </ns2:oMath>
      <w:r>
        <w:rPr>
          <w:rFonts w:hint="eastAsia"/>
        </w:rPr>
        <w:t xml:space="preserve">无额外打包原始图像暂存，</w:t>
      </w:r>
      <ns2:oMath>
        <ns2:r>
          <ns2:t>E</ns2:t>
        </ns2:r>
      </ns2:oMath>
      <w:r>
        <w:rPr>
          <w:rFonts w:hint="eastAsia"/>
        </w:rPr>
        <w:t xml:space="preserve">保持为单帧顺序执行。</w:t>
      </w:r>
    </w:p>
    <w:p>
      <w:pPr>
        <w:pStyle w:val="HFUTBody"/>
        <w:spacing w:before="0" w:after="0" w:line="360" w:lineRule="atLeast"/>
      </w:pPr>
      <w:r>
        <w:rPr>
          <w:rFonts w:hint="eastAsia"/>
        </w:rPr>
        <w:t xml:space="preserve">作为上述结构语义的实现映射，数据源解码为BGR图像后，CPU/OpenCV采用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H2D复制。这些具体操作用于复现</w:t>
      </w:r>
      <ns2:oMath>
        <ns2:sSub>
          <ns2:e>
            <ns2:r>
              <ns2:t>P</ns2:t>
            </ns2:r>
          </ns2:e>
          <ns2:sub>
            <ns2:r>
              <ns2:t>0</ns2:t>
            </ns2:r>
          </ns2:sub>
        </ns2:sSub>
      </ns2:oMath>
      <w:r>
        <w:rPr>
          <w:rFonts w:hint="eastAsia"/>
        </w:rPr>
        <w:t xml:space="preserve">，不作为独立研究对象。</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的设备张量形成路径，其路径语义是packed</w:t>
      </w:r>
      <w:r>
        <w:t xml:space="preserve"> BGR </w:t>
      </w:r>
      <w:r>
        <w:rPr>
          <w:rFonts w:hint="eastAsia"/>
        </w:rPr>
        <w:t xml:space="preserve">uint8表示跨越边界，并在设备侧形成TensorRT输入。相对</w:t>
      </w:r>
      <ns2:oMath>
        <ns2:sSub>
          <ns2:e>
            <ns2:r>
              <ns2:t>P</ns2:t>
            </ns2:r>
          </ns2:e>
          <ns2:sub>
            <ns2:r>
              <ns2:t>0</ns2:t>
            </ns2:r>
          </ns2:sub>
        </ns2:sSub>
      </ns2:oMath>
      <w:r>
        <w:rPr>
          <w:rFonts w:hint="eastAsia"/>
        </w:rPr>
        <w:t xml:space="preserve">，</w:t>
      </w:r>
      <ns2:oMath>
        <ns2:r>
          <ns2:t>R</ns2:t>
        </ns2:r>
      </ns2:oMath>
      <w:r>
        <w:rPr>
          <w:rFonts w:hint="eastAsia"/>
        </w:rPr>
        <w:t xml:space="preserve">与</w:t>
      </w:r>
      <ns2:oMath>
        <ns2:r>
          <ns2:t>F</ns2:t>
        </ns2:r>
      </ns2:oMath>
      <w:r>
        <w:rPr>
          <w:rFonts w:hint="eastAsia"/>
        </w:rPr>
        <w:t xml:space="preserve">发生变化，</w:t>
      </w:r>
      <ns2:oMath>
        <ns2:r>
          <ns2:t>M</ns2:t>
        </ns2:r>
      </ns2:oMath>
      <w:r>
        <w:rPr>
          <w:rFonts w:hint="eastAsia"/>
        </w:rPr>
        <w:t xml:space="preserve">被引入为pageable暂存，而</w:t>
      </w:r>
      <ns2:oMath>
        <ns2:r>
          <ns2:t>E</ns2:t>
        </ns2:r>
      </ns2:oMath>
      <w:r>
        <w:rPr>
          <w:rFonts w:hint="eastAsia"/>
        </w:rPr>
        <w:t xml:space="preserve">仍为单帧顺序执行。</w:t>
      </w:r>
    </w:p>
    <w:p>
      <w:pPr>
        <w:pStyle w:val="HFUTBody"/>
        <w:spacing w:before="0" w:after="0" w:line="360" w:lineRule="atLeast"/>
      </w:pPr>
      <w:r>
        <w:rPr>
          <w:rFonts w:hint="eastAsia"/>
        </w:rPr>
        <w:t xml:space="preserve">作为该结构变化的实现映射，冻结工作负载的200×200源图像在主机侧形成连续的600</w:t>
      </w:r>
      <w:r>
        <w:t xml:space="preserve"> </w:t>
      </w:r>
      <w:r>
        <w:rPr>
          <w:rFonts w:hint="eastAsia"/>
        </w:rPr>
        <w:t xml:space="preserve">B行宽packed</w:t>
      </w:r>
      <w:r>
        <w:t xml:space="preserve"> BGR </w:t>
      </w:r>
      <w:r>
        <w:rPr>
          <w:rFonts w:hint="eastAsia"/>
        </w:rPr>
        <w:t xml:space="preserve">pageable暂存，经二维H2D复制后，由设备侧融合预处理直接写入TensorRT管理的FP32</w:t>
      </w:r>
      <w:r>
        <w:t xml:space="preserve"> </w:t>
      </w:r>
      <w:r>
        <w:rPr>
          <w:rFonts w:hint="eastAsia"/>
        </w:rPr>
        <w:t xml:space="preserve">NCHW输入。二维复制采用</w:t>
      </w:r>
      <w:r>
        <w:rPr>
          <w:rStyle w:val="VerbatimChar"/>
        </w:rPr>
        <w:t xml:space="preserve">cudaMemcpy2DAsync</w:t>
      </w:r>
      <w:r>
        <w:rPr>
          <w:rFonts w:hint="eastAsia"/>
        </w:rPr>
        <w:t xml:space="preserve">；融合处理完成resize、padding、BGR→RGB、归一化与布局变换。该API及融合核函数用于实现</w:t>
      </w:r>
      <ns2:oMath>
        <ns2:sSub>
          <ns2:e>
            <ns2:r>
              <ns2:t>P</ns2:t>
            </ns2:r>
          </ns2:e>
          <ns2:sub>
            <ns2:r>
              <ns2:t>2</ns2:t>
            </ns2:r>
          </ns2:sub>
        </ns2:sSub>
      </ns2:oMath>
      <w:r>
        <w:rPr>
          <w:rFonts w:hint="eastAsia"/>
        </w:rPr>
        <w:t xml:space="preserve">，本身不是路径级研究贡献。</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的局部暂存策略细化，其路径语义是在V2R基础上只将</w:t>
      </w:r>
      <ns2:oMath>
        <ns2:r>
          <ns2:t>M</ns2:t>
        </ns2:r>
      </ns2:oMath>
      <w:r>
        <w:rPr>
          <w:rFonts w:hint="eastAsia"/>
        </w:rPr>
        <w:t xml:space="preserve">由pageable改为pinned。跨边界表示</w:t>
      </w:r>
      <ns2:oMath>
        <ns2:r>
          <ns2:t>R</ns2:t>
        </ns2:r>
      </ns2:oMath>
      <w:r>
        <w:rPr>
          <w:rFonts w:hint="eastAsia"/>
        </w:rPr>
        <w:t xml:space="preserve">、张量形成位置</w:t>
      </w:r>
      <ns2:oMath>
        <ns2:r>
          <ns2:t>F</ns2:t>
        </ns2:r>
      </ns2:oMath>
      <w:r>
        <w:rPr>
          <w:rFonts w:hint="eastAsia"/>
        </w:rPr>
        <w:t xml:space="preserve">和执行拓扑</w:t>
      </w:r>
      <ns2:oMath>
        <ns2:r>
          <ns2:t>E</ns2:t>
        </ns2:r>
      </ns2:oMath>
      <w:r>
        <w:rPr>
          <w:rFonts w:hint="eastAsia"/>
        </w:rPr>
        <w:t xml:space="preserve">均保持不变，GPU融合预处理语义、二维复制拓扑、CUDA</w:t>
      </w:r>
      <w:r>
        <w:t xml:space="preserve"> </w:t>
      </w:r>
      <w:r>
        <w:rPr>
          <w:rFonts w:hint="eastAsia"/>
        </w:rPr>
        <w:t xml:space="preserve">stream、Engine和全部下游处理也受到控制。</w:t>
      </w:r>
    </w:p>
    <w:p>
      <w:pPr>
        <w:pStyle w:val="HFUTBody"/>
        <w:spacing w:before="0" w:after="0" w:line="360" w:lineRule="atLeast"/>
      </w:pPr>
      <w:r>
        <w:rPr>
          <w:rFonts w:hint="eastAsia"/>
        </w:rPr>
        <w:t xml:space="preserve">作为</w:t>
      </w:r>
      <ns2:oMath>
        <ns2:r>
          <ns2:t>M</ns2:t>
        </ns2:r>
        <ns2:r>
          <ns2:rPr>
            <ns2:sty ns2:val="p"/>
          </ns2:rPr>
          <ns2:t>=</ns2:t>
        </ns2:r>
        <ns2:r>
          <ns2:rPr>
            <ns2:sty ns2:val="p"/>
          </ns2:rPr>
          <ns2:t>p</ns2:t>
        </ns2:r>
        <ns2:r>
          <ns2:rPr>
            <ns2:sty ns2:val="p"/>
          </ns2:rPr>
          <ns2:t>i</ns2:t>
        </ns2:r>
        <ns2:r>
          <ns2:rPr>
            <ns2:sty ns2:val="p"/>
          </ns2:rPr>
          <ns2:t>n</ns2:t>
        </ns2:r>
        <ns2:r>
          <ns2:rPr>
            <ns2:sty ns2:val="p"/>
          </ns2:rPr>
          <ns2:t>n</ns2:t>
        </ns2:r>
        <ns2:r>
          <ns2:rPr>
            <ns2:sty ns2:val="p"/>
          </ns2:rPr>
          <ns2:t>e</ns2:t>
        </ns2:r>
        <ns2:r>
          <ns2:rPr>
            <ns2:sty ns2:val="p"/>
          </ns2:rPr>
          <ns2:t>d</ns2:t>
        </ns2:r>
      </ns2:oMath>
      <w:r>
        <w:rPr>
          <w:rFonts w:hint="eastAsia"/>
        </w:rPr>
        <w:t xml:space="preserve">的实现映射，V3R使用</w:t>
      </w:r>
      <w:r>
        <w:rPr>
          <w:rStyle w:val="VerbatimChar"/>
        </w:rPr>
        <w:t xml:space="preserve">cudaHostAlloc</w:t>
      </w:r>
      <w:r>
        <w:rPr>
          <w:rFonts w:hint="eastAsia"/>
        </w:rPr>
        <w:t xml:space="preserve">建立跨帧复用的pinned暂存。该分配API不改变复制内容和每帧有效几何，也不构成独立于</w:t>
      </w:r>
      <ns2:oMath>
        <ns2:r>
          <ns2:t>M</ns2:t>
        </ns2:r>
      </ns2:oMath>
      <w:r>
        <w:rPr>
          <w:rFonts w:hint="eastAsia"/>
        </w:rPr>
        <w:t xml:space="preserve">的结构变量。</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keepNext/>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keepNext/>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Precision / Recall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2"/>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5575190"/>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2699999" cy="5575190"/>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tc>
      </w:tr>
    </w:tbl>
    <w:p>
      <w:pPr>
        <w:pStyle w:val="HFUTBody"/>
        <w:spacing w:before="0" w:after="0" w:line="360" w:lineRule="atLeast"/>
      </w:pPr>
      <w:r>
        <w:rPr>
          <w:rFonts w:hint="eastAsia"/>
        </w:rPr>
        <w:t xml:space="preserve">从结构上看，这项观测是耦合路径级干预的完整E2E响应：跨边界表示由FP32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保持不变。它回答的是重构后完整路径如何响应，而不是各变化项分别贡献多少。</w:t>
      </w:r>
    </w:p>
    <w:p>
      <w:pPr>
        <w:pStyle w:val="HFUTBody"/>
        <w:spacing w:before="0" w:after="0" w:line="360" w:lineRule="atLeast"/>
      </w:pPr>
      <w:r>
        <w:rPr>
          <w:rFonts w:hint="eastAsia"/>
        </w:rPr>
        <w:t xml:space="preserve">式（2）给出的名义输入复制载荷由4.9152</w:t>
      </w:r>
      <w:r>
        <w:t xml:space="preserve"> </w:t>
      </w:r>
      <w:r>
        <w:rPr>
          <w:rFonts w:hint="eastAsia"/>
        </w:rPr>
        <w:t xml:space="preserve">MB/frame降至0.1200</w:t>
      </w:r>
      <w:r>
        <w:t xml:space="preserve"> </w:t>
      </w:r>
      <w:r>
        <w:rPr>
          <w:rFonts w:hint="eastAsia"/>
        </w:rPr>
        <w:t xml:space="preserve">MB/frame，形成40.96×结构对比；该量只是重构路径的一项表示派生属性，不是实测带宽、流量、H2D时间或独立控制变量。由于未进行阶段插桩或总线/DRAM流量测量，2.24×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路径，不能分解为GPU预处理、H2D、CUDA核函数或表示变化的贡献，也不能解释为40.96×传输加速。</w:t>
      </w:r>
    </w:p>
    <w:p>
      <w:pPr>
        <w:pStyle w:val="HFUTHeading2"/>
      </w:pPr>
      <w:r>
        <w:t xml:space="preserve">4.3 </w:t>
      </w:r>
      <w:r>
        <w:rPr>
          <w:rFonts w:hint="eastAsia"/>
        </w:rPr>
        <w:t xml:space="preserve">暂存策略的增量响应</w:t>
      </w:r>
    </w:p>
    <w:p>
      <w:pPr>
        <w:pStyle w:val="HFUTBody"/>
      </w:pPr>
      <w:r>
        <w:rPr>
          <w:rFonts w:hint="eastAsia"/>
        </w:rPr>
        <w:t xml:space="preserve">V3R平均FPS为127.097，平均E2E延迟为7.812</w:t>
      </w:r>
      <w:r>
        <w:t xml:space="preserve"> </w:t>
      </w:r>
      <w:r>
        <w:rPr>
          <w:rFonts w:hint="eastAsia"/>
        </w:rPr>
        <w:t xml:space="preserve">ms；相对V2R，FPS提高4.0738%（论文值+4.07%），平均延迟降低4.0349%（论文值−4.03%）。</w:t>
      </w:r>
    </w:p>
    <w:p>
      <w:pPr>
        <w:pStyle w:val="HFUTBody"/>
        <w:spacing w:before="0" w:after="0" w:line="360" w:lineRule="atLeast"/>
      </w:pPr>
      <w:r>
        <w:rPr>
          <w:rFonts w:hint="eastAsia"/>
        </w:rPr>
        <w:t xml:space="preserve">这项观测对应</w:t>
      </w:r>
      <ns2:oMath>
        <ns2:r>
          <ns2:t>M</ns2:t>
        </ns2:r>
      </ns2:oMath>
      <w:r>
        <w:rPr>
          <w:rFonts w:hint="eastAsia"/>
        </w:rPr>
        <w:t xml:space="preserve">的单变量局部细化：</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、GPU预处理语义、Engine、stream和下游结构均保持不变，只把额外打包原始图像的主机暂存由pageable改为pinned。在受测系统中，其平均响应幅度明显小于此前同时改变</w:t>
      </w:r>
      <ns2:oMath>
        <ns2:r>
          <ns2:t>R</ns2:t>
        </ns2:r>
        <ns2:r>
          <ns2:rPr>
            <ns2:sty ns2:val="p"/>
          </ns2:rPr>
          <ns2:t>,</ns2:t>
        </ns2:r>
        <ns2:r>
          <ns2:t>F</ns2:t>
        </ns2:r>
        <ns2:r>
          <ns2:rPr>
            <ns2:sty ns2:val="p"/>
          </ns2:rPr>
          <ns2:t>,</ns2:t>
        </ns2:r>
        <ns2:r>
          <ns2:t>M</ns2:t>
        </ns2:r>
      </ns2:oMath>
      <w:r>
        <w:rPr>
          <w:rFonts w:hint="eastAsia"/>
        </w:rPr>
        <w:t xml:space="preserve">的耦合路径级干预。</w:t>
      </w:r>
    </w:p>
    <w:p>
      <w:pPr>
        <w:pStyle w:val="HFUTBody"/>
      </w:pPr>
      <w:r>
        <w:rPr>
          <w:rFonts w:hint="eastAsia"/>
        </w:rPr>
        <w:t xml:space="preserve">上述幅度差异仅描述本文受控系统内两种干预范围的响应，不表示组件重要性，也不推出约4%的改善是pinned内存在其他平台、模型或负载下的普遍收益。</w:t>
      </w:r>
    </w:p>
    <w:p>
      <w:pPr>
        <w:pStyle w:val="HFUTHeading2"/>
      </w:pPr>
      <w:r>
        <w:t xml:space="preserve">4.4 </w:t>
      </w:r>
      <w:r>
        <w:rPr>
          <w:rFonts w:hint="eastAsia"/>
        </w:rPr>
        <w:t xml:space="preserve">平均性能与尾延迟响应</w:t>
      </w:r>
    </w:p>
    <w:p>
      <w:pPr>
        <w:pStyle w:val="HFUTBody"/>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ms，分布见图3。V3R相对V2R的合并样本P95变化为+0.1514%（论文值+0.15%），P99变化为−0.1184%（论文值−0.12%）。</w:t>
      </w:r>
    </w:p>
    <w:p>
      <w:pPr>
        <w:pStyle w:val="HFUTBody"/>
      </w:pPr>
      <w:r>
        <w:rPr>
          <w:rFonts w:hint="eastAsia"/>
        </w:rPr>
        <w:t xml:space="preserve">进程级均值范围均不重叠，说明平均响应在5个独立进程中重复观察到，而非仅由单一异常进程形成；与此同时，P95与P99变化方向相反，未形成一致的尾延迟改善证据。两类观测共同表明，平均响应和尾延迟是不同评价维度，局部策略在本实验中改善均值并不意味着尾部指标同步改善。</w:t>
      </w:r>
    </w:p>
    <w:p>
      <w:pPr>
        <w:pStyle w:val="HFUTBody"/>
      </w:pPr>
      <w:r>
        <w:rPr>
          <w:rFonts w:hint="eastAsia"/>
        </w:rPr>
        <w:t xml:space="preserve">不同路径的进程独立且不配对，本文不据此进行显著性推断；现有数据也不支持“pinned改善稳定性”的结论。</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3"/>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4380468"/>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2699999" cy="4380468"/>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tc>
      </w:tr>
    </w:tbl>
    <w:p>
      <w:pPr>
        <w:pStyle w:val="HFUTHeading2"/>
      </w:pPr>
      <w:r>
        <w:t xml:space="preserve">4.5 </w:t>
      </w:r>
      <w:r>
        <w:rPr>
          <w:rFonts w:hint="eastAsia"/>
        </w:rPr>
        <w:t xml:space="preserve">解释边界与局限性</w:t>
      </w:r>
    </w:p>
    <w:p>
      <w:pPr>
        <w:pStyle w:val="HFUTBody"/>
      </w:pPr>
      <w:r>
        <w:rPr>
          <w:rFonts w:hint="eastAsia"/>
        </w:rPr>
        <w:t xml:space="preserve">在本文这类固定推理对象的数据路径评价中，受控结果支持一项有边界的工程原则：应先把耦合的路径级结构决策与局部暂存策略细化分开；只有在其余结构变量受控后，局部策略响应才具有清晰解释；完整E2E平均响应与尾部响应还应分别评价，不能相互替代。该原则用于组织本文同类受控评价，不构成普遍优化定律。</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固定推理对象并不能唯一确定其输入数据路径。本文以</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描述跨边界表示、输入张量形成位置、额外打包原始图像暂存策略和执行拓扑，从而把同时改变</w:t>
      </w:r>
      <ns2:oMath>
        <ns2:r>
          <ns2:t>R</ns2:t>
        </ns2:r>
        <ns2:r>
          <ns2:rPr>
            <ns2:sty ns2:val="p"/>
          </ns2:rPr>
          <ns2:t>,</ns2:t>
        </ns2:r>
        <ns2:r>
          <ns2:t>F</ns2:t>
        </ns2:r>
        <ns2:r>
          <ns2:rPr>
            <ns2:sty ns2:val="p"/>
          </ns2:rPr>
          <ns2:t>,</ns2:t>
        </ns2:r>
        <ns2:r>
          <ns2:t>M</ns2:t>
        </ns2:r>
      </ns2:oMath>
      <w:r>
        <w:rPr>
          <w:rFonts w:hint="eastAsia"/>
        </w:rPr>
        <w:t xml:space="preserve">且保持</w:t>
      </w:r>
      <ns2:oMath>
        <ns2:r>
          <ns2:t>E</ns2:t>
        </ns2:r>
      </ns2:oMath>
      <w:r>
        <w:rPr>
          <w:rFonts w:hint="eastAsia"/>
        </w:rPr>
        <w:t xml:space="preserve">不变的耦合路径级干预，与仅改变</w:t>
      </w:r>
      <ns2:oMath>
        <ns2:r>
          <ns2:t>M</ns2:t>
        </ns2:r>
      </ns2:oMath>
      <w:r>
        <w:rPr>
          <w:rFonts w:hint="eastAsia"/>
        </w:rPr>
        <w:t xml:space="preserve">的单变量暂存策略细化区分为两类评价对象。在这一结构下，平均响应和尾部响应必须分别解释：局部策略产生平均改善，并不等同于P95与P99同步改善。</w:t>
      </w:r>
    </w:p>
    <w:p>
      <w:pPr>
        <w:pStyle w:val="HFUTBody"/>
        <w:spacing w:before="0" w:after="0" w:line="360" w:lineRule="atLeast"/>
      </w:pPr>
      <w:r>
        <w:rPr>
          <w:rFonts w:hint="eastAsia"/>
        </w:rPr>
        <w:t xml:space="preserve">在冻结180幅测试图像且三条路径任务级评价一致的条件下，</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由此得到的受限工程认识是：固定推理对象的数据路径评价应先分离路径级结构决策与局部暂存策略，并在其他结构变量受控后评价局部策略，同时保留均值与尾部两个响应维度。</w:t>
      </w:r>
    </w:p>
    <w:p>
      <w:pPr>
        <w:pStyle w:val="HFUTBody"/>
      </w:pPr>
      <w:r>
        <w:rPr>
          <w:rFonts w:hint="eastAsia"/>
        </w:rPr>
        <w:t xml:space="preserve">上述数值和认识仅适用于本文单一Jetson平台、检测器/Engine、数据集、离线回放与单帧顺序配置。完整E2E响应不能由单个API或名义载荷直接解释，本文也不作阶段级因果、统计显著性或跨平台、跨模型普适推断。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J，et</w:t>
      </w:r>
      <w:r>
        <w:t xml:space="preserve"> al.</w:t>
      </w:r>
      <w:r>
        <w:t xml:space="preserve"> </w:t>
      </w:r>
      <w:hyperlink ns1:id="rId22">
        <w:r>
          <w:rPr>
            <w:rStyle w:val="Hyperlink"/>
          </w:rPr>
          <w:t xml:space="preserve">Deep metallic surface defect detection: The new benchmark and detection network</w:t>
        </w:r>
      </w:hyperlink>
      <w:r>
        <w:t xml:space="preserve">[J]. </w:t>
      </w:r>
      <w:r>
        <w:rPr>
          <w:rFonts w:hint="eastAsia"/>
        </w:rPr>
        <w:t xml:space="preserve">Sensors，2020，20（6）：1562.</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w:t>
      </w:r>
      <w:r>
        <w:t xml:space="preserve"> </w:t>
      </w:r>
      <w:hyperlink ns1:id="rId24">
        <w:r>
          <w:rPr>
            <w:rStyle w:val="Hyperlink"/>
          </w:rPr>
          <w:t xml:space="preserve">A noise robust method based on completed local binary patterns for hot-rolled steel strip surface defects</w:t>
        </w:r>
      </w:hyperlink>
      <w:r>
        <w:t xml:space="preserve">[J]. Applied Surface </w:t>
      </w:r>
      <w:r>
        <w:rPr>
          <w:rFonts w:hint="eastAsia"/>
        </w:rPr>
        <w:t xml:space="preserve">Science，2013，285：858-864.</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M，et</w:t>
      </w:r>
      <w:r>
        <w:t xml:space="preserve"> al.</w:t>
      </w:r>
      <w:r>
        <w:t xml:space="preserve"> </w:t>
      </w:r>
      <w:hyperlink ns1:id="rId26">
        <w:r>
          <w:rPr>
            <w:rStyle w:val="Hyperlink"/>
          </w:rPr>
          <w:t xml:space="preserve">TD-net: Tiny defect detection network for industrial products</w:t>
        </w:r>
      </w:hyperlink>
      <w:r>
        <w:t xml:space="preserve">[J]. Complex &amp; Intelligent </w:t>
      </w:r>
      <w:r>
        <w:rPr>
          <w:rFonts w:hint="eastAsia"/>
        </w:rPr>
        <w:t xml:space="preserve">Systems，2024，10：3943-3954.</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w:t>
      </w:r>
      <w:r>
        <w:t xml:space="preserve"> </w:t>
      </w:r>
      <w:hyperlink ns1:id="rId28">
        <w:r>
          <w:rPr>
            <w:rStyle w:val="Hyperlink"/>
          </w:rPr>
          <w:t xml:space="preserve">A lightweight strip steel surface defect detection network based on improved YOLOv8</w:t>
        </w:r>
      </w:hyperlink>
      <w:r>
        <w:t xml:space="preserve">[J]. </w:t>
      </w:r>
      <w:r>
        <w:rPr>
          <w:rFonts w:hint="eastAsia"/>
        </w:rPr>
        <w:t xml:space="preserve">Sensors，2024，24（19）：6495.</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w:t>
      </w:r>
      <w:r>
        <w:t xml:space="preserve"> </w:t>
      </w:r>
      <w:hyperlink ns1:id="rId30">
        <w:r>
          <w:rPr>
            <w:rStyle w:val="Hyperlink"/>
          </w:rPr>
          <w:t xml:space="preserve">GDM-YOLO: A model for steel surface defect detection based on YOLOv8s</w:t>
        </w:r>
      </w:hyperlink>
      <w:r>
        <w:t xml:space="preserve">[J]. IEEE </w:t>
      </w:r>
      <w:r>
        <w:rPr>
          <w:rFonts w:hint="eastAsia"/>
        </w:rPr>
        <w:t xml:space="preserve">Access，2024，12：148817-148825.</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P，et</w:t>
      </w:r>
      <w:r>
        <w:t xml:space="preserve"> al.</w:t>
      </w:r>
      <w:r>
        <w:t xml:space="preserve"> </w:t>
      </w:r>
      <w:hyperlink ns1:id="rId34">
        <w:r>
          <w:rPr>
            <w:rStyle w:val="Hyperlink"/>
          </w:rPr>
          <w:t xml:space="preserve">Deployment of deep neural networks for object detection on edge AI devices with runtime optimization</w:t>
        </w:r>
      </w:hyperlink>
      <w:r>
        <w:t xml:space="preserve">[C]//2021 IEEE/CVF international conference on computer vision workshops (ICCVW). Piscataway, NJ, </w:t>
      </w:r>
      <w:r>
        <w:rPr>
          <w:rFonts w:hint="eastAsia"/>
        </w:rPr>
        <w:t xml:space="preserve">USA：IEEE，2021：1015-1022.</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w:t>
      </w:r>
      <w:r>
        <w:t xml:space="preserve"> </w:t>
      </w:r>
      <w:hyperlink ns1:id="rId36">
        <w:r>
          <w:rPr>
            <w:rStyle w:val="Hyperlink"/>
          </w:rPr>
          <w:t xml:space="preserve">PRESTO: Hybrid CPU-GPU preprocessing framework for video-based AI inference system</w:t>
        </w:r>
      </w:hyperlink>
      <w:r>
        <w:t xml:space="preserve">[C]//Proceedings of the 23rd annual international conference on mobile systems, applications and services. New York, NY, </w:t>
      </w:r>
      <w:r>
        <w:rPr>
          <w:rFonts w:hint="eastAsia"/>
        </w:rPr>
        <w:t xml:space="preserve">USA：Association</w:t>
      </w:r>
      <w:r>
        <w:t xml:space="preserve"> for Computing </w:t>
      </w:r>
      <w:r>
        <w:rPr>
          <w:rFonts w:hint="eastAsia"/>
        </w:rPr>
        <w:t xml:space="preserve">Machinery，2025：735-740.</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K，et</w:t>
      </w:r>
      <w:r>
        <w:t xml:space="preserve"> al.</w:t>
      </w:r>
      <w:r>
        <w:t xml:space="preserve"> </w:t>
      </w:r>
      <w:hyperlink ns1:id="rId38">
        <w:r>
          <w:rPr>
            <w:rStyle w:val="Hyperlink"/>
          </w:rPr>
          <w:t xml:space="preserve">Real-time defect detection in electronic components during assembly through deep learning</w:t>
        </w:r>
      </w:hyperlink>
      <w:r>
        <w:t xml:space="preserve">[J]. </w:t>
      </w:r>
      <w:r>
        <w:rPr>
          <w:rFonts w:hint="eastAsia"/>
        </w:rPr>
        <w:t xml:space="preserve">Electronics，2024，13（8）：1551.</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B，et</w:t>
      </w:r>
      <w:r>
        <w:t xml:space="preserve"> al. Quantization and training of neural networks for efficient integer-arithmetic-only inference[C]//Proceedings of the IEEE conference on computer vision and pattern recognition (CVPR). Piscataway, NJ, </w:t>
      </w:r>
      <w:r>
        <w:rPr>
          <w:rFonts w:hint="eastAsia"/>
        </w:rPr>
        <w:t xml:space="preserve">USA：IEEE，2018：2704-2713.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M，et</w:t>
      </w:r>
      <w:r>
        <w:t xml:space="preserve"> al. Up or down? Adaptive rounding for post-training quantization[C]//Proceedings of the 37th international conference on machine </w:t>
      </w:r>
      <w:r>
        <w:rPr>
          <w:rFonts w:hint="eastAsia"/>
        </w:rPr>
        <w:t xml:space="preserve">learning：v.119.</w:t>
      </w:r>
      <w:r>
        <w:t xml:space="preserve"> Cambridge, MA, </w:t>
      </w:r>
      <w:r>
        <w:rPr>
          <w:rFonts w:hint="eastAsia"/>
        </w:rPr>
        <w:t xml:space="preserve">USA：PMLR，2020：7197-7206.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w:t>
      </w:r>
      <w:r>
        <w:t xml:space="preserve"> </w:t>
      </w:r>
      <w:hyperlink ns1:id="rId44">
        <w:r>
          <w:rPr>
            <w:rStyle w:val="Hyperlink"/>
          </w:rPr>
          <w:t xml:space="preserve">HyQ: Hardware-friendly post-training quantization for CNN-transformer hybrid networks</w:t>
        </w:r>
      </w:hyperlink>
      <w:r>
        <w:t xml:space="preserve">[C]//Proceedings of the thirty-third international joint conference on artificial intelligence, IJCAI-24. Menlo Park, CA, </w:t>
      </w:r>
      <w:r>
        <w:rPr>
          <w:rFonts w:hint="eastAsia"/>
        </w:rPr>
        <w:t xml:space="preserve">USA：International</w:t>
      </w:r>
      <w:r>
        <w:t xml:space="preserve"> Joint Conferences on Artificial Intelligence </w:t>
      </w:r>
      <w:r>
        <w:rPr>
          <w:rFonts w:hint="eastAsia"/>
        </w:rPr>
        <w:t xml:space="preserve">Organization，2024：4291-4299.</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w:t>
      </w:r>
      <w:r>
        <w:t xml:space="preserve"> </w:t>
      </w:r>
      <w:hyperlink ns1:id="rId46">
        <w:r>
          <w:rPr>
            <w:rStyle w:val="Hyperlink"/>
          </w:rPr>
          <w:t xml:space="preserve">High-speed railway track components inspection framework based on YOLOv8 with high-performance model deployment</w:t>
        </w:r>
      </w:hyperlink>
      <w:r>
        <w:t xml:space="preserve">[J]. High-speed </w:t>
      </w:r>
      <w:r>
        <w:rPr>
          <w:rFonts w:hint="eastAsia"/>
        </w:rPr>
        <w:t xml:space="preserve">Railway，2024，2：42-50.</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Y，et</w:t>
      </w:r>
      <w:r>
        <w:t xml:space="preserve"> al.</w:t>
      </w:r>
      <w:r>
        <w:t xml:space="preserve"> </w:t>
      </w:r>
      <w:hyperlink ns1:id="rId50">
        <w:r>
          <w:rPr>
            <w:rStyle w:val="Hyperlink"/>
          </w:rPr>
          <w:t xml:space="preserve">Co-optimizing performance and memory footprint via integrated CPU/GPU memory management, an implementation on autonomous driving platform</w:t>
        </w:r>
      </w:hyperlink>
      <w:r>
        <w:t xml:space="preserve">[C]//2020 IEEE real-time and embedded technology and applications symposium (RTAS). Piscataway, NJ, </w:t>
      </w:r>
      <w:r>
        <w:rPr>
          <w:rFonts w:hint="eastAsia"/>
        </w:rPr>
        <w:t xml:space="preserve">USA：IEEE，2020：310-323.</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L，et</w:t>
      </w:r>
      <w:r>
        <w:t xml:space="preserve"> al.</w:t>
      </w:r>
      <w:r>
        <w:t xml:space="preserve"> </w:t>
      </w:r>
      <w:hyperlink ns1:id="rId52">
        <w:r>
          <w:rPr>
            <w:rStyle w:val="Hyperlink"/>
          </w:rPr>
          <w:t xml:space="preserve">Analysis of GPU memory allocation characteristics</w:t>
        </w:r>
      </w:hyperlink>
      <w:r>
        <w:t xml:space="preserve">[C]//16th workshop on parallel programming and run-time management techniques for many-core architectures and 14th workshop on design tools and architectures for multicore embedded computing platforms (PARMA-DITAM </w:t>
      </w:r>
      <w:r>
        <w:rPr>
          <w:rFonts w:hint="eastAsia"/>
        </w:rPr>
        <w:t xml:space="preserve">2025)：v.127.</w:t>
      </w:r>
      <w:r>
        <w:t xml:space="preserve"> Dagstuhl, </w:t>
      </w:r>
      <w:r>
        <w:rPr>
          <w:rFonts w:hint="eastAsia"/>
        </w:rPr>
        <w:t xml:space="preserve">Germany：Schloss</w:t>
      </w:r>
      <w:r>
        <w:t xml:space="preserve"> Dagstuhl – Leibniz-Zentrum f</w:t>
      </w:r>
      <w:r>
        <w:t xml:space="preserve">ü</w:t>
      </w:r>
      <w:r>
        <w:t xml:space="preserve">r </w:t>
      </w:r>
      <w:r>
        <w:rPr>
          <w:rFonts w:hint="eastAsia"/>
        </w:rPr>
        <w:t xml:space="preserve">Informatik，2025：1:1-1:15.</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w:t>
      </w:r>
      <w:r>
        <w:t xml:space="preserve"> </w:t>
      </w:r>
      <w:hyperlink ns1:id="rId56">
        <w:r>
          <w:rPr>
            <w:rStyle w:val="Hyperlink"/>
          </w:rPr>
          <w:t xml:space="preserve">Improving performance of real-time object detection in edge device through concurrent multi-frame processing</w:t>
        </w:r>
      </w:hyperlink>
      <w:r>
        <w:t xml:space="preserve">[J]. IEEE </w:t>
      </w:r>
      <w:r>
        <w:rPr>
          <w:rFonts w:hint="eastAsia"/>
        </w:rPr>
        <w:t xml:space="preserve">Access，2025，13：1522-1533.</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w:t>
      </w:r>
      <w:r>
        <w:t xml:space="preserve"> </w:t>
      </w:r>
      <w:hyperlink ns1:id="rId58">
        <w:r>
          <w:rPr>
            <w:rStyle w:val="Hyperlink"/>
          </w:rPr>
          <w:t xml:space="preserve">The tail at scale</w:t>
        </w:r>
      </w:hyperlink>
      <w:r>
        <w:t xml:space="preserve">[J]. Communications of the </w:t>
      </w:r>
      <w:r>
        <w:rPr>
          <w:rFonts w:hint="eastAsia"/>
        </w:rPr>
        <w:t xml:space="preserve">ACM，2013，56（2）：74-80.</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w:t>
      </w:r>
      <w:r>
        <w:t xml:space="preserve"> </w:t>
      </w:r>
      <w:hyperlink ns1:id="rId60">
        <w:r>
          <w:rPr>
            <w:rStyle w:val="Hyperlink"/>
          </w:rPr>
          <w:t xml:space="preserve">A deep learning framework performance evaluation to use YOLO in nvidia jetson platform</w:t>
        </w:r>
      </w:hyperlink>
      <w:r>
        <w:t xml:space="preserve">[J]. Applied </w:t>
      </w:r>
      <w:r>
        <w:rPr>
          <w:rFonts w:hint="eastAsia"/>
        </w:rPr>
        <w:t xml:space="preserve">Sciences，2022，12（8）：3734.</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R，et</w:t>
      </w:r>
      <w:r>
        <w:t xml:space="preserve"> al.</w:t>
      </w:r>
      <w:r>
        <w:t xml:space="preserve"> </w:t>
      </w:r>
      <w:hyperlink ns1:id="rId62">
        <w:r>
          <w:rPr>
            <w:rStyle w:val="Hyperlink"/>
          </w:rPr>
          <w:t xml:space="preserve">Benchmarking deep learning models for surface defect detection: A reproducible and statistically-rigorous approach</w:t>
        </w:r>
      </w:hyperlink>
      <w:r>
        <w:t xml:space="preserve">[J]. Journal of Intelligent </w:t>
      </w:r>
      <w:r>
        <w:rPr>
          <w:rFonts w:hint="eastAsia"/>
        </w:rPr>
        <w:t xml:space="preserve">Manufacturing，2026，37（7）：3001-3018.</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HFUTAuthorBiography"/>
    </w:pPr>
    <w:r>
      <w:t>王凯伦（1999—），男，山东潍坊人，工学学士，硕士研究生，主要研究方向为端侧人工智能推理部署与优化。</w:t>
    </w:r>
  </w:p>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Python standard library deterministic OOXML builder</Application>
  <DocSecurity>0</DocSecurity>
  <ScaleCrop>false</ScaleCrop>
  <Company>Project-owned candidate</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2026-08-24T14:43:51Z</dcterms:created>
  <dcterms:modified xsi:type="dcterms:W3CDTF">2026-08-24T14:43:51Z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ffiliation-cn">
    <ns1:lpwstr>合肥工业大学数学学院，安徽 合肥 230601</ns1:lpwstr>
  </ns0:property>
  <ns0:property fmtid="{D5CDD505-2E9C-101B-9397-08002B2CF9AE}" pid="3" name="affiliation-en">
    <ns1:lpwstr>School of Mathematics, Hefei University of Technology, Hefei 230601, China</ns1:lpwstr>
  </ns0:property>
  <ns0:property fmtid="{D5CDD505-2E9C-101B-9397-08002B2CF9AE}" pid="5" name="authors-cn">
    <ns1:lpwstr>王凯伦，王琦</ns1:lpwstr>
  </ns0:property>
  <ns0:property fmtid="{D5CDD505-2E9C-101B-9397-08002B2CF9AE}" pid="6" name="authors-en">
    <ns1:lpwstr>WANG Kailun, WANG Qi</ns1:lpwstr>
  </ns0:property>
  <ns0:property fmtid="{D5CDD505-2E9C-101B-9397-08002B2CF9AE}" pid="7" name="bibliography">
    <ns1:lpwstr/>
  </ns0:property>
  <ns0:property fmtid="{D5CDD505-2E9C-101B-9397-08002B2CF9AE}" pid="8" name="classification">
    <ns1:lpwstr>TP391.41</ns1:lpwstr>
  </ns0:property>
  <ns0:property fmtid="{D5CDD505-2E9C-101B-9397-08002B2CF9AE}" pid="9" name="corresponding-author-cn">
    <ns1:lpwstr>王琦</ns1:lpwstr>
  </ns0:property>
  <ns0:property fmtid="{D5CDD505-2E9C-101B-9397-08002B2CF9AE}" pid="10" name="corresponding-author-email">
    <ns1:lpwstr/>
  </ns0:property>
  <ns0:property fmtid="{D5CDD505-2E9C-101B-9397-08002B2CF9AE}" pid="11" name="corresponding-author-en">
    <ns1:lpwstr>WANG Qi</ns1:lpwstr>
  </ns0:property>
  <ns0:property fmtid="{D5CDD505-2E9C-101B-9397-08002B2CF9AE}" pid="12" name="csl">
    <ns1:lpwstr>docs/paper/manuscript/csl/hfut_gbt7714_2025_numeric_v1.0.csl</ns1:lpwstr>
  </ns0:property>
</ns0:Properties>
</file>