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항해 구상</w:t>
      </w:r>
    </w:p>
    <w:p>
      <w:r>
        <w:t xml:space="preserve">첫 문단은 </w:t>
      </w:r>
      <w:r>
        <w:rPr>
          <w:b/>
        </w:rPr>
        <w:t>굵은 글</w:t>
      </w:r>
      <w:r>
        <w:t xml:space="preserve">과 </w:t>
      </w:r>
      <w:r>
        <w:rPr>
          <w:i/>
        </w:rPr>
        <w:t>기울인 글</w:t>
      </w:r>
      <w:r>
        <w:t>을 담는다.</w:t>
      </w:r>
    </w:p>
    <w:p>
      <w:pPr>
        <w:pStyle w:val="Heading2"/>
      </w:pPr>
      <w:r>
        <w:t>인물</w:t>
      </w:r>
    </w:p>
    <w:p>
      <w:pPr>
        <w:pStyle w:val="ListBullet"/>
      </w:pPr>
      <w:r>
        <w:t>이서윤 — 항해사</w:t>
      </w:r>
    </w:p>
    <w:p>
      <w:pPr>
        <w:pStyle w:val="ListBullet"/>
      </w:pPr>
      <w:r>
        <w:t>나 — 관측자</w:t>
      </w:r>
    </w:p>
    <w:p>
      <w:pPr>
        <w:pStyle w:val="ListNumber"/>
      </w:pPr>
      <w:r>
        <w:t>첫째 할 일</w:t>
      </w:r>
    </w:p>
    <w:p>
      <w:pPr>
        <w:pStyle w:val="ListNumber"/>
      </w:pPr>
      <w:r>
        <w:t>둘째 할 일</w:t>
      </w:r>
    </w:p>
    <w:p>
      <w:pPr>
        <w:jc w:val="center"/>
      </w:pPr>
      <w:r>
        <w:t>가운데 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속도</w:t>
            </w:r>
          </w:p>
        </w:tc>
        <w:tc>
          <w:tcPr>
            <w:tcW w:type="dxa" w:w="4320"/>
          </w:tcPr>
          <w:p>
            <w:r>
              <w:t>12노트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마지막 문단.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항해 구상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