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85260" w14:textId="77777777" w:rsidR="005C7CE6" w:rsidRPr="00EC0565" w:rsidRDefault="005C7CE6" w:rsidP="00091DD4">
      <w:pPr>
        <w:spacing w:line="360" w:lineRule="auto"/>
        <w:rPr>
          <w:sz w:val="22"/>
        </w:rPr>
      </w:pPr>
    </w:p>
    <w:p w14:paraId="73BCD136" w14:textId="77777777" w:rsidR="005C7CE6" w:rsidRPr="00EC0565" w:rsidRDefault="005C7CE6" w:rsidP="00091DD4">
      <w:pPr>
        <w:spacing w:line="360" w:lineRule="auto"/>
        <w:rPr>
          <w:rFonts w:asciiTheme="majorHAnsi" w:eastAsiaTheme="majorEastAsia" w:hAnsiTheme="majorHAnsi" w:cstheme="majorBidi"/>
          <w:caps/>
          <w:color w:val="44546A" w:themeColor="text2"/>
          <w:spacing w:val="30"/>
          <w:sz w:val="96"/>
          <w:szCs w:val="72"/>
        </w:rPr>
      </w:pPr>
    </w:p>
    <w:p w14:paraId="2DB3087E" w14:textId="3837CBD4" w:rsidR="005C7CE6" w:rsidRPr="00EC0565" w:rsidRDefault="005C7CE6" w:rsidP="00091DD4">
      <w:pPr>
        <w:pStyle w:val="Title"/>
        <w:spacing w:after="120" w:line="360" w:lineRule="auto"/>
        <w:rPr>
          <w:sz w:val="96"/>
        </w:rPr>
      </w:pPr>
      <w:r>
        <w:rPr>
          <w:sz w:val="96"/>
        </w:rPr>
        <w:t>OSPF Area Types</w:t>
      </w:r>
    </w:p>
    <w:p w14:paraId="485997A0" w14:textId="1992775F" w:rsidR="005C7CE6" w:rsidRPr="00EC0565" w:rsidRDefault="005C7CE6" w:rsidP="00091DD4">
      <w:pPr>
        <w:pStyle w:val="Heading1"/>
      </w:pPr>
      <w:r>
        <w:t>CCNP</w:t>
      </w:r>
      <w:r w:rsidRPr="00EC0565">
        <w:t xml:space="preserve"> </w:t>
      </w:r>
      <w:r w:rsidR="008E1DB4">
        <w:t>Lab 2</w:t>
      </w:r>
    </w:p>
    <w:p w14:paraId="301AA467" w14:textId="77777777" w:rsidR="005C7CE6" w:rsidRPr="00EC0565" w:rsidRDefault="005C7CE6" w:rsidP="00091DD4">
      <w:pPr>
        <w:pStyle w:val="Heading2"/>
        <w:spacing w:after="120" w:line="360" w:lineRule="auto"/>
        <w:rPr>
          <w:sz w:val="32"/>
        </w:rPr>
      </w:pPr>
    </w:p>
    <w:p w14:paraId="0921BDA4" w14:textId="77777777" w:rsidR="005C7CE6" w:rsidRPr="00EC0565" w:rsidRDefault="005C7CE6" w:rsidP="00091DD4">
      <w:pPr>
        <w:pStyle w:val="Heading2"/>
        <w:spacing w:after="120" w:line="360" w:lineRule="auto"/>
        <w:rPr>
          <w:sz w:val="32"/>
        </w:rPr>
      </w:pPr>
      <w:r w:rsidRPr="00EC0565">
        <w:rPr>
          <w:sz w:val="32"/>
        </w:rPr>
        <w:t>Axel Li</w:t>
      </w:r>
    </w:p>
    <w:p w14:paraId="6E74F539" w14:textId="36A029B5" w:rsidR="005C7CE6" w:rsidRPr="00EC0565" w:rsidRDefault="005C7CE6" w:rsidP="00091DD4">
      <w:pPr>
        <w:pStyle w:val="Heading2"/>
        <w:spacing w:after="120" w:line="360" w:lineRule="auto"/>
        <w:rPr>
          <w:sz w:val="32"/>
        </w:rPr>
      </w:pPr>
      <w:r>
        <w:rPr>
          <w:sz w:val="32"/>
        </w:rPr>
        <w:t>17</w:t>
      </w:r>
      <w:r w:rsidRPr="00EC0565">
        <w:rPr>
          <w:sz w:val="32"/>
        </w:rPr>
        <w:t xml:space="preserve"> September 2018</w:t>
      </w:r>
    </w:p>
    <w:p w14:paraId="17F071D6" w14:textId="77777777" w:rsidR="005C7CE6" w:rsidRPr="00EC0565" w:rsidRDefault="005C7CE6" w:rsidP="00091DD4">
      <w:pPr>
        <w:spacing w:line="360" w:lineRule="auto"/>
        <w:rPr>
          <w:rFonts w:asciiTheme="majorHAnsi" w:eastAsiaTheme="majorEastAsia" w:hAnsiTheme="majorHAnsi" w:cstheme="majorBidi"/>
          <w:sz w:val="36"/>
          <w:szCs w:val="32"/>
        </w:rPr>
      </w:pPr>
      <w:r w:rsidRPr="00EC0565">
        <w:rPr>
          <w:sz w:val="22"/>
        </w:rPr>
        <w:br w:type="page"/>
      </w:r>
    </w:p>
    <w:p w14:paraId="6AC262A0" w14:textId="7B2BC440" w:rsidR="005C7CE6" w:rsidRPr="00091DD4" w:rsidRDefault="006D4605" w:rsidP="00091DD4">
      <w:pPr>
        <w:pStyle w:val="Heading1"/>
      </w:pPr>
      <w:r w:rsidRPr="00091DD4">
        <w:lastRenderedPageBreak/>
        <w:t>Background</w:t>
      </w:r>
    </w:p>
    <w:p w14:paraId="46288DE7" w14:textId="1DB1D1C7" w:rsidR="002065E9" w:rsidRDefault="00A4140B" w:rsidP="00091DD4">
      <w:pPr>
        <w:spacing w:line="360" w:lineRule="auto"/>
      </w:pPr>
      <w:r>
        <w:t xml:space="preserve">In OSPF, each device maintains a link-state database of </w:t>
      </w:r>
      <w:r w:rsidR="005E4736">
        <w:t xml:space="preserve">the network through routing updates, which can result in a heavy load in large networks. One solution is </w:t>
      </w:r>
      <w:r w:rsidR="006006FF">
        <w:t xml:space="preserve">to implement </w:t>
      </w:r>
      <w:r w:rsidR="005E4736">
        <w:t>multi-area OSPF, in which</w:t>
      </w:r>
      <w:r w:rsidR="00091DD4">
        <w:t xml:space="preserve"> an autonomous system can be split into multiple areas to reduce overhead traffic on the network and shrink the database on each device. In particular scenarios, the load from OSPF can be reduced further by blocking unnecessary information in the area. For example, an area connected only to area 0 via a single router would not need any updates regarding </w:t>
      </w:r>
      <w:r w:rsidR="003F7BC8">
        <w:t>other areas or external processes</w:t>
      </w:r>
      <w:r w:rsidR="00091DD4">
        <w:t>, as all traffic to outside the area would have to travel through that single router regardless</w:t>
      </w:r>
      <w:r w:rsidR="00C13F02">
        <w:t xml:space="preserve"> of destination</w:t>
      </w:r>
      <w:r w:rsidR="00091DD4">
        <w:t>.</w:t>
      </w:r>
      <w:r w:rsidR="008C71B4">
        <w:t xml:space="preserve"> </w:t>
      </w:r>
      <w:r w:rsidR="00B537C4">
        <w:t>There are five area variations within multi-area OSPF, with each type designed for a different situation and blocking different link state advertisements.</w:t>
      </w:r>
    </w:p>
    <w:p w14:paraId="024BE376" w14:textId="6F870659" w:rsidR="00FB38EE" w:rsidRDefault="000111C8" w:rsidP="00091DD4">
      <w:pPr>
        <w:spacing w:line="360" w:lineRule="auto"/>
      </w:pPr>
      <w:r>
        <w:t xml:space="preserve">In addition, there are </w:t>
      </w:r>
      <w:r w:rsidR="00AA1407">
        <w:t>s</w:t>
      </w:r>
      <w:r w:rsidR="00FB38EE">
        <w:t>ix primary link state advertisement</w:t>
      </w:r>
      <w:r w:rsidR="00B537C4">
        <w:t xml:space="preserve"> (LSA)</w:t>
      </w:r>
      <w:r w:rsidR="00FB38EE">
        <w:t xml:space="preserve"> types used </w:t>
      </w:r>
      <w:r w:rsidR="008165B7">
        <w:t>in</w:t>
      </w:r>
      <w:r w:rsidR="00FB38EE">
        <w:t xml:space="preserve"> OSPF</w:t>
      </w:r>
      <w:r w:rsidR="00AA1407">
        <w:t xml:space="preserve"> to communicate between devices</w:t>
      </w:r>
      <w:r>
        <w:t>, which</w:t>
      </w:r>
      <w:r w:rsidR="008165B7">
        <w:t xml:space="preserve"> are </w:t>
      </w:r>
      <w:r w:rsidR="00815B0C">
        <w:t xml:space="preserve">briefly </w:t>
      </w:r>
      <w:r w:rsidR="008165B7">
        <w:t>summarized below:</w:t>
      </w:r>
    </w:p>
    <w:p w14:paraId="37BD2FF2" w14:textId="1D1C1C4C" w:rsidR="00FB38EE" w:rsidRDefault="00FB38EE" w:rsidP="00FB38EE">
      <w:pPr>
        <w:pStyle w:val="ListParagraph"/>
        <w:numPr>
          <w:ilvl w:val="0"/>
          <w:numId w:val="3"/>
        </w:numPr>
        <w:spacing w:line="360" w:lineRule="auto"/>
      </w:pPr>
      <w:r>
        <w:t xml:space="preserve">Type 1 (Router) – used by routers to announce </w:t>
      </w:r>
      <w:r w:rsidR="00045BB7">
        <w:t xml:space="preserve">its </w:t>
      </w:r>
      <w:r>
        <w:t>presence and list links within</w:t>
      </w:r>
      <w:r w:rsidR="00045BB7">
        <w:t xml:space="preserve"> the</w:t>
      </w:r>
      <w:r>
        <w:t xml:space="preserve"> area</w:t>
      </w:r>
    </w:p>
    <w:p w14:paraId="6FE5231D" w14:textId="5412BDB6" w:rsidR="00FB38EE" w:rsidRDefault="00FB38EE" w:rsidP="00FB38EE">
      <w:pPr>
        <w:pStyle w:val="ListParagraph"/>
        <w:numPr>
          <w:ilvl w:val="0"/>
          <w:numId w:val="3"/>
        </w:numPr>
        <w:spacing w:line="360" w:lineRule="auto"/>
      </w:pPr>
      <w:r>
        <w:t>Type 2 (Network) – used by DRs to list routers joined by a broadcast segment</w:t>
      </w:r>
      <w:r w:rsidR="00045BB7">
        <w:t xml:space="preserve"> within the area</w:t>
      </w:r>
    </w:p>
    <w:p w14:paraId="44810553" w14:textId="77777777" w:rsidR="00FB38EE" w:rsidRDefault="00FB38EE" w:rsidP="00FB38EE">
      <w:pPr>
        <w:pStyle w:val="ListParagraph"/>
        <w:numPr>
          <w:ilvl w:val="0"/>
          <w:numId w:val="3"/>
        </w:numPr>
        <w:spacing w:line="360" w:lineRule="auto"/>
      </w:pPr>
      <w:r>
        <w:t>Type 3 (Summary) – used by ABRs to send summarized information to other areas</w:t>
      </w:r>
    </w:p>
    <w:p w14:paraId="24B6094F" w14:textId="77777777" w:rsidR="00FB38EE" w:rsidRDefault="00FB38EE" w:rsidP="00FB38EE">
      <w:pPr>
        <w:pStyle w:val="ListParagraph"/>
        <w:numPr>
          <w:ilvl w:val="0"/>
          <w:numId w:val="3"/>
        </w:numPr>
        <w:spacing w:line="360" w:lineRule="auto"/>
      </w:pPr>
      <w:r>
        <w:t>Type 4 (ASBR Summary) – used by ASBRs to announce its presence across areas</w:t>
      </w:r>
    </w:p>
    <w:p w14:paraId="768FF277" w14:textId="77777777" w:rsidR="00FB38EE" w:rsidRDefault="00FB38EE" w:rsidP="00FB38EE">
      <w:pPr>
        <w:pStyle w:val="ListParagraph"/>
        <w:numPr>
          <w:ilvl w:val="0"/>
          <w:numId w:val="3"/>
        </w:numPr>
        <w:spacing w:line="360" w:lineRule="auto"/>
      </w:pPr>
      <w:r>
        <w:t>Type 5 (ASBR External) – used by ASBRs to send information from external routing processes across areas</w:t>
      </w:r>
    </w:p>
    <w:p w14:paraId="52969108" w14:textId="220B8362" w:rsidR="00FB38EE" w:rsidRDefault="00FB38EE" w:rsidP="00091DD4">
      <w:pPr>
        <w:pStyle w:val="ListParagraph"/>
        <w:numPr>
          <w:ilvl w:val="0"/>
          <w:numId w:val="3"/>
        </w:numPr>
        <w:spacing w:line="360" w:lineRule="auto"/>
      </w:pPr>
      <w:r>
        <w:t>Type 7 (NSSA External) – used as a replacement for type 5 LSAs within a not-so-stubby area; type 7 LSAs are translated into type 5 LSAs when sent across areas</w:t>
      </w:r>
    </w:p>
    <w:p w14:paraId="2EBC1009" w14:textId="77777777" w:rsidR="00125595" w:rsidRDefault="00125595" w:rsidP="00125595">
      <w:pPr>
        <w:spacing w:line="360" w:lineRule="auto"/>
      </w:pPr>
    </w:p>
    <w:p w14:paraId="0D0A7BAF" w14:textId="03A49DFD" w:rsidR="006D4605" w:rsidRDefault="006D4605" w:rsidP="00091DD4">
      <w:pPr>
        <w:pStyle w:val="Heading1"/>
      </w:pPr>
      <w:r>
        <w:t>Operation Differences</w:t>
      </w:r>
    </w:p>
    <w:p w14:paraId="54242731" w14:textId="00005265" w:rsidR="0091003A" w:rsidRDefault="00B537C4" w:rsidP="00091DD4">
      <w:pPr>
        <w:spacing w:line="360" w:lineRule="auto"/>
      </w:pPr>
      <w:r>
        <w:t>The</w:t>
      </w:r>
      <w:r w:rsidR="00091DD4">
        <w:t xml:space="preserve"> </w:t>
      </w:r>
      <w:r w:rsidR="00D75A2A">
        <w:t>five</w:t>
      </w:r>
      <w:r w:rsidR="00091DD4">
        <w:t xml:space="preserve"> </w:t>
      </w:r>
      <w:r>
        <w:t>area types within OSPF are</w:t>
      </w:r>
      <w:r w:rsidR="00091DD4">
        <w:t xml:space="preserve"> </w:t>
      </w:r>
      <w:r w:rsidR="00D75A2A">
        <w:t xml:space="preserve">normal, </w:t>
      </w:r>
      <w:r w:rsidR="00091DD4">
        <w:t>stubby, totally stubby, not-so-stubby</w:t>
      </w:r>
      <w:r>
        <w:t>, and totally not-so-stubby</w:t>
      </w:r>
      <w:r w:rsidR="00204D44">
        <w:t xml:space="preserve"> </w:t>
      </w:r>
      <w:r w:rsidR="00AF0490">
        <w:t>areas; eac</w:t>
      </w:r>
      <w:r w:rsidR="0022678D">
        <w:t>h differs slightly in operation and purpose.</w:t>
      </w:r>
    </w:p>
    <w:p w14:paraId="57D78A16" w14:textId="52C8C9F2" w:rsidR="00230843" w:rsidRDefault="00230843" w:rsidP="00091DD4">
      <w:pPr>
        <w:spacing w:line="360" w:lineRule="auto"/>
      </w:pPr>
      <w:r>
        <w:t>Normal areas are the default areas for multi-area OSPF</w:t>
      </w:r>
      <w:r w:rsidR="00AE39F8">
        <w:t>.</w:t>
      </w:r>
      <w:r>
        <w:t xml:space="preserve"> </w:t>
      </w:r>
      <w:r w:rsidR="00AE39F8">
        <w:t>T</w:t>
      </w:r>
      <w:r>
        <w:t xml:space="preserve">hey utilize type </w:t>
      </w:r>
      <w:r w:rsidR="00E62AEA">
        <w:t xml:space="preserve">1-5 LSAs and </w:t>
      </w:r>
      <w:r w:rsidR="00AE39F8">
        <w:t>each device within the area keeps</w:t>
      </w:r>
      <w:r w:rsidR="00E62AEA">
        <w:t xml:space="preserve"> track of all routing information, be it external, inter-area, or intra-area.</w:t>
      </w:r>
      <w:r w:rsidR="00F87DA3">
        <w:t xml:space="preserve"> Because of this, normal areas will work in all </w:t>
      </w:r>
      <w:r w:rsidR="00BC68E6">
        <w:t>network topologies</w:t>
      </w:r>
      <w:r w:rsidR="00F87DA3">
        <w:t>, though it will be the least efficient solution possible.</w:t>
      </w:r>
      <w:r w:rsidR="001B3775">
        <w:t xml:space="preserve"> All other types of OSPF areas can be considere</w:t>
      </w:r>
      <w:r w:rsidR="004A37A8">
        <w:t xml:space="preserve">d modifications of normal areas </w:t>
      </w:r>
      <w:r w:rsidR="00F87DA3">
        <w:t>which</w:t>
      </w:r>
      <w:r w:rsidR="004A37A8">
        <w:t xml:space="preserve"> reduce the load</w:t>
      </w:r>
      <w:r w:rsidR="00F87DA3">
        <w:t xml:space="preserve"> </w:t>
      </w:r>
      <w:r w:rsidR="003E01CE">
        <w:t xml:space="preserve">most efficiently </w:t>
      </w:r>
      <w:r w:rsidR="00F87DA3">
        <w:t>according to the specific network configuration</w:t>
      </w:r>
      <w:r w:rsidR="0092044A">
        <w:t xml:space="preserve"> and topology</w:t>
      </w:r>
      <w:r w:rsidR="004A37A8">
        <w:t>.</w:t>
      </w:r>
    </w:p>
    <w:p w14:paraId="4C4D8179" w14:textId="4FCA3707" w:rsidR="0091003A" w:rsidRDefault="0091003A" w:rsidP="00AB068E">
      <w:pPr>
        <w:spacing w:line="360" w:lineRule="auto"/>
      </w:pPr>
      <w:r>
        <w:lastRenderedPageBreak/>
        <w:t xml:space="preserve">Stubby areas assume that the area is not connected </w:t>
      </w:r>
      <w:r w:rsidR="00F1413D">
        <w:t>to external autonomous</w:t>
      </w:r>
      <w:r w:rsidR="00AE6B17">
        <w:t xml:space="preserve"> systems</w:t>
      </w:r>
      <w:r w:rsidR="00A358D6">
        <w:t xml:space="preserve">, which </w:t>
      </w:r>
      <w:r w:rsidR="00312D7C">
        <w:t>commonly</w:t>
      </w:r>
      <w:r w:rsidR="00A358D6">
        <w:t xml:space="preserve"> </w:t>
      </w:r>
      <w:r w:rsidR="00312D7C">
        <w:t>occurs</w:t>
      </w:r>
      <w:r w:rsidR="00A358D6">
        <w:t xml:space="preserve"> within OSPF configurations</w:t>
      </w:r>
      <w:r w:rsidR="00F1413D">
        <w:t xml:space="preserve">. </w:t>
      </w:r>
      <w:r w:rsidR="0007441B">
        <w:t xml:space="preserve">Based on </w:t>
      </w:r>
      <w:r w:rsidR="00F1413D">
        <w:t>this assumption</w:t>
      </w:r>
      <w:r w:rsidR="00F562DF">
        <w:t>,</w:t>
      </w:r>
      <w:r w:rsidR="00F1413D">
        <w:t xml:space="preserve"> all traffic to external destinations must first enter anot</w:t>
      </w:r>
      <w:r w:rsidR="00F562DF">
        <w:t xml:space="preserve">her area within OSPF, meaning that there is no need for external routing information within the area. Because of this, stubby areas </w:t>
      </w:r>
      <w:r w:rsidR="008D49FA">
        <w:t xml:space="preserve">can </w:t>
      </w:r>
      <w:r w:rsidR="00F562DF">
        <w:t>block type 4 and 5 LSAs</w:t>
      </w:r>
      <w:r w:rsidR="00D945EB">
        <w:t xml:space="preserve">, which </w:t>
      </w:r>
      <w:r w:rsidR="00F35643">
        <w:t xml:space="preserve">serve to </w:t>
      </w:r>
      <w:r w:rsidR="00D945EB">
        <w:t>communicate information from external processes.</w:t>
      </w:r>
    </w:p>
    <w:p w14:paraId="39DF7703" w14:textId="45BB0E04" w:rsidR="00F1413D" w:rsidRDefault="00F1413D" w:rsidP="00AB068E">
      <w:pPr>
        <w:spacing w:line="360" w:lineRule="auto"/>
      </w:pPr>
      <w:r>
        <w:t xml:space="preserve">Totally stubby areas act as stubby areas with the additional assertion that there is only one exit point to other areas. </w:t>
      </w:r>
      <w:r w:rsidR="00F562DF">
        <w:t>Since</w:t>
      </w:r>
      <w:r>
        <w:t xml:space="preserve"> all traffic to outside the area must exit through that point,</w:t>
      </w:r>
      <w:r w:rsidR="00F562DF">
        <w:t xml:space="preserve"> a default route would suffice for all traffic leaving the area and totally stu</w:t>
      </w:r>
      <w:r w:rsidR="00326C46">
        <w:t>bby areas can block type 3 LSAs, which are used to send inter-area routes.</w:t>
      </w:r>
    </w:p>
    <w:p w14:paraId="4C63F739" w14:textId="3CB1D558" w:rsidR="000B6231" w:rsidRDefault="000B6231" w:rsidP="00AB068E">
      <w:pPr>
        <w:spacing w:line="360" w:lineRule="auto"/>
      </w:pPr>
      <w:r>
        <w:t xml:space="preserve">Not-so-stubby areas act similarly to stubby areas with the exception that redistribution of external routes are </w:t>
      </w:r>
      <w:r w:rsidR="00D8754D">
        <w:t>permitted</w:t>
      </w:r>
      <w:r>
        <w:t xml:space="preserve"> within an area. </w:t>
      </w:r>
      <w:r w:rsidR="008E5270">
        <w:t>NSSAs can be implemented in</w:t>
      </w:r>
      <w:r w:rsidR="00B15243">
        <w:t xml:space="preserve"> stub network</w:t>
      </w:r>
      <w:r w:rsidR="008E5270">
        <w:t xml:space="preserve"> areas </w:t>
      </w:r>
      <w:r w:rsidR="00B15243">
        <w:t xml:space="preserve">that </w:t>
      </w:r>
      <w:r w:rsidR="008E5270">
        <w:t xml:space="preserve">also connect to an external process. </w:t>
      </w:r>
      <w:r>
        <w:t>In order to work around the restriction that type 5 LSAs are not allowed,</w:t>
      </w:r>
      <w:r w:rsidR="0046117D">
        <w:t xml:space="preserve"> NSSA ASBRs generate type 7 LSAs</w:t>
      </w:r>
      <w:r w:rsidR="00124952">
        <w:t xml:space="preserve"> that act as a subs</w:t>
      </w:r>
      <w:r w:rsidR="000E5609">
        <w:t>t</w:t>
      </w:r>
      <w:r w:rsidR="00124952">
        <w:t>itute</w:t>
      </w:r>
      <w:r>
        <w:t>.</w:t>
      </w:r>
      <w:r w:rsidR="00720022">
        <w:t xml:space="preserve"> NSSAs are </w:t>
      </w:r>
      <w:r w:rsidR="00CD3A20">
        <w:t>common</w:t>
      </w:r>
      <w:r w:rsidR="00720022">
        <w:t xml:space="preserve"> in actual OSPF implementation</w:t>
      </w:r>
      <w:r w:rsidR="0044246E">
        <w:t>s</w:t>
      </w:r>
      <w:r w:rsidR="00720022">
        <w:t xml:space="preserve">, as they </w:t>
      </w:r>
      <w:r w:rsidR="007E3A22">
        <w:t>have additional flexibility while maintaining the benefits of stubby area implementations.</w:t>
      </w:r>
    </w:p>
    <w:p w14:paraId="635D0763" w14:textId="3228F6D1" w:rsidR="00091DD4" w:rsidRDefault="00E42CE7" w:rsidP="00AB068E">
      <w:pPr>
        <w:spacing w:line="360" w:lineRule="auto"/>
      </w:pPr>
      <w:r>
        <w:t>Totally not-so-stubby areas have the same restrictions as not-so-stubby areas, but also presume t</w:t>
      </w:r>
      <w:r w:rsidR="00D8754D">
        <w:t>hat the area has one exit point. Essentially a crossover between totally stubby areas and not-so-stubby areas, totally not-so-stubby areas block t</w:t>
      </w:r>
      <w:r w:rsidR="00593588">
        <w:t>ype 3</w:t>
      </w:r>
      <w:r w:rsidR="00852122">
        <w:t>, 4, and 5</w:t>
      </w:r>
      <w:r w:rsidR="0083556E">
        <w:t xml:space="preserve"> </w:t>
      </w:r>
      <w:r w:rsidR="00593588">
        <w:t>LSAs and use type 7 LSAs. Note that this type of OSPF area is not</w:t>
      </w:r>
      <w:r w:rsidR="00B21A82">
        <w:t xml:space="preserve"> </w:t>
      </w:r>
      <w:r w:rsidR="00593588">
        <w:t>commonly used.</w:t>
      </w:r>
    </w:p>
    <w:p w14:paraId="023BC97B" w14:textId="26E3C9FA" w:rsidR="00197CD8" w:rsidRDefault="00B54F6B" w:rsidP="00197CD8">
      <w:pPr>
        <w:spacing w:line="360" w:lineRule="auto"/>
      </w:pPr>
      <w:r>
        <w:t xml:space="preserve">The </w:t>
      </w:r>
      <w:r w:rsidR="00D91DC2">
        <w:t>similarities and differences</w:t>
      </w:r>
      <w:r>
        <w:t xml:space="preserve"> between the area types are summarized in the following table:</w:t>
      </w:r>
    </w:p>
    <w:tbl>
      <w:tblPr>
        <w:tblStyle w:val="TableGrid"/>
        <w:tblW w:w="0" w:type="auto"/>
        <w:tblLook w:val="06A0" w:firstRow="1" w:lastRow="0" w:firstColumn="1" w:lastColumn="0" w:noHBand="1" w:noVBand="1"/>
      </w:tblPr>
      <w:tblGrid>
        <w:gridCol w:w="3865"/>
        <w:gridCol w:w="2610"/>
        <w:gridCol w:w="2875"/>
      </w:tblGrid>
      <w:tr w:rsidR="00091DD4" w14:paraId="4874F2A5" w14:textId="77777777" w:rsidTr="00045BB7">
        <w:tc>
          <w:tcPr>
            <w:tcW w:w="3865" w:type="dxa"/>
          </w:tcPr>
          <w:p w14:paraId="4E0788B9" w14:textId="2D2791A1" w:rsidR="00091DD4" w:rsidRDefault="00091DD4" w:rsidP="00FC7AF6">
            <w:pPr>
              <w:spacing w:line="360" w:lineRule="auto"/>
            </w:pPr>
          </w:p>
        </w:tc>
        <w:tc>
          <w:tcPr>
            <w:tcW w:w="2610" w:type="dxa"/>
          </w:tcPr>
          <w:p w14:paraId="12150517" w14:textId="3CD270B0" w:rsidR="00091DD4" w:rsidRPr="00871A85" w:rsidRDefault="00091DD4" w:rsidP="003F0097">
            <w:pPr>
              <w:spacing w:line="360" w:lineRule="auto"/>
              <w:rPr>
                <w:b/>
              </w:rPr>
            </w:pPr>
            <w:r w:rsidRPr="00871A85">
              <w:rPr>
                <w:b/>
              </w:rPr>
              <w:t>No connection to external autonomous systems (</w:t>
            </w:r>
            <w:r w:rsidR="003F0097">
              <w:rPr>
                <w:b/>
              </w:rPr>
              <w:t>type 4/5 LSAs blocked</w:t>
            </w:r>
            <w:r w:rsidRPr="00871A85">
              <w:rPr>
                <w:b/>
              </w:rPr>
              <w:t>)</w:t>
            </w:r>
          </w:p>
        </w:tc>
        <w:tc>
          <w:tcPr>
            <w:tcW w:w="2875" w:type="dxa"/>
          </w:tcPr>
          <w:p w14:paraId="4B70FBB4" w14:textId="40B2C5F6" w:rsidR="00091DD4" w:rsidRPr="00871A85" w:rsidRDefault="009C66A2" w:rsidP="00197CD8">
            <w:pPr>
              <w:spacing w:line="360" w:lineRule="auto"/>
              <w:rPr>
                <w:b/>
              </w:rPr>
            </w:pPr>
            <w:r>
              <w:rPr>
                <w:b/>
              </w:rPr>
              <w:t>Has connections</w:t>
            </w:r>
            <w:r w:rsidR="00091DD4" w:rsidRPr="00871A85">
              <w:rPr>
                <w:b/>
              </w:rPr>
              <w:t xml:space="preserve"> to external </w:t>
            </w:r>
            <w:r w:rsidR="00197CD8" w:rsidRPr="00871A85">
              <w:rPr>
                <w:b/>
              </w:rPr>
              <w:t>systems</w:t>
            </w:r>
            <w:r w:rsidR="00091DD4" w:rsidRPr="00871A85">
              <w:rPr>
                <w:b/>
              </w:rPr>
              <w:t xml:space="preserve"> (uses type 7 LSAs in place of blocked type 5 LSAs)</w:t>
            </w:r>
          </w:p>
        </w:tc>
      </w:tr>
      <w:tr w:rsidR="00091DD4" w14:paraId="65F1E11D" w14:textId="77777777" w:rsidTr="00045BB7">
        <w:tc>
          <w:tcPr>
            <w:tcW w:w="3865" w:type="dxa"/>
          </w:tcPr>
          <w:p w14:paraId="498D7E01" w14:textId="14A157EF" w:rsidR="00091DD4" w:rsidRPr="00871A85" w:rsidRDefault="00091DD4" w:rsidP="007C6A62">
            <w:pPr>
              <w:spacing w:line="360" w:lineRule="auto"/>
              <w:rPr>
                <w:b/>
              </w:rPr>
            </w:pPr>
            <w:r w:rsidRPr="00871A85">
              <w:rPr>
                <w:b/>
              </w:rPr>
              <w:t>Multiple exit points to other areas (cannot use a default route)</w:t>
            </w:r>
          </w:p>
        </w:tc>
        <w:tc>
          <w:tcPr>
            <w:tcW w:w="2610" w:type="dxa"/>
          </w:tcPr>
          <w:p w14:paraId="5427D2F0" w14:textId="23C70814" w:rsidR="00091DD4" w:rsidRDefault="00091DD4" w:rsidP="00FC7AF6">
            <w:pPr>
              <w:spacing w:line="360" w:lineRule="auto"/>
            </w:pPr>
            <w:r>
              <w:t xml:space="preserve">Stubby </w:t>
            </w:r>
            <w:r w:rsidR="00E7470D">
              <w:t>Area</w:t>
            </w:r>
          </w:p>
        </w:tc>
        <w:tc>
          <w:tcPr>
            <w:tcW w:w="2875" w:type="dxa"/>
          </w:tcPr>
          <w:p w14:paraId="16D43494" w14:textId="702B7B9E" w:rsidR="00091DD4" w:rsidRDefault="00091DD4" w:rsidP="00FC7AF6">
            <w:pPr>
              <w:spacing w:line="360" w:lineRule="auto"/>
            </w:pPr>
            <w:r>
              <w:t>Not-So-Stubby</w:t>
            </w:r>
            <w:r w:rsidR="00E7470D">
              <w:t xml:space="preserve"> Area</w:t>
            </w:r>
          </w:p>
        </w:tc>
      </w:tr>
      <w:tr w:rsidR="00091DD4" w14:paraId="598B3D95" w14:textId="77777777" w:rsidTr="00045BB7">
        <w:tc>
          <w:tcPr>
            <w:tcW w:w="3865" w:type="dxa"/>
          </w:tcPr>
          <w:p w14:paraId="0B55FD17" w14:textId="427262A9" w:rsidR="00091DD4" w:rsidRPr="00871A85" w:rsidRDefault="00091DD4" w:rsidP="008A2CA7">
            <w:pPr>
              <w:spacing w:line="360" w:lineRule="auto"/>
              <w:rPr>
                <w:b/>
              </w:rPr>
            </w:pPr>
            <w:r w:rsidRPr="00871A85">
              <w:rPr>
                <w:b/>
              </w:rPr>
              <w:t>One exit point to other areas (</w:t>
            </w:r>
            <w:r w:rsidR="003F0097">
              <w:rPr>
                <w:b/>
              </w:rPr>
              <w:t>type 3 LSAs blocked</w:t>
            </w:r>
            <w:r w:rsidR="008A2CA7">
              <w:rPr>
                <w:b/>
              </w:rPr>
              <w:t>, uses default route instead</w:t>
            </w:r>
            <w:r w:rsidRPr="00871A85">
              <w:rPr>
                <w:b/>
              </w:rPr>
              <w:t>)</w:t>
            </w:r>
          </w:p>
        </w:tc>
        <w:tc>
          <w:tcPr>
            <w:tcW w:w="2610" w:type="dxa"/>
          </w:tcPr>
          <w:p w14:paraId="7CDB0FE0" w14:textId="246F3A36" w:rsidR="00091DD4" w:rsidRDefault="00091DD4" w:rsidP="00E7470D">
            <w:pPr>
              <w:spacing w:line="360" w:lineRule="auto"/>
            </w:pPr>
            <w:r>
              <w:t xml:space="preserve">Totally </w:t>
            </w:r>
            <w:r w:rsidR="00E7470D">
              <w:t>S</w:t>
            </w:r>
            <w:r>
              <w:t>tubby</w:t>
            </w:r>
            <w:r w:rsidR="00E7470D">
              <w:t xml:space="preserve"> Area</w:t>
            </w:r>
          </w:p>
        </w:tc>
        <w:tc>
          <w:tcPr>
            <w:tcW w:w="2875" w:type="dxa"/>
          </w:tcPr>
          <w:p w14:paraId="7AFD113D" w14:textId="5E458BD7" w:rsidR="00091DD4" w:rsidRDefault="00091DD4" w:rsidP="00FC7AF6">
            <w:pPr>
              <w:spacing w:line="360" w:lineRule="auto"/>
            </w:pPr>
            <w:r>
              <w:t>Totally Not-So-Stubby</w:t>
            </w:r>
            <w:r w:rsidR="00E7470D">
              <w:t xml:space="preserve"> Area</w:t>
            </w:r>
          </w:p>
        </w:tc>
      </w:tr>
    </w:tbl>
    <w:p w14:paraId="52750B2E" w14:textId="2361C174" w:rsidR="006D4605" w:rsidRDefault="006D4605" w:rsidP="00091DD4">
      <w:pPr>
        <w:spacing w:line="360" w:lineRule="auto"/>
      </w:pPr>
    </w:p>
    <w:p w14:paraId="784754B5" w14:textId="3E8FC9F4" w:rsidR="00125595" w:rsidRDefault="005A61B5" w:rsidP="00091DD4">
      <w:pPr>
        <w:spacing w:line="360" w:lineRule="auto"/>
      </w:pPr>
      <w:r>
        <w:t xml:space="preserve">Note that normal areas do not fall under any of the categories listed in the table as no assumptions are made regarding the </w:t>
      </w:r>
      <w:r w:rsidR="004A7DEA">
        <w:t>particular area</w:t>
      </w:r>
      <w:r>
        <w:t>.</w:t>
      </w:r>
      <w:r w:rsidR="00520534">
        <w:t xml:space="preserve"> </w:t>
      </w:r>
    </w:p>
    <w:p w14:paraId="2D43661D" w14:textId="77777777" w:rsidR="00125595" w:rsidRDefault="00125595">
      <w:r>
        <w:br w:type="page"/>
      </w:r>
    </w:p>
    <w:p w14:paraId="3BF3D6FB" w14:textId="4A116B2C" w:rsidR="006D4605" w:rsidRDefault="00B7240D" w:rsidP="00871A85">
      <w:pPr>
        <w:pStyle w:val="Heading1"/>
        <w:ind w:left="720" w:hanging="720"/>
      </w:pPr>
      <w:r>
        <w:lastRenderedPageBreak/>
        <w:t>Link</w:t>
      </w:r>
      <w:r w:rsidR="006D4605">
        <w:t xml:space="preserve"> </w:t>
      </w:r>
      <w:r w:rsidR="009E7824">
        <w:t xml:space="preserve">State Advertisement/Packet </w:t>
      </w:r>
      <w:r w:rsidR="006D4605">
        <w:t>Differences</w:t>
      </w:r>
    </w:p>
    <w:p w14:paraId="0065DEEC" w14:textId="02F5C5A2" w:rsidR="0080497C" w:rsidRDefault="0080497C" w:rsidP="0080497C">
      <w:pPr>
        <w:spacing w:line="360" w:lineRule="auto"/>
      </w:pPr>
      <w:r>
        <w:t>E</w:t>
      </w:r>
      <w:r>
        <w:t xml:space="preserve">ach type of area permits </w:t>
      </w:r>
      <w:r w:rsidR="00E516C9">
        <w:t xml:space="preserve">and blocks </w:t>
      </w:r>
      <w:r>
        <w:t xml:space="preserve">a </w:t>
      </w:r>
      <w:r w:rsidR="00E516C9">
        <w:t>unique</w:t>
      </w:r>
      <w:r>
        <w:t xml:space="preserve"> combination of LSA types based upon its design.</w:t>
      </w:r>
    </w:p>
    <w:p w14:paraId="196293CA" w14:textId="5B0718A3" w:rsidR="00F2505C" w:rsidRDefault="00670076" w:rsidP="00091DD4">
      <w:pPr>
        <w:spacing w:line="360" w:lineRule="auto"/>
      </w:pPr>
      <w:r>
        <w:t xml:space="preserve">Type 3 LSAs are </w:t>
      </w:r>
      <w:r w:rsidR="008379DE">
        <w:t>used in all areas except</w:t>
      </w:r>
      <w:r>
        <w:t xml:space="preserve"> totally stubby areas and totally NSSAs, which assume that the area has one </w:t>
      </w:r>
      <w:r w:rsidR="00A55FAE">
        <w:t xml:space="preserve">exit point. Because all traffic must exit through one point, the area </w:t>
      </w:r>
      <w:r w:rsidR="007629D9">
        <w:t>uses</w:t>
      </w:r>
      <w:r>
        <w:t xml:space="preserve"> a single default route inste</w:t>
      </w:r>
      <w:r w:rsidR="007629D9">
        <w:t>ad of several inter-area routes.</w:t>
      </w:r>
    </w:p>
    <w:p w14:paraId="31D06867" w14:textId="4F47F72D" w:rsidR="00670076" w:rsidRDefault="00670076" w:rsidP="00091DD4">
      <w:pPr>
        <w:spacing w:line="360" w:lineRule="auto"/>
      </w:pPr>
      <w:r>
        <w:t>Type 4 and 5 LSAs</w:t>
      </w:r>
      <w:r w:rsidR="00A55FAE">
        <w:t>, used to communicate external routing information,</w:t>
      </w:r>
      <w:r>
        <w:t xml:space="preserve"> are allowed in normal OSPF areas but are blocked for all other types, which presume that external routes are not necessary.</w:t>
      </w:r>
      <w:r w:rsidR="00A55FAE">
        <w:t xml:space="preserve"> </w:t>
      </w:r>
    </w:p>
    <w:p w14:paraId="3DB8B85B" w14:textId="30D105AA" w:rsidR="00670076" w:rsidRDefault="00670076" w:rsidP="00091DD4">
      <w:pPr>
        <w:spacing w:line="360" w:lineRule="auto"/>
      </w:pPr>
      <w:r>
        <w:t>Type 7 LSAs are only utilized in NSSAs and totally NSSAs as a substitute for type 5 LSAs</w:t>
      </w:r>
      <w:r w:rsidR="003B07D5">
        <w:t>, which are blocked</w:t>
      </w:r>
      <w:r w:rsidR="00283B61">
        <w:t xml:space="preserve"> in such areas</w:t>
      </w:r>
      <w:r w:rsidR="00D955F3">
        <w:t>; like type 5 LSAs, they serve to communicate external routing information. Type 7 LSAs</w:t>
      </w:r>
      <w:r>
        <w:t xml:space="preserve"> are not used by default or in any of the other types of OSPF areas.</w:t>
      </w:r>
      <w:r w:rsidR="002A0860">
        <w:t xml:space="preserve"> When sent across areas, type 7 LSAs </w:t>
      </w:r>
      <w:r w:rsidR="00373A39">
        <w:t xml:space="preserve">will be translated </w:t>
      </w:r>
      <w:r w:rsidR="002A0860">
        <w:t>into type 5 LSAs</w:t>
      </w:r>
      <w:r w:rsidR="00373A39">
        <w:t xml:space="preserve"> by the ABRs</w:t>
      </w:r>
      <w:r w:rsidR="002A0860">
        <w:t>.</w:t>
      </w:r>
    </w:p>
    <w:p w14:paraId="67CA1A3A" w14:textId="5A8773F2" w:rsidR="00376800" w:rsidRPr="006D4605" w:rsidRDefault="0049157B" w:rsidP="00091DD4">
      <w:pPr>
        <w:spacing w:line="360" w:lineRule="auto"/>
      </w:pPr>
      <w:r>
        <w:t xml:space="preserve">The table below </w:t>
      </w:r>
      <w:r w:rsidR="00F2505C">
        <w:t>summarizes</w:t>
      </w:r>
      <w:r>
        <w:t xml:space="preserve"> </w:t>
      </w:r>
      <w:r w:rsidR="0097210A">
        <w:t>which combinations of ce</w:t>
      </w:r>
      <w:r>
        <w:t>rtain LSAs are allowed for each type of OSPF area</w:t>
      </w:r>
      <w:r w:rsidR="00F2505C">
        <w:t xml:space="preserve"> (</w:t>
      </w:r>
      <w:r w:rsidR="002A0860">
        <w:t xml:space="preserve">note that </w:t>
      </w:r>
      <w:r w:rsidR="00F2505C">
        <w:t>all five types use type 1 and 2 LSAs):</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9E7824" w14:paraId="739B7DFB" w14:textId="77777777" w:rsidTr="00045BB7">
        <w:tc>
          <w:tcPr>
            <w:tcW w:w="1558" w:type="dxa"/>
          </w:tcPr>
          <w:p w14:paraId="2284CCC2" w14:textId="0CA15AA9" w:rsidR="009E7824" w:rsidRDefault="009E7824" w:rsidP="00091DD4">
            <w:pPr>
              <w:spacing w:line="360" w:lineRule="auto"/>
            </w:pPr>
          </w:p>
        </w:tc>
        <w:tc>
          <w:tcPr>
            <w:tcW w:w="1558" w:type="dxa"/>
          </w:tcPr>
          <w:p w14:paraId="2BB6115C" w14:textId="46ABC0B3" w:rsidR="009E7824" w:rsidRPr="008A123F" w:rsidRDefault="009E7824" w:rsidP="001F6B94">
            <w:pPr>
              <w:spacing w:line="360" w:lineRule="auto"/>
              <w:rPr>
                <w:b/>
              </w:rPr>
            </w:pPr>
            <w:r w:rsidRPr="008A123F">
              <w:rPr>
                <w:b/>
              </w:rPr>
              <w:t>Normal</w:t>
            </w:r>
          </w:p>
        </w:tc>
        <w:tc>
          <w:tcPr>
            <w:tcW w:w="1559" w:type="dxa"/>
          </w:tcPr>
          <w:p w14:paraId="5BAFF3A2" w14:textId="4DC9EF5F" w:rsidR="009E7824" w:rsidRPr="008A123F" w:rsidRDefault="001F6B94" w:rsidP="001F6B94">
            <w:pPr>
              <w:spacing w:line="360" w:lineRule="auto"/>
              <w:rPr>
                <w:b/>
              </w:rPr>
            </w:pPr>
            <w:r>
              <w:rPr>
                <w:b/>
              </w:rPr>
              <w:t>Stubby</w:t>
            </w:r>
          </w:p>
        </w:tc>
        <w:tc>
          <w:tcPr>
            <w:tcW w:w="1558" w:type="dxa"/>
          </w:tcPr>
          <w:p w14:paraId="082280CC" w14:textId="6F0BCAD8" w:rsidR="009E7824" w:rsidRPr="008A123F" w:rsidRDefault="001F6B94" w:rsidP="001F6B94">
            <w:pPr>
              <w:spacing w:line="360" w:lineRule="auto"/>
              <w:rPr>
                <w:b/>
              </w:rPr>
            </w:pPr>
            <w:r>
              <w:rPr>
                <w:b/>
              </w:rPr>
              <w:t>Totally Stubby</w:t>
            </w:r>
          </w:p>
        </w:tc>
        <w:tc>
          <w:tcPr>
            <w:tcW w:w="1558" w:type="dxa"/>
          </w:tcPr>
          <w:p w14:paraId="2EB3B7A6" w14:textId="097C056B" w:rsidR="009E7824" w:rsidRPr="008A123F" w:rsidRDefault="009E7824" w:rsidP="001F6B94">
            <w:pPr>
              <w:spacing w:line="360" w:lineRule="auto"/>
              <w:rPr>
                <w:b/>
              </w:rPr>
            </w:pPr>
            <w:r w:rsidRPr="008A123F">
              <w:rPr>
                <w:b/>
              </w:rPr>
              <w:t>NSSA</w:t>
            </w:r>
          </w:p>
        </w:tc>
        <w:tc>
          <w:tcPr>
            <w:tcW w:w="1559" w:type="dxa"/>
          </w:tcPr>
          <w:p w14:paraId="3F993538" w14:textId="4FC84F83" w:rsidR="009E7824" w:rsidRPr="008A123F" w:rsidRDefault="009E7824" w:rsidP="001F6B94">
            <w:pPr>
              <w:spacing w:line="360" w:lineRule="auto"/>
              <w:rPr>
                <w:b/>
              </w:rPr>
            </w:pPr>
            <w:r w:rsidRPr="008A123F">
              <w:rPr>
                <w:b/>
              </w:rPr>
              <w:t>Totally NSSA</w:t>
            </w:r>
          </w:p>
        </w:tc>
      </w:tr>
      <w:tr w:rsidR="009E7824" w14:paraId="30B9501A" w14:textId="77777777" w:rsidTr="00045BB7">
        <w:tc>
          <w:tcPr>
            <w:tcW w:w="1558" w:type="dxa"/>
          </w:tcPr>
          <w:p w14:paraId="2F3D01D1" w14:textId="23CF51EF" w:rsidR="009E7824" w:rsidRPr="008A123F" w:rsidRDefault="009E7824" w:rsidP="001F6B94">
            <w:pPr>
              <w:spacing w:line="360" w:lineRule="auto"/>
              <w:rPr>
                <w:b/>
              </w:rPr>
            </w:pPr>
            <w:r w:rsidRPr="008A123F">
              <w:rPr>
                <w:b/>
              </w:rPr>
              <w:t>Type 3</w:t>
            </w:r>
          </w:p>
        </w:tc>
        <w:tc>
          <w:tcPr>
            <w:tcW w:w="1558" w:type="dxa"/>
          </w:tcPr>
          <w:p w14:paraId="04A765FB" w14:textId="04515992" w:rsidR="009E7824" w:rsidRDefault="009E7824" w:rsidP="00091DD4">
            <w:pPr>
              <w:spacing w:line="360" w:lineRule="auto"/>
            </w:pPr>
            <w:r>
              <w:t>Yes</w:t>
            </w:r>
          </w:p>
        </w:tc>
        <w:tc>
          <w:tcPr>
            <w:tcW w:w="1559" w:type="dxa"/>
          </w:tcPr>
          <w:p w14:paraId="527B7DAD" w14:textId="6BF08190" w:rsidR="009E7824" w:rsidRDefault="009E7824" w:rsidP="00091DD4">
            <w:pPr>
              <w:spacing w:line="360" w:lineRule="auto"/>
            </w:pPr>
            <w:r>
              <w:t>Yes</w:t>
            </w:r>
          </w:p>
        </w:tc>
        <w:tc>
          <w:tcPr>
            <w:tcW w:w="1558" w:type="dxa"/>
          </w:tcPr>
          <w:p w14:paraId="66912C03" w14:textId="6E37AB17" w:rsidR="009E7824" w:rsidRDefault="009E7824" w:rsidP="00091DD4">
            <w:pPr>
              <w:spacing w:line="360" w:lineRule="auto"/>
            </w:pPr>
            <w:r>
              <w:t>No</w:t>
            </w:r>
          </w:p>
        </w:tc>
        <w:tc>
          <w:tcPr>
            <w:tcW w:w="1558" w:type="dxa"/>
          </w:tcPr>
          <w:p w14:paraId="6A526AF2" w14:textId="7F1749B6" w:rsidR="009E7824" w:rsidRDefault="009E7824" w:rsidP="00091DD4">
            <w:pPr>
              <w:spacing w:line="360" w:lineRule="auto"/>
            </w:pPr>
            <w:r>
              <w:t>Yes</w:t>
            </w:r>
          </w:p>
        </w:tc>
        <w:tc>
          <w:tcPr>
            <w:tcW w:w="1559" w:type="dxa"/>
          </w:tcPr>
          <w:p w14:paraId="76DDA96A" w14:textId="68AB7409" w:rsidR="009E7824" w:rsidRDefault="009E7824" w:rsidP="00091DD4">
            <w:pPr>
              <w:spacing w:line="360" w:lineRule="auto"/>
            </w:pPr>
            <w:r>
              <w:t>No</w:t>
            </w:r>
          </w:p>
        </w:tc>
      </w:tr>
      <w:tr w:rsidR="009E7824" w14:paraId="63373D39" w14:textId="77777777" w:rsidTr="00045BB7">
        <w:tc>
          <w:tcPr>
            <w:tcW w:w="1558" w:type="dxa"/>
          </w:tcPr>
          <w:p w14:paraId="5042D461" w14:textId="7546B836" w:rsidR="009E7824" w:rsidRPr="008A123F" w:rsidRDefault="009E7824" w:rsidP="001F6B94">
            <w:pPr>
              <w:spacing w:line="360" w:lineRule="auto"/>
              <w:rPr>
                <w:b/>
              </w:rPr>
            </w:pPr>
            <w:r w:rsidRPr="008A123F">
              <w:rPr>
                <w:b/>
              </w:rPr>
              <w:t>Type 4/5</w:t>
            </w:r>
          </w:p>
        </w:tc>
        <w:tc>
          <w:tcPr>
            <w:tcW w:w="1558" w:type="dxa"/>
          </w:tcPr>
          <w:p w14:paraId="24BED8D8" w14:textId="3F04C35A" w:rsidR="009E7824" w:rsidRDefault="009E7824" w:rsidP="00091DD4">
            <w:pPr>
              <w:spacing w:line="360" w:lineRule="auto"/>
            </w:pPr>
            <w:r>
              <w:t>Yes</w:t>
            </w:r>
          </w:p>
        </w:tc>
        <w:tc>
          <w:tcPr>
            <w:tcW w:w="1559" w:type="dxa"/>
          </w:tcPr>
          <w:p w14:paraId="2EDA6C66" w14:textId="704BBDD7" w:rsidR="009E7824" w:rsidRDefault="009E7824" w:rsidP="00091DD4">
            <w:pPr>
              <w:spacing w:line="360" w:lineRule="auto"/>
            </w:pPr>
            <w:r>
              <w:t>No</w:t>
            </w:r>
          </w:p>
        </w:tc>
        <w:tc>
          <w:tcPr>
            <w:tcW w:w="1558" w:type="dxa"/>
          </w:tcPr>
          <w:p w14:paraId="0C7D52C2" w14:textId="53898C16" w:rsidR="009E7824" w:rsidRDefault="009E7824" w:rsidP="00091DD4">
            <w:pPr>
              <w:spacing w:line="360" w:lineRule="auto"/>
            </w:pPr>
            <w:r>
              <w:t>No</w:t>
            </w:r>
          </w:p>
        </w:tc>
        <w:tc>
          <w:tcPr>
            <w:tcW w:w="1558" w:type="dxa"/>
          </w:tcPr>
          <w:p w14:paraId="3EDC9DD0" w14:textId="70C5AD4D" w:rsidR="009E7824" w:rsidRDefault="009E7824" w:rsidP="00091DD4">
            <w:pPr>
              <w:spacing w:line="360" w:lineRule="auto"/>
            </w:pPr>
            <w:r>
              <w:t>No</w:t>
            </w:r>
          </w:p>
        </w:tc>
        <w:tc>
          <w:tcPr>
            <w:tcW w:w="1559" w:type="dxa"/>
          </w:tcPr>
          <w:p w14:paraId="309F1D63" w14:textId="255F12FF" w:rsidR="009E7824" w:rsidRDefault="009E7824" w:rsidP="00091DD4">
            <w:pPr>
              <w:spacing w:line="360" w:lineRule="auto"/>
            </w:pPr>
            <w:r>
              <w:t>No</w:t>
            </w:r>
          </w:p>
        </w:tc>
      </w:tr>
      <w:tr w:rsidR="009E7824" w14:paraId="432D3D7A" w14:textId="77777777" w:rsidTr="00045BB7">
        <w:tc>
          <w:tcPr>
            <w:tcW w:w="1558" w:type="dxa"/>
          </w:tcPr>
          <w:p w14:paraId="5934A0E0" w14:textId="6F416E6A" w:rsidR="009E7824" w:rsidRPr="008A123F" w:rsidRDefault="009E7824" w:rsidP="001F6B94">
            <w:pPr>
              <w:spacing w:line="360" w:lineRule="auto"/>
              <w:rPr>
                <w:b/>
              </w:rPr>
            </w:pPr>
            <w:r w:rsidRPr="008A123F">
              <w:rPr>
                <w:b/>
              </w:rPr>
              <w:t>Type 7</w:t>
            </w:r>
          </w:p>
        </w:tc>
        <w:tc>
          <w:tcPr>
            <w:tcW w:w="1558" w:type="dxa"/>
          </w:tcPr>
          <w:p w14:paraId="3FCA98E7" w14:textId="575BBBC0" w:rsidR="009E7824" w:rsidRDefault="009E7824" w:rsidP="00091DD4">
            <w:pPr>
              <w:spacing w:line="360" w:lineRule="auto"/>
            </w:pPr>
            <w:r>
              <w:t>No</w:t>
            </w:r>
          </w:p>
        </w:tc>
        <w:tc>
          <w:tcPr>
            <w:tcW w:w="1559" w:type="dxa"/>
          </w:tcPr>
          <w:p w14:paraId="530CA42A" w14:textId="7DE7C702" w:rsidR="009E7824" w:rsidRDefault="009E7824" w:rsidP="00091DD4">
            <w:pPr>
              <w:spacing w:line="360" w:lineRule="auto"/>
            </w:pPr>
            <w:r>
              <w:t>No</w:t>
            </w:r>
          </w:p>
        </w:tc>
        <w:tc>
          <w:tcPr>
            <w:tcW w:w="1558" w:type="dxa"/>
          </w:tcPr>
          <w:p w14:paraId="2702C397" w14:textId="148F5FA7" w:rsidR="009E7824" w:rsidRDefault="009E7824" w:rsidP="00091DD4">
            <w:pPr>
              <w:spacing w:line="360" w:lineRule="auto"/>
            </w:pPr>
            <w:r>
              <w:t>No</w:t>
            </w:r>
          </w:p>
        </w:tc>
        <w:tc>
          <w:tcPr>
            <w:tcW w:w="1558" w:type="dxa"/>
          </w:tcPr>
          <w:p w14:paraId="301633A6" w14:textId="3E05C9B0" w:rsidR="009E7824" w:rsidRDefault="009E7824" w:rsidP="00091DD4">
            <w:pPr>
              <w:spacing w:line="360" w:lineRule="auto"/>
            </w:pPr>
            <w:r>
              <w:t>Yes</w:t>
            </w:r>
          </w:p>
        </w:tc>
        <w:tc>
          <w:tcPr>
            <w:tcW w:w="1559" w:type="dxa"/>
          </w:tcPr>
          <w:p w14:paraId="5EC83F32" w14:textId="7CA14BB0" w:rsidR="009E7824" w:rsidRDefault="009E7824" w:rsidP="00091DD4">
            <w:pPr>
              <w:spacing w:line="360" w:lineRule="auto"/>
            </w:pPr>
            <w:r>
              <w:t>Yes</w:t>
            </w:r>
          </w:p>
        </w:tc>
      </w:tr>
    </w:tbl>
    <w:p w14:paraId="6EDCE86E" w14:textId="77777777" w:rsidR="004F1653" w:rsidRDefault="004F1653" w:rsidP="004F1653">
      <w:pPr>
        <w:spacing w:line="360" w:lineRule="auto"/>
      </w:pPr>
    </w:p>
    <w:p w14:paraId="2D4CC81A" w14:textId="2FB01540" w:rsidR="004F1653" w:rsidRDefault="004F1653" w:rsidP="004F1653">
      <w:pPr>
        <w:spacing w:line="360" w:lineRule="auto"/>
      </w:pPr>
      <w:r>
        <w:t>In an OSPF network, packet-sniffing program</w:t>
      </w:r>
      <w:bookmarkStart w:id="0" w:name="_GoBack"/>
      <w:bookmarkEnd w:id="0"/>
      <w:r>
        <w:t xml:space="preserve">s are able to detect the packets being sent between devices, specifically link state advertisement packets. Each LSA packet contains a “LS Type” field, which determines the type of the LSA packet sent. Since each type of area </w:t>
      </w:r>
      <w:r w:rsidR="008379DE">
        <w:t>allows</w:t>
      </w:r>
      <w:r>
        <w:t xml:space="preserve"> </w:t>
      </w:r>
      <w:r w:rsidR="008379DE">
        <w:t xml:space="preserve">a </w:t>
      </w:r>
      <w:r>
        <w:t>different combination of LSA types, the area type can be determined by the presence or absence of certain LSA packet types within the network</w:t>
      </w:r>
      <w:r w:rsidR="00796731">
        <w:t>; i</w:t>
      </w:r>
      <w:r>
        <w:t>n particular, the five OSPF area variations differ in permitting and blo</w:t>
      </w:r>
      <w:r w:rsidR="00796731">
        <w:t xml:space="preserve">cking type 3, 4, 5, and 7 LSAs. </w:t>
      </w:r>
      <w:r w:rsidR="00455C9C">
        <w:t>Because of this</w:t>
      </w:r>
      <w:r w:rsidR="00796731">
        <w:t xml:space="preserve">, </w:t>
      </w:r>
      <w:r w:rsidR="00003513">
        <w:t xml:space="preserve">it is not difficult to </w:t>
      </w:r>
      <w:r w:rsidR="00B969C9">
        <w:t>deduce</w:t>
      </w:r>
      <w:r w:rsidR="00796731">
        <w:t xml:space="preserve"> the </w:t>
      </w:r>
      <w:r w:rsidR="008353DD">
        <w:t xml:space="preserve">particular </w:t>
      </w:r>
      <w:r w:rsidR="00455C9C">
        <w:t>type of OSPF area of a network given enough time capturing packets.</w:t>
      </w:r>
    </w:p>
    <w:p w14:paraId="56C3C947" w14:textId="35102F26" w:rsidR="00570ECF" w:rsidRDefault="00570ECF" w:rsidP="00091DD4">
      <w:pPr>
        <w:spacing w:line="360" w:lineRule="auto"/>
      </w:pPr>
    </w:p>
    <w:sectPr w:rsidR="00570E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371505" w14:textId="77777777" w:rsidR="001751A5" w:rsidRDefault="001751A5" w:rsidP="00BE57C0">
      <w:pPr>
        <w:spacing w:after="0" w:line="240" w:lineRule="auto"/>
      </w:pPr>
      <w:r>
        <w:separator/>
      </w:r>
    </w:p>
  </w:endnote>
  <w:endnote w:type="continuationSeparator" w:id="0">
    <w:p w14:paraId="0EF9F4C6" w14:textId="77777777" w:rsidR="001751A5" w:rsidRDefault="001751A5" w:rsidP="00BE57C0">
      <w:pPr>
        <w:spacing w:after="0" w:line="240" w:lineRule="auto"/>
      </w:pPr>
      <w:r>
        <w:continuationSeparator/>
      </w:r>
    </w:p>
  </w:endnote>
  <w:endnote w:type="continuationNotice" w:id="1">
    <w:p w14:paraId="19C34CAE" w14:textId="77777777" w:rsidR="001751A5" w:rsidRDefault="001751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33046" w14:textId="77777777" w:rsidR="001751A5" w:rsidRDefault="001751A5" w:rsidP="00BE57C0">
      <w:pPr>
        <w:spacing w:after="0" w:line="240" w:lineRule="auto"/>
      </w:pPr>
      <w:r>
        <w:separator/>
      </w:r>
    </w:p>
  </w:footnote>
  <w:footnote w:type="continuationSeparator" w:id="0">
    <w:p w14:paraId="0D6900CA" w14:textId="77777777" w:rsidR="001751A5" w:rsidRDefault="001751A5" w:rsidP="00BE57C0">
      <w:pPr>
        <w:spacing w:after="0" w:line="240" w:lineRule="auto"/>
      </w:pPr>
      <w:r>
        <w:continuationSeparator/>
      </w:r>
    </w:p>
  </w:footnote>
  <w:footnote w:type="continuationNotice" w:id="1">
    <w:p w14:paraId="651C77D6" w14:textId="77777777" w:rsidR="001751A5" w:rsidRDefault="001751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B24C9"/>
    <w:multiLevelType w:val="hybridMultilevel"/>
    <w:tmpl w:val="DD9C4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6623C"/>
    <w:multiLevelType w:val="hybridMultilevel"/>
    <w:tmpl w:val="A31E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E25C7C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CF63EA2"/>
    <w:multiLevelType w:val="hybridMultilevel"/>
    <w:tmpl w:val="12B8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13"/>
    <w:rsid w:val="00001BA9"/>
    <w:rsid w:val="00003513"/>
    <w:rsid w:val="000111C8"/>
    <w:rsid w:val="00045BB7"/>
    <w:rsid w:val="00052234"/>
    <w:rsid w:val="0007441B"/>
    <w:rsid w:val="00091DD4"/>
    <w:rsid w:val="000A12A6"/>
    <w:rsid w:val="000A3977"/>
    <w:rsid w:val="000B6231"/>
    <w:rsid w:val="000E5609"/>
    <w:rsid w:val="0010209C"/>
    <w:rsid w:val="00110B32"/>
    <w:rsid w:val="00110C4A"/>
    <w:rsid w:val="00124952"/>
    <w:rsid w:val="00125595"/>
    <w:rsid w:val="00140A24"/>
    <w:rsid w:val="001724F5"/>
    <w:rsid w:val="001726BA"/>
    <w:rsid w:val="001751A5"/>
    <w:rsid w:val="0018740E"/>
    <w:rsid w:val="00197CD8"/>
    <w:rsid w:val="001A50F6"/>
    <w:rsid w:val="001B3775"/>
    <w:rsid w:val="001F6B94"/>
    <w:rsid w:val="001F7DF3"/>
    <w:rsid w:val="00204D44"/>
    <w:rsid w:val="002065E9"/>
    <w:rsid w:val="0022678D"/>
    <w:rsid w:val="00230843"/>
    <w:rsid w:val="00236BA3"/>
    <w:rsid w:val="002661C0"/>
    <w:rsid w:val="002815D2"/>
    <w:rsid w:val="00283B61"/>
    <w:rsid w:val="002A0860"/>
    <w:rsid w:val="002E0160"/>
    <w:rsid w:val="003022D7"/>
    <w:rsid w:val="00303E7C"/>
    <w:rsid w:val="00312D7C"/>
    <w:rsid w:val="00315C7B"/>
    <w:rsid w:val="00326C46"/>
    <w:rsid w:val="00330543"/>
    <w:rsid w:val="00331A1B"/>
    <w:rsid w:val="003444EA"/>
    <w:rsid w:val="00373A39"/>
    <w:rsid w:val="00376800"/>
    <w:rsid w:val="003802F8"/>
    <w:rsid w:val="0039259B"/>
    <w:rsid w:val="003A6BB4"/>
    <w:rsid w:val="003B07D5"/>
    <w:rsid w:val="003E01CE"/>
    <w:rsid w:val="003F0097"/>
    <w:rsid w:val="003F7BC8"/>
    <w:rsid w:val="00433388"/>
    <w:rsid w:val="0044246E"/>
    <w:rsid w:val="004451CF"/>
    <w:rsid w:val="00455C9C"/>
    <w:rsid w:val="0046117D"/>
    <w:rsid w:val="00490C45"/>
    <w:rsid w:val="0049157B"/>
    <w:rsid w:val="004A37A8"/>
    <w:rsid w:val="004A7DEA"/>
    <w:rsid w:val="004F1653"/>
    <w:rsid w:val="00520534"/>
    <w:rsid w:val="00524F2E"/>
    <w:rsid w:val="00525050"/>
    <w:rsid w:val="00570ECF"/>
    <w:rsid w:val="00593588"/>
    <w:rsid w:val="005A61B5"/>
    <w:rsid w:val="005C7CE6"/>
    <w:rsid w:val="005E4736"/>
    <w:rsid w:val="005F6F08"/>
    <w:rsid w:val="006006FF"/>
    <w:rsid w:val="00602033"/>
    <w:rsid w:val="00610E8E"/>
    <w:rsid w:val="00620426"/>
    <w:rsid w:val="00623CEB"/>
    <w:rsid w:val="00642480"/>
    <w:rsid w:val="00670076"/>
    <w:rsid w:val="00692FF5"/>
    <w:rsid w:val="006A030C"/>
    <w:rsid w:val="006A2F8F"/>
    <w:rsid w:val="006C5DD4"/>
    <w:rsid w:val="006C687C"/>
    <w:rsid w:val="006D4605"/>
    <w:rsid w:val="006D5186"/>
    <w:rsid w:val="0071250F"/>
    <w:rsid w:val="00720022"/>
    <w:rsid w:val="00742348"/>
    <w:rsid w:val="007629D9"/>
    <w:rsid w:val="00796731"/>
    <w:rsid w:val="007A732A"/>
    <w:rsid w:val="007C4941"/>
    <w:rsid w:val="007C6A62"/>
    <w:rsid w:val="007D07F4"/>
    <w:rsid w:val="007E3A22"/>
    <w:rsid w:val="007E3D9F"/>
    <w:rsid w:val="007E69A3"/>
    <w:rsid w:val="0080497C"/>
    <w:rsid w:val="00815B0C"/>
    <w:rsid w:val="008165B7"/>
    <w:rsid w:val="00832FE5"/>
    <w:rsid w:val="008353DD"/>
    <w:rsid w:val="0083556E"/>
    <w:rsid w:val="008379DE"/>
    <w:rsid w:val="00850305"/>
    <w:rsid w:val="00852122"/>
    <w:rsid w:val="00871A85"/>
    <w:rsid w:val="00895AC2"/>
    <w:rsid w:val="008967CA"/>
    <w:rsid w:val="008A123F"/>
    <w:rsid w:val="008A2CA7"/>
    <w:rsid w:val="008B733E"/>
    <w:rsid w:val="008C71B4"/>
    <w:rsid w:val="008D49FA"/>
    <w:rsid w:val="008E1DB4"/>
    <w:rsid w:val="008E3813"/>
    <w:rsid w:val="008E5270"/>
    <w:rsid w:val="0091003A"/>
    <w:rsid w:val="0092044A"/>
    <w:rsid w:val="0097210A"/>
    <w:rsid w:val="009725A5"/>
    <w:rsid w:val="00972CEF"/>
    <w:rsid w:val="00981D79"/>
    <w:rsid w:val="009958E6"/>
    <w:rsid w:val="009C66A2"/>
    <w:rsid w:val="009E7824"/>
    <w:rsid w:val="00A336AC"/>
    <w:rsid w:val="00A358D6"/>
    <w:rsid w:val="00A4140B"/>
    <w:rsid w:val="00A55FAE"/>
    <w:rsid w:val="00A83542"/>
    <w:rsid w:val="00A954E6"/>
    <w:rsid w:val="00AA1407"/>
    <w:rsid w:val="00AA7D75"/>
    <w:rsid w:val="00AB068E"/>
    <w:rsid w:val="00AB6F94"/>
    <w:rsid w:val="00AE39F8"/>
    <w:rsid w:val="00AE6B17"/>
    <w:rsid w:val="00AF0490"/>
    <w:rsid w:val="00B15243"/>
    <w:rsid w:val="00B21A82"/>
    <w:rsid w:val="00B21AEC"/>
    <w:rsid w:val="00B44D95"/>
    <w:rsid w:val="00B537C4"/>
    <w:rsid w:val="00B54F6B"/>
    <w:rsid w:val="00B7240D"/>
    <w:rsid w:val="00B969C9"/>
    <w:rsid w:val="00BB3303"/>
    <w:rsid w:val="00BB704B"/>
    <w:rsid w:val="00BC68E6"/>
    <w:rsid w:val="00BD00AA"/>
    <w:rsid w:val="00BE57C0"/>
    <w:rsid w:val="00BF1901"/>
    <w:rsid w:val="00C01D82"/>
    <w:rsid w:val="00C13F02"/>
    <w:rsid w:val="00C80ACB"/>
    <w:rsid w:val="00CC18CF"/>
    <w:rsid w:val="00CC3437"/>
    <w:rsid w:val="00CD3A20"/>
    <w:rsid w:val="00D52D2F"/>
    <w:rsid w:val="00D75A2A"/>
    <w:rsid w:val="00D80160"/>
    <w:rsid w:val="00D8754D"/>
    <w:rsid w:val="00D91DC2"/>
    <w:rsid w:val="00D945EB"/>
    <w:rsid w:val="00D955F3"/>
    <w:rsid w:val="00DC27D2"/>
    <w:rsid w:val="00DC5FDF"/>
    <w:rsid w:val="00DD1986"/>
    <w:rsid w:val="00DE2AFC"/>
    <w:rsid w:val="00DE617B"/>
    <w:rsid w:val="00E17DC9"/>
    <w:rsid w:val="00E22CEE"/>
    <w:rsid w:val="00E24FE6"/>
    <w:rsid w:val="00E42CE7"/>
    <w:rsid w:val="00E516C9"/>
    <w:rsid w:val="00E62AEA"/>
    <w:rsid w:val="00E7470D"/>
    <w:rsid w:val="00E812FB"/>
    <w:rsid w:val="00E93E38"/>
    <w:rsid w:val="00E96482"/>
    <w:rsid w:val="00EC3E52"/>
    <w:rsid w:val="00ED10D2"/>
    <w:rsid w:val="00ED23B5"/>
    <w:rsid w:val="00F13837"/>
    <w:rsid w:val="00F1413D"/>
    <w:rsid w:val="00F2505C"/>
    <w:rsid w:val="00F26EA7"/>
    <w:rsid w:val="00F35643"/>
    <w:rsid w:val="00F562DF"/>
    <w:rsid w:val="00F63C22"/>
    <w:rsid w:val="00F6462F"/>
    <w:rsid w:val="00F8550C"/>
    <w:rsid w:val="00F87DA3"/>
    <w:rsid w:val="00FB38EE"/>
    <w:rsid w:val="00FC7AF6"/>
    <w:rsid w:val="00FE6546"/>
    <w:rsid w:val="00FF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5F46"/>
  <w15:chartTrackingRefBased/>
  <w15:docId w15:val="{68924B33-B276-4098-BB39-76A3FE2D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CE6"/>
  </w:style>
  <w:style w:type="paragraph" w:styleId="Heading1">
    <w:name w:val="heading 1"/>
    <w:basedOn w:val="Normal"/>
    <w:next w:val="Normal"/>
    <w:link w:val="Heading1Char"/>
    <w:uiPriority w:val="9"/>
    <w:qFormat/>
    <w:rsid w:val="00091DD4"/>
    <w:pPr>
      <w:keepNext/>
      <w:keepLines/>
      <w:pBdr>
        <w:bottom w:val="single" w:sz="4" w:space="1" w:color="5B9BD5" w:themeColor="accent1"/>
      </w:pBdr>
      <w:spacing w:after="40" w:line="360" w:lineRule="auto"/>
      <w:outlineLvl w:val="0"/>
    </w:pPr>
    <w:rPr>
      <w:rFonts w:asciiTheme="majorHAnsi" w:eastAsiaTheme="majorEastAsia" w:hAnsiTheme="majorHAnsi" w:cstheme="majorBidi"/>
      <w:color w:val="2E74B5" w:themeColor="accent1" w:themeShade="BF"/>
      <w:sz w:val="40"/>
      <w:szCs w:val="36"/>
    </w:rPr>
  </w:style>
  <w:style w:type="paragraph" w:styleId="Heading2">
    <w:name w:val="heading 2"/>
    <w:basedOn w:val="Normal"/>
    <w:next w:val="Normal"/>
    <w:link w:val="Heading2Char"/>
    <w:uiPriority w:val="9"/>
    <w:unhideWhenUsed/>
    <w:qFormat/>
    <w:rsid w:val="005C7CE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5C7CE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C7CE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5C7CE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C7CE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C7CE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C7CE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C7CE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0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5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7C0"/>
  </w:style>
  <w:style w:type="paragraph" w:styleId="Footer">
    <w:name w:val="footer"/>
    <w:basedOn w:val="Normal"/>
    <w:link w:val="FooterChar"/>
    <w:uiPriority w:val="99"/>
    <w:unhideWhenUsed/>
    <w:rsid w:val="00BE5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7C0"/>
  </w:style>
  <w:style w:type="character" w:customStyle="1" w:styleId="Heading1Char">
    <w:name w:val="Heading 1 Char"/>
    <w:basedOn w:val="DefaultParagraphFont"/>
    <w:link w:val="Heading1"/>
    <w:uiPriority w:val="9"/>
    <w:rsid w:val="00091DD4"/>
    <w:rPr>
      <w:rFonts w:asciiTheme="majorHAnsi" w:eastAsiaTheme="majorEastAsia" w:hAnsiTheme="majorHAnsi" w:cstheme="majorBidi"/>
      <w:color w:val="2E74B5" w:themeColor="accent1" w:themeShade="BF"/>
      <w:sz w:val="40"/>
      <w:szCs w:val="36"/>
    </w:rPr>
  </w:style>
  <w:style w:type="character" w:customStyle="1" w:styleId="Heading2Char">
    <w:name w:val="Heading 2 Char"/>
    <w:basedOn w:val="DefaultParagraphFont"/>
    <w:link w:val="Heading2"/>
    <w:uiPriority w:val="9"/>
    <w:rsid w:val="005C7CE6"/>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5C7CE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5C7CE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5C7CE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C7CE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C7CE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C7CE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C7CE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C7CE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C7CE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C7CE6"/>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C7CE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C7CE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C7CE6"/>
    <w:rPr>
      <w:b/>
      <w:bCs/>
    </w:rPr>
  </w:style>
  <w:style w:type="character" w:styleId="Emphasis">
    <w:name w:val="Emphasis"/>
    <w:basedOn w:val="DefaultParagraphFont"/>
    <w:uiPriority w:val="20"/>
    <w:qFormat/>
    <w:rsid w:val="005C7CE6"/>
    <w:rPr>
      <w:i/>
      <w:iCs/>
    </w:rPr>
  </w:style>
  <w:style w:type="paragraph" w:styleId="NoSpacing">
    <w:name w:val="No Spacing"/>
    <w:uiPriority w:val="1"/>
    <w:qFormat/>
    <w:rsid w:val="005C7CE6"/>
    <w:pPr>
      <w:spacing w:after="0" w:line="240" w:lineRule="auto"/>
    </w:pPr>
  </w:style>
  <w:style w:type="paragraph" w:styleId="Quote">
    <w:name w:val="Quote"/>
    <w:basedOn w:val="Normal"/>
    <w:next w:val="Normal"/>
    <w:link w:val="QuoteChar"/>
    <w:uiPriority w:val="29"/>
    <w:qFormat/>
    <w:rsid w:val="005C7CE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C7CE6"/>
    <w:rPr>
      <w:i/>
      <w:iCs/>
    </w:rPr>
  </w:style>
  <w:style w:type="paragraph" w:styleId="IntenseQuote">
    <w:name w:val="Intense Quote"/>
    <w:basedOn w:val="Normal"/>
    <w:next w:val="Normal"/>
    <w:link w:val="IntenseQuoteChar"/>
    <w:uiPriority w:val="30"/>
    <w:qFormat/>
    <w:rsid w:val="005C7CE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C7CE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C7CE6"/>
    <w:rPr>
      <w:i/>
      <w:iCs/>
      <w:color w:val="595959" w:themeColor="text1" w:themeTint="A6"/>
    </w:rPr>
  </w:style>
  <w:style w:type="character" w:styleId="IntenseEmphasis">
    <w:name w:val="Intense Emphasis"/>
    <w:basedOn w:val="DefaultParagraphFont"/>
    <w:uiPriority w:val="21"/>
    <w:qFormat/>
    <w:rsid w:val="005C7CE6"/>
    <w:rPr>
      <w:b/>
      <w:bCs/>
      <w:i/>
      <w:iCs/>
    </w:rPr>
  </w:style>
  <w:style w:type="character" w:styleId="SubtleReference">
    <w:name w:val="Subtle Reference"/>
    <w:basedOn w:val="DefaultParagraphFont"/>
    <w:uiPriority w:val="31"/>
    <w:qFormat/>
    <w:rsid w:val="005C7CE6"/>
    <w:rPr>
      <w:smallCaps/>
      <w:color w:val="404040" w:themeColor="text1" w:themeTint="BF"/>
    </w:rPr>
  </w:style>
  <w:style w:type="character" w:styleId="IntenseReference">
    <w:name w:val="Intense Reference"/>
    <w:basedOn w:val="DefaultParagraphFont"/>
    <w:uiPriority w:val="32"/>
    <w:qFormat/>
    <w:rsid w:val="005C7CE6"/>
    <w:rPr>
      <w:b/>
      <w:bCs/>
      <w:smallCaps/>
      <w:u w:val="single"/>
    </w:rPr>
  </w:style>
  <w:style w:type="character" w:styleId="BookTitle">
    <w:name w:val="Book Title"/>
    <w:basedOn w:val="DefaultParagraphFont"/>
    <w:uiPriority w:val="33"/>
    <w:qFormat/>
    <w:rsid w:val="005C7CE6"/>
    <w:rPr>
      <w:b/>
      <w:bCs/>
      <w:smallCaps/>
    </w:rPr>
  </w:style>
  <w:style w:type="paragraph" w:styleId="TOCHeading">
    <w:name w:val="TOC Heading"/>
    <w:basedOn w:val="Heading1"/>
    <w:next w:val="Normal"/>
    <w:uiPriority w:val="39"/>
    <w:semiHidden/>
    <w:unhideWhenUsed/>
    <w:qFormat/>
    <w:rsid w:val="005C7CE6"/>
    <w:pPr>
      <w:outlineLvl w:val="9"/>
    </w:pPr>
  </w:style>
  <w:style w:type="paragraph" w:styleId="EndnoteText">
    <w:name w:val="endnote text"/>
    <w:basedOn w:val="Normal"/>
    <w:link w:val="EndnoteTextChar"/>
    <w:uiPriority w:val="99"/>
    <w:semiHidden/>
    <w:unhideWhenUsed/>
    <w:rsid w:val="005C7C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7CE6"/>
    <w:rPr>
      <w:sz w:val="20"/>
      <w:szCs w:val="20"/>
    </w:rPr>
  </w:style>
  <w:style w:type="character" w:styleId="EndnoteReference">
    <w:name w:val="endnote reference"/>
    <w:basedOn w:val="DefaultParagraphFont"/>
    <w:uiPriority w:val="99"/>
    <w:semiHidden/>
    <w:unhideWhenUsed/>
    <w:rsid w:val="005C7CE6"/>
    <w:rPr>
      <w:vertAlign w:val="superscript"/>
    </w:rPr>
  </w:style>
  <w:style w:type="paragraph" w:styleId="ListParagraph">
    <w:name w:val="List Paragraph"/>
    <w:basedOn w:val="Normal"/>
    <w:uiPriority w:val="34"/>
    <w:qFormat/>
    <w:rsid w:val="005C7CE6"/>
    <w:pPr>
      <w:ind w:left="720"/>
      <w:contextualSpacing/>
    </w:pPr>
  </w:style>
  <w:style w:type="paragraph" w:styleId="NormalWeb">
    <w:name w:val="Normal (Web)"/>
    <w:basedOn w:val="Normal"/>
    <w:uiPriority w:val="99"/>
    <w:unhideWhenUsed/>
    <w:rsid w:val="005C7CE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C7CE6"/>
    <w:rPr>
      <w:sz w:val="16"/>
      <w:szCs w:val="16"/>
    </w:rPr>
  </w:style>
  <w:style w:type="paragraph" w:styleId="CommentText">
    <w:name w:val="annotation text"/>
    <w:basedOn w:val="Normal"/>
    <w:link w:val="CommentTextChar"/>
    <w:uiPriority w:val="99"/>
    <w:semiHidden/>
    <w:unhideWhenUsed/>
    <w:rsid w:val="005C7CE6"/>
    <w:pPr>
      <w:spacing w:line="240" w:lineRule="auto"/>
    </w:pPr>
    <w:rPr>
      <w:sz w:val="20"/>
      <w:szCs w:val="20"/>
    </w:rPr>
  </w:style>
  <w:style w:type="character" w:customStyle="1" w:styleId="CommentTextChar">
    <w:name w:val="Comment Text Char"/>
    <w:basedOn w:val="DefaultParagraphFont"/>
    <w:link w:val="CommentText"/>
    <w:uiPriority w:val="99"/>
    <w:semiHidden/>
    <w:rsid w:val="005C7CE6"/>
    <w:rPr>
      <w:sz w:val="20"/>
      <w:szCs w:val="20"/>
    </w:rPr>
  </w:style>
  <w:style w:type="paragraph" w:styleId="CommentSubject">
    <w:name w:val="annotation subject"/>
    <w:basedOn w:val="CommentText"/>
    <w:next w:val="CommentText"/>
    <w:link w:val="CommentSubjectChar"/>
    <w:uiPriority w:val="99"/>
    <w:semiHidden/>
    <w:unhideWhenUsed/>
    <w:rsid w:val="005C7CE6"/>
    <w:rPr>
      <w:b/>
      <w:bCs/>
    </w:rPr>
  </w:style>
  <w:style w:type="character" w:customStyle="1" w:styleId="CommentSubjectChar">
    <w:name w:val="Comment Subject Char"/>
    <w:basedOn w:val="CommentTextChar"/>
    <w:link w:val="CommentSubject"/>
    <w:uiPriority w:val="99"/>
    <w:semiHidden/>
    <w:rsid w:val="005C7CE6"/>
    <w:rPr>
      <w:b/>
      <w:bCs/>
      <w:sz w:val="20"/>
      <w:szCs w:val="20"/>
    </w:rPr>
  </w:style>
  <w:style w:type="paragraph" w:styleId="BalloonText">
    <w:name w:val="Balloon Text"/>
    <w:basedOn w:val="Normal"/>
    <w:link w:val="BalloonTextChar"/>
    <w:uiPriority w:val="99"/>
    <w:semiHidden/>
    <w:unhideWhenUsed/>
    <w:rsid w:val="005C7C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CE6"/>
    <w:rPr>
      <w:rFonts w:ascii="Segoe UI" w:hAnsi="Segoe UI" w:cs="Segoe UI"/>
      <w:sz w:val="18"/>
      <w:szCs w:val="18"/>
    </w:rPr>
  </w:style>
  <w:style w:type="paragraph" w:styleId="Revision">
    <w:name w:val="Revision"/>
    <w:hidden/>
    <w:uiPriority w:val="99"/>
    <w:semiHidden/>
    <w:rsid w:val="00DD19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6C944-950E-4435-B0AB-5199F727E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4</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Axel J (Student)</dc:creator>
  <cp:keywords/>
  <dc:description/>
  <cp:lastModifiedBy>Li, Axel J (Student)</cp:lastModifiedBy>
  <cp:revision>179</cp:revision>
  <dcterms:created xsi:type="dcterms:W3CDTF">2018-09-12T18:55:00Z</dcterms:created>
  <dcterms:modified xsi:type="dcterms:W3CDTF">2018-09-21T20:23:00Z</dcterms:modified>
</cp:coreProperties>
</file>