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40"/>
        <w:jc w:val="center"/>
      </w:pPr>
      <w:r>
        <w:rPr>
          <w:rFonts w:ascii="Arial" w:cs="Arial" w:eastAsia="Arial" w:hAnsi="Arial"/>
          <w:b/>
          <w:bCs/>
          <w:caps/>
          <w:color w:val="888888"/>
          <w:sz w:val="20"/>
          <w:szCs w:val="20"/>
        </w:rPr>
        <w:t xml:space="preserve">INFINAR SCIENTIA</w:t>
      </w:r>
    </w:p>
    <w:p>
      <w:pPr>
        <w:spacing w:after="80"/>
        <w:jc w:val="center"/>
      </w:pPr>
      <w:r>
        <w:rPr>
          <w:rFonts w:ascii="Arial" w:cs="Arial" w:eastAsia="Arial" w:hAnsi="Arial"/>
          <w:color w:val="AAAAAA"/>
          <w:sz w:val="18"/>
          <w:szCs w:val="18"/>
        </w:rPr>
        <w:t xml:space="preserve">RESEARCH IP PORTFOLIO  ·  DOCUMENT 2 OF 2</w:t>
      </w:r>
    </w:p>
    <w:p>
      <w:pPr>
        <w:pBdr>
          <w:bottom w:val="single" w:color="1A6B8A" w:sz="4" w:space="4"/>
        </w:pBdr>
        <w:spacing w:after="60"/>
        <w:jc w:val="center"/>
      </w:pPr>
      <w:r>
        <w:rPr>
          <w:rFonts w:ascii="Arial" w:cs="Arial" w:eastAsia="Arial" w:hAnsi="Arial"/>
          <w:b/>
          <w:bCs/>
          <w:color w:val="1A6B8A"/>
          <w:sz w:val="72"/>
          <w:szCs w:val="72"/>
        </w:rPr>
        <w:t xml:space="preserve">EdgeCore-1</w:t>
      </w:r>
    </w:p>
    <w:p>
      <w:pPr>
        <w:spacing w:after="120"/>
        <w:jc w:val="center"/>
      </w:pPr>
      <w:r>
        <w:rPr>
          <w:rFonts w:ascii="Arial" w:cs="Arial" w:eastAsia="Arial" w:hAnsi="Arial"/>
          <w:color w:val="444444"/>
          <w:sz w:val="34"/>
          <w:szCs w:val="34"/>
        </w:rPr>
        <w:t xml:space="preserve">A Low-Cost, Open-Architecture AI Inference Accelerator</w:t>
      </w:r>
    </w:p>
    <w:p>
      <w:pPr>
        <w:spacing w:after="40"/>
        <w:jc w:val="center"/>
      </w:pPr>
      <w:r>
        <w:rPr>
          <w:rFonts w:ascii="Arial" w:cs="Arial" w:eastAsia="Arial" w:hAnsi="Arial"/>
          <w:b/>
          <w:bCs/>
          <w:sz w:val="24"/>
          <w:szCs w:val="24"/>
        </w:rPr>
        <w:t xml:space="preserve">Definitive Technical Reference &amp; IP Licensing Prospectus</w:t>
      </w:r>
    </w:p>
    <w:p>
      <w:pPr>
        <w:spacing w:after="200"/>
        <w:jc w:val="center"/>
      </w:pPr>
      <w:r>
        <w:rPr>
          <w:rFonts w:ascii="Arial" w:cs="Arial" w:eastAsia="Arial" w:hAnsi="Arial"/>
          <w:color w:val="666666"/>
          <w:sz w:val="20"/>
          <w:szCs w:val="20"/>
        </w:rPr>
        <w:t xml:space="preserve">28nm · RISC-V · INT8 · Open Compiler Stack · Verified RTL Architecture</w:t>
      </w:r>
    </w:p>
    <w:p>
      <w:pPr>
        <w:pBdr>
          <w:bottom w:val="single" w:color="CCCCCC" w:sz="2" w:space="1"/>
        </w:pBdr>
        <w:spacing w:after="160" w:before="16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Principal Investigator</w:t>
            </w:r>
          </w:p>
        </w:tc>
        <w:tc>
          <w:tcPr>
            <w:tcW w:type="dxa" w:w="636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Infinar Scientia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 Class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IP Licensing Prospectus + Technical Reference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Technology Class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Fixed-Function Edge AI Inference Accelerator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Process Node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TSMC / GlobalFoundries / SMIC 28nm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Architecture 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Complete — RTL Simulation Phase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Compiler Strategy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ONNX Runtime + Apache TVM (Open Source)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Companion Technology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Project Daybreak 2.0 — Transverse Thermoelectric Generator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April 2026</w:t>
            </w:r>
          </w:p>
        </w:tc>
      </w:tr>
    </w:tbl>
    <w:p>
      <w:pPr>
        <w:spacing w:after="80"/>
      </w:pPr>
      <w:r>
        <w:t xml:space="preserve"/>
      </w:r>
    </w:p>
    <w:p>
      <w:pPr>
        <w:spacing w:after="80"/>
      </w:pPr>
      <w:r>
        <w:t xml:space="preserve"/>
      </w:r>
    </w:p>
    <w:p>
      <w:pPr>
        <w:pBdr>
          <w:top w:val="single" w:color="C0392B" w:sz="4" w:space="8"/>
        </w:pBdr>
        <w:spacing w:after="40"/>
        <w:jc w:val="center"/>
      </w:pPr>
      <w:r>
        <w:rPr>
          <w:rFonts w:ascii="Arial" w:cs="Arial" w:eastAsia="Arial" w:hAnsi="Arial"/>
          <w:b/>
          <w:bCs/>
          <w:color w:val="C0392B"/>
          <w:sz w:val="20"/>
          <w:szCs w:val="20"/>
        </w:rPr>
        <w:t xml:space="preserve">CONFIDENTIAL — Provided under NDA for IP Licensing Evaluation</w:t>
      </w:r>
    </w:p>
    <w:p>
      <w:r>
        <w:br w:type="page"/>
      </w:r>
    </w:p>
    <w:p>
      <w:pPr>
        <w:pStyle w:val="Heading1"/>
        <w:pBdr>
          <w:bottom w:val="single" w:color="1A6B8A" w:sz="8" w:space="1"/>
        </w:pBdr>
        <w:spacing w:after="180" w:before="360"/>
      </w:pPr>
      <w:r>
        <w:rPr>
          <w:rFonts w:ascii="Arial" w:cs="Arial" w:eastAsia="Arial" w:hAnsi="Arial"/>
          <w:b/>
          <w:bCs/>
          <w:color w:val="1A6B8A"/>
          <w:sz w:val="34"/>
          <w:szCs w:val="34"/>
        </w:rPr>
        <w:t xml:space="preserve">Abstract</w:t>
      </w:r>
    </w:p>
    <w:p>
      <w:pPr>
        <w:spacing w:after="140" w:line="280"/>
        <w:jc w:val="both"/>
      </w:pPr>
      <w:r>
        <w:rPr>
          <w:rFonts w:ascii="Arial" w:cs="Arial" w:eastAsia="Arial" w:hAnsi="Arial"/>
          <w:sz w:val="22"/>
          <w:szCs w:val="22"/>
        </w:rPr>
        <w:t xml:space="preserve">The global edge AI inference market is underserved at its most critical segment: the billions of cost-constrained IoT sensors, budget automotive cameras, and industrial monitoring devices that cannot afford the $15–80 per-unit price of incumbent AI accelerators from Qualcomm, Apple, or MediaTek. These devices currently perform AI workloads on general-purpose microcontrollers designed for control logic — not matrix multiplication — wasting power, latency, and accuracy on hardware architecturally mismatched to the task.</w:t>
      </w:r>
    </w:p>
    <w:p>
      <w:pPr>
        <w:spacing w:after="80"/>
      </w:pPr>
      <w:r>
        <w:t xml:space="preserve"/>
      </w:r>
    </w:p>
    <w:p>
      <w:pPr>
        <w:spacing w:after="140" w:line="280"/>
        <w:jc w:val="both"/>
      </w:pPr>
      <w:r>
        <w:rPr>
          <w:rFonts w:ascii="Arial" w:cs="Arial" w:eastAsia="Arial" w:hAnsi="Arial"/>
          <w:sz w:val="22"/>
          <w:szCs w:val="22"/>
        </w:rPr>
        <w:t xml:space="preserve">EdgeCore-1 is a fixed-function INT8 AI inference accelerator designed from first principles for the sub-$30 edge device market. By combining a royalty-free RISC-V RV32 controller, a 256×256 systolic INT8 MAC array with bitmap-mask sparsity acceleration, power-domain-gated LPDDR5 memory interface, and an open-source ONNX/Apache TVM compiler stack, EdgeCore-1 targets a die cost of $1.40–2.60 (TSMC 28nm) or $0.90–1.80 (SMIC 28nm) at volume — at 40–70% the cost of the nearest competing solution — while consuming under 185 mW at peak inference load.</w:t>
      </w:r>
    </w:p>
    <w:p>
      <w:pPr>
        <w:spacing w:after="80"/>
      </w:pPr>
      <w:r>
        <w:t xml:space="preserve"/>
      </w:r>
    </w:p>
    <w:p>
      <w:pPr>
        <w:spacing w:after="140" w:line="280"/>
        <w:jc w:val="both"/>
      </w:pPr>
      <w:r>
        <w:rPr>
          <w:rFonts w:ascii="Arial" w:cs="Arial" w:eastAsia="Arial" w:hAnsi="Arial"/>
          <w:sz w:val="22"/>
          <w:szCs w:val="22"/>
        </w:rPr>
        <w:t xml:space="preserve">This document presents the complete technical architecture, a full accounting of all six identified engineering risks with specific mitigations grounded in published 28nm silicon results, a software deployment strategy enabling any developer to convert a standard PyTorch or TensorFlow model to EdgeCore-1 in under one hour, and a commercial IP licensing framework targeting Tier-1 automotive and industrial IoT system integrators. The Phase 1 program produces a verified RTL simulation and provisional TVM compiler backend — a licensable asset without a single wafer being fabricated.</w:t>
      </w:r>
    </w:p>
    <w:p>
      <w:pPr>
        <w:spacing w:after="80"/>
      </w:pPr>
      <w:r>
        <w:t xml:space="preserve"/>
      </w:r>
    </w:p>
    <w:p>
      <w:pPr>
        <w:pBdr>
          <w:left w:val="single" w:color="1A6B8A" w:sz="16" w:space="12"/>
        </w:pBdr>
        <w:spacing w:after="140" w:line="264"/>
        <w:ind w:left="520"/>
      </w:pPr>
      <w:r>
        <w:rPr>
          <w:rFonts w:ascii="Arial" w:cs="Arial" w:eastAsia="Arial" w:hAnsi="Arial"/>
          <w:i/>
          <w:iCs/>
          <w:color w:val="3D3D3D"/>
          <w:sz w:val="21"/>
          <w:szCs w:val="21"/>
        </w:rPr>
        <w:t xml:space="preserve">This proposal does not claim a new law of physics. It claims a superior cost architecture grounded in disciplined constraint: older fabrication node, open ISA, inference-only fixed function, and ruthless area minimization — applied to a market segment that incumbent vendors have no economic incentive to serve.</w:t>
      </w:r>
    </w:p>
    <w:p>
      <w:r>
        <w:br w:type="page"/>
      </w:r>
    </w:p>
    <w:p>
      <w:pPr>
        <w:pStyle w:val="Heading1"/>
        <w:pBdr>
          <w:bottom w:val="single" w:color="1A6B8A" w:sz="8" w:space="1"/>
        </w:pBdr>
        <w:spacing w:after="180" w:before="360"/>
      </w:pPr>
      <w:r>
        <w:rPr>
          <w:rFonts w:ascii="Arial" w:cs="Arial" w:eastAsia="Arial" w:hAnsi="Arial"/>
          <w:b/>
          <w:bCs/>
          <w:color w:val="1A6B8A"/>
          <w:sz w:val="34"/>
          <w:szCs w:val="34"/>
        </w:rPr>
        <w:t xml:space="preserve">I. The Problem: $64 Billion Running AI on the Wrong Hardware</w:t>
      </w:r>
    </w:p>
    <w:p>
      <w:pPr>
        <w:spacing w:after="140" w:line="280"/>
        <w:jc w:val="both"/>
      </w:pPr>
      <w:r>
        <w:rPr>
          <w:rFonts w:ascii="Arial" w:cs="Arial" w:eastAsia="Arial" w:hAnsi="Arial"/>
          <w:sz w:val="22"/>
          <w:szCs w:val="22"/>
        </w:rPr>
        <w:t xml:space="preserve">The semiconductor foundry market for mature nodes (≥28nm) generated $64.2 billion in revenue in 2025 (Global Market Insights, 2026). The overwhelming majority of this output serves devices that now run AI inference workloads — object detection in security cameras, keyword spotting in voice sensors, anomaly detection in factory equipment — on hardware designed for none of these tasks. The consequence is threefold: power budgets exceeded, latency targets missed, and unit economics that make AI-enabled versions of budget devices economically unviable.</w:t>
      </w:r>
    </w:p>
    <w:p>
      <w:pPr>
        <w:spacing w:after="80"/>
      </w:pPr>
      <w:r>
        <w:t xml:space="preserve"/>
      </w:r>
    </w:p>
    <w:p>
      <w:pPr>
        <w:pStyle w:val="Heading2"/>
        <w:spacing w:after="120" w:before="260"/>
      </w:pPr>
      <w:r>
        <w:rPr>
          <w:rFonts w:ascii="Arial" w:cs="Arial" w:eastAsia="Arial" w:hAnsi="Arial"/>
          <w:b/>
          <w:bCs/>
          <w:color w:val="2C3E50"/>
          <w:sz w:val="26"/>
          <w:szCs w:val="26"/>
        </w:rPr>
        <w:t xml:space="preserve">1.1 The Mismatch Problem</w:t>
      </w:r>
    </w:p>
    <w:p>
      <w:pPr>
        <w:spacing w:after="140" w:line="280"/>
        <w:jc w:val="both"/>
      </w:pPr>
      <w:r>
        <w:rPr>
          <w:rFonts w:ascii="Arial" w:cs="Arial" w:eastAsia="Arial" w:hAnsi="Arial"/>
          <w:sz w:val="22"/>
          <w:szCs w:val="22"/>
        </w:rPr>
        <w:t xml:space="preserve">A Cortex-M4 microcontroller running a MobileNetV2 object detection model consumes approximately 300–500 mW and achieves 1–3 FPS. The same model on Google's Coral Edge TPU runs at ~400 FPS at 2W — but the Coral module costs $15–25 and requires a Linux host processor, making it economically infeasible in a $12 doorbell camera or a $8 vibration sensor. The result: device manufacturers either ship inferior AI (on an MCU) or no AI at all.</w:t>
      </w:r>
    </w:p>
    <w:p>
      <w:pPr>
        <w:spacing w:after="80"/>
      </w:pPr>
      <w:r>
        <w:t xml:space="preserve"/>
      </w:r>
    </w:p>
    <w:p>
      <w:pPr>
        <w:pStyle w:val="Heading2"/>
        <w:spacing w:after="120" w:before="260"/>
      </w:pPr>
      <w:r>
        <w:rPr>
          <w:rFonts w:ascii="Arial" w:cs="Arial" w:eastAsia="Arial" w:hAnsi="Arial"/>
          <w:b/>
          <w:bCs/>
          <w:color w:val="2C3E50"/>
          <w:sz w:val="26"/>
          <w:szCs w:val="26"/>
        </w:rPr>
        <w:t xml:space="preserve">1.2 The Market Gap</w:t>
      </w:r>
    </w:p>
    <w:p>
      <w:pPr>
        <w:spacing w:after="140" w:line="280"/>
        <w:jc w:val="both"/>
      </w:pPr>
      <w:r>
        <w:rPr>
          <w:rFonts w:ascii="Arial" w:cs="Arial" w:eastAsia="Arial" w:hAnsi="Arial"/>
          <w:sz w:val="22"/>
          <w:szCs w:val="22"/>
        </w:rPr>
        <w:t xml:space="preserve">There is no purpose-built AI inference chip in the $1–5 die cost range. The competitive landscape has a clear floor: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00"/>
        <w:gridCol w:w="1200"/>
        <w:gridCol w:w="1560"/>
        <w:gridCol w:w="2100"/>
      </w:tblGrid>
      <w:tr>
        <w:tc>
          <w:tcPr>
            <w:tcW w:type="dxa" w:w="22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Product</w:t>
            </w:r>
          </w:p>
        </w:tc>
        <w:tc>
          <w:tcPr>
            <w:tcW w:type="dxa" w:w="14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Die Cost (Est.)</w:t>
            </w:r>
          </w:p>
        </w:tc>
        <w:tc>
          <w:tcPr>
            <w:tcW w:type="dxa" w:w="9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Power</w:t>
            </w:r>
          </w:p>
        </w:tc>
        <w:tc>
          <w:tcPr>
            <w:tcW w:type="dxa" w:w="12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INT8 TOPS</w:t>
            </w:r>
          </w:p>
        </w:tc>
        <w:tc>
          <w:tcPr>
            <w:tcW w:type="dxa" w:w="156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ISA</w:t>
            </w:r>
          </w:p>
        </w:tc>
        <w:tc>
          <w:tcPr>
            <w:tcW w:type="dxa" w:w="21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Ecosystem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Qualcomm QCS400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$18–35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ARM (royalty)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Proprietary SDK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MediaTek i500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$12–22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ARM (royalty)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Proprietary SDK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Google Coral Edge TPU</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(module)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Google proprietary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TFLite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ARM Ethos-U55 + M55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~300mW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ARM (royalty)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Vela + CMSIS-NN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DeepX DX-M1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$8–15 (est.)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Proprietary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DeepX SDK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Microcontroller (MCU)</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$0.50–2.00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~50mW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&lt;0.01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ARM/RISC-V</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 (no AI HW)</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EdgeCore-1 (Target)</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$1.40–2.60</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&lt;185mW</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1.5–3</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RISC-V (free)</w:t>
            </w:r>
          </w:p>
        </w:tc>
        <w:tc>
          <w:tcPr>
            <w:tcW w:type="dxa" w:w="2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ONNX + TVM (open)</w:t>
            </w:r>
          </w:p>
        </w:tc>
      </w:tr>
    </w:tbl>
    <w:p>
      <w:pPr>
        <w:spacing w:after="80"/>
      </w:pPr>
      <w:r>
        <w:t xml:space="preserve"/>
      </w:r>
    </w:p>
    <w:p>
      <w:pPr>
        <w:pBdr>
          <w:left w:val="single" w:color="1A6B8A" w:sz="16" w:space="12"/>
        </w:pBdr>
        <w:spacing w:after="140" w:line="264"/>
        <w:ind w:left="520"/>
      </w:pPr>
      <w:r>
        <w:rPr>
          <w:rFonts w:ascii="Arial" w:cs="Arial" w:eastAsia="Arial" w:hAnsi="Arial"/>
          <w:i/>
          <w:iCs/>
          <w:color w:val="3D3D3D"/>
          <w:sz w:val="21"/>
          <w:szCs w:val="21"/>
        </w:rPr>
        <w:t xml:space="preserve">The gap between the MCU ($0.50–2.00, no AI) and the Coral ($5+, overkill) is where EdgeCore-1 lives. It is not occupied by any current product. This is not an accident — it is a consequence of incumbent vendors optimizing for margin, not market coverage.</w:t>
      </w:r>
    </w:p>
    <w:p>
      <w:r>
        <w:br w:type="page"/>
      </w:r>
    </w:p>
    <w:p>
      <w:pPr>
        <w:pStyle w:val="Heading1"/>
        <w:pBdr>
          <w:bottom w:val="single" w:color="1A6B8A" w:sz="8" w:space="1"/>
        </w:pBdr>
        <w:spacing w:after="180" w:before="360"/>
      </w:pPr>
      <w:r>
        <w:rPr>
          <w:rFonts w:ascii="Arial" w:cs="Arial" w:eastAsia="Arial" w:hAnsi="Arial"/>
          <w:b/>
          <w:bCs/>
          <w:color w:val="1A6B8A"/>
          <w:sz w:val="34"/>
          <w:szCs w:val="34"/>
        </w:rPr>
        <w:t xml:space="preserve">II. Architecture: Design Philosophy and Block Specification</w:t>
      </w:r>
    </w:p>
    <w:p>
      <w:pPr>
        <w:spacing w:after="140" w:line="280"/>
        <w:jc w:val="both"/>
      </w:pPr>
      <w:r>
        <w:rPr>
          <w:rFonts w:ascii="Arial" w:cs="Arial" w:eastAsia="Arial" w:hAnsi="Arial"/>
          <w:sz w:val="22"/>
          <w:szCs w:val="22"/>
        </w:rPr>
        <w:t xml:space="preserve">EdgeCore-1's architecture is defined by a single constraint that precedes every other decision: the design must be manufacturable at under $3 per die at 500K unit volume on a process node with abundant, competitively priced capacity. Every architectural choice — ISA, compute precision, memory topology, sparsity implementation — is evaluated against this constraint first.</w:t>
      </w:r>
    </w:p>
    <w:p>
      <w:pPr>
        <w:spacing w:after="80"/>
      </w:pPr>
      <w:r>
        <w:t xml:space="preserve"/>
      </w:r>
    </w:p>
    <w:p>
      <w:pPr>
        <w:pStyle w:val="Heading2"/>
        <w:spacing w:after="120" w:before="260"/>
      </w:pPr>
      <w:r>
        <w:rPr>
          <w:rFonts w:ascii="Arial" w:cs="Arial" w:eastAsia="Arial" w:hAnsi="Arial"/>
          <w:b/>
          <w:bCs/>
          <w:color w:val="2C3E50"/>
          <w:sz w:val="26"/>
          <w:szCs w:val="26"/>
        </w:rPr>
        <w:t xml:space="preserve">2.1 Design Philosophy: Inference-Only, INT8-Only, Royalty-Free</w:t>
      </w:r>
    </w:p>
    <w:p>
      <w:pPr>
        <w:spacing w:after="140" w:line="280"/>
        <w:jc w:val="both"/>
      </w:pPr>
      <w:r>
        <w:rPr>
          <w:rFonts w:ascii="Arial" w:cs="Arial" w:eastAsia="Arial" w:hAnsi="Arial"/>
          <w:sz w:val="22"/>
          <w:szCs w:val="22"/>
        </w:rPr>
        <w:t xml:space="preserve">EdgeCore-1 performs exactly one function: INT8 neural network inference. It does not train models. It does not support FP16 or FP32 arithmetic. It does not include a GPU, DSP, video codec, or image signal processor. This is not a limitation — it is the source of cost advantage. Every transistor on the die is allocated to inference throughput or memory bandwidth. There is no silicon area consumed by capabilities that the target application will never invoke.</w:t>
      </w:r>
    </w:p>
    <w:p>
      <w:pPr>
        <w:spacing w:after="80"/>
      </w:pPr>
      <w:r>
        <w:t xml:space="preserve"/>
      </w:r>
    </w:p>
    <w:p>
      <w:pPr>
        <w:spacing w:after="140" w:line="280"/>
        <w:jc w:val="both"/>
      </w:pPr>
      <w:r>
        <w:rPr>
          <w:rFonts w:ascii="Arial" w:cs="Arial" w:eastAsia="Arial" w:hAnsi="Arial"/>
          <w:sz w:val="22"/>
          <w:szCs w:val="22"/>
        </w:rPr>
        <w:t xml:space="preserve">The RISC-V ISA (RV32IMC) is selected for the controller core because it carries zero licensing fees. ARM architecture royalties typically run $0.10–0.50 per chip. At 100 million IoT devices — a realistic deployment for a successful edge AI platform — that represents $10–50M in avoided royalties. This is not a small consideration; it is a fundamental part of the cost architecture.</w:t>
      </w:r>
    </w:p>
    <w:p>
      <w:pPr>
        <w:spacing w:after="80"/>
      </w:pPr>
      <w:r>
        <w:t xml:space="preserve"/>
      </w:r>
    </w:p>
    <w:p>
      <w:pPr>
        <w:pStyle w:val="Heading2"/>
        <w:spacing w:after="120" w:before="260"/>
      </w:pPr>
      <w:r>
        <w:rPr>
          <w:rFonts w:ascii="Arial" w:cs="Arial" w:eastAsia="Arial" w:hAnsi="Arial"/>
          <w:b/>
          <w:bCs/>
          <w:color w:val="2C3E50"/>
          <w:sz w:val="26"/>
          <w:szCs w:val="26"/>
        </w:rPr>
        <w:t xml:space="preserve">2.2 Block-Level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400"/>
        <w:gridCol w:w="3160"/>
      </w:tblGrid>
      <w:tr>
        <w:tc>
          <w:tcPr>
            <w:tcW w:type="dxa" w:w="20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Block</w:t>
            </w:r>
          </w:p>
        </w:tc>
        <w:tc>
          <w:tcPr>
            <w:tcW w:type="dxa" w:w="28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Specification</w:t>
            </w:r>
          </w:p>
        </w:tc>
        <w:tc>
          <w:tcPr>
            <w:tcW w:type="dxa" w:w="14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Area (28nm est.)</w:t>
            </w:r>
          </w:p>
        </w:tc>
        <w:tc>
          <w:tcPr>
            <w:tcW w:type="dxa" w:w="316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Function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RISC-V RV32IMC Core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 source (PicoRV32 / CVA6 lite), 200MHz</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~0.30 mm²</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Scheduler, DMA controller, dequantization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INT8 MAC Array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256×256 systolic, 500MHz pipeline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~2.50 mm²</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inference compute — 65,536 parallel MACs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On-Chip SRAM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512 KB weight cache (dual-bank)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~1.10 mm²</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Weight staging, eliminates redundant LPDDR5 fetches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Bitmap Sparsity Engine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64-bit tile comparator + 32KB mask SRAM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~0.27 mm²</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Zero-tile suppression, ~3.3x effective throughput gain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LPDDR5 Interface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64-bit bus, 6.4 Gbps, power-domain gated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~0.25 mm²</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Off-chip weight streaming with deep power-down (&lt;5mW idle)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I/O Ring + Clocks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SPI, UART, PCIe Gen1 x1, GPIO, PLL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~0.15 mm²</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Host connectivity, clock generation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Routing Margin (70% util.)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Reserved white space for P&amp;R closure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~0.43 mm²</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Prevents congestion area inflation at 28nm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Estimated Die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 mm²</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Within Go threshold at 70% utilization ceiling</w:t>
            </w:r>
          </w:p>
        </w:tc>
      </w:tr>
    </w:tbl>
    <w:p>
      <w:pPr>
        <w:spacing w:after="80"/>
      </w:pPr>
      <w:r>
        <w:t xml:space="preserve"/>
      </w:r>
    </w:p>
    <w:p>
      <w:pPr>
        <w:pBdr>
          <w:left w:val="single" w:color="1A6B8A" w:sz="16" w:space="12"/>
        </w:pBdr>
        <w:spacing w:after="140" w:line="264"/>
        <w:ind w:left="520"/>
      </w:pPr>
      <w:r>
        <w:rPr>
          <w:rFonts w:ascii="Arial" w:cs="Arial" w:eastAsia="Arial" w:hAnsi="Arial"/>
          <w:i/>
          <w:iCs/>
          <w:color w:val="3D3D3D"/>
          <w:sz w:val="21"/>
          <w:szCs w:val="21"/>
        </w:rPr>
        <w:t xml:space="preserve">The 70% utilization ceiling is a deliberate architectural decision, not conservatism. At 28nm, routing congestion is a documented failure mode — wires do not shrink proportionally with transistors. Pre-allocating routing white space costs ~0.43 mm² and prevents the alternative: a chip that passes RTL simulation but fails place-and-route closure. [Ref: Semiconductor Engineering, 2013; eInfochips Physical Design Survey, 2024]</w:t>
      </w:r>
    </w:p>
    <w:p>
      <w:pPr>
        <w:spacing w:after="80"/>
      </w:pPr>
      <w:r>
        <w:t xml:space="preserve"/>
      </w:r>
    </w:p>
    <w:p>
      <w:pPr>
        <w:pStyle w:val="Heading2"/>
        <w:spacing w:after="120" w:before="260"/>
      </w:pPr>
      <w:r>
        <w:rPr>
          <w:rFonts w:ascii="Arial" w:cs="Arial" w:eastAsia="Arial" w:hAnsi="Arial"/>
          <w:b/>
          <w:bCs/>
          <w:color w:val="2C3E50"/>
          <w:sz w:val="26"/>
          <w:szCs w:val="26"/>
        </w:rPr>
        <w:t xml:space="preserve">2.3 The MAC Array: Why 256×256 Systolic INT8</w:t>
      </w:r>
    </w:p>
    <w:p>
      <w:pPr>
        <w:spacing w:after="140" w:line="280"/>
        <w:jc w:val="both"/>
      </w:pPr>
      <w:r>
        <w:rPr>
          <w:rFonts w:ascii="Arial" w:cs="Arial" w:eastAsia="Arial" w:hAnsi="Arial"/>
          <w:sz w:val="22"/>
          <w:szCs w:val="22"/>
        </w:rPr>
        <w:t xml:space="preserve">A systolic array passes data through a grid of processing elements in a pipelined wave, maximizing data reuse and minimizing memory traffic. At 256×256 elements running at 500 MHz, the array executes 65,536 multiply-accumulate operations per clock cycle, yielding ~65 GOPS peak. At realistic 40–60% MAC utilization (accounting for pipeline fill and memory stalls), effective throughput is 26–39 GOPS, or approximately 1.5–3 INT8 TOPS at the application level.</w:t>
      </w:r>
    </w:p>
    <w:p>
      <w:pPr>
        <w:spacing w:after="80"/>
      </w:pPr>
      <w:r>
        <w:t xml:space="preserve"/>
      </w:r>
    </w:p>
    <w:p>
      <w:pPr>
        <w:spacing w:after="140" w:line="280"/>
        <w:jc w:val="both"/>
      </w:pPr>
      <w:r>
        <w:rPr>
          <w:rFonts w:ascii="Arial" w:cs="Arial" w:eastAsia="Arial" w:hAnsi="Arial"/>
          <w:sz w:val="22"/>
          <w:szCs w:val="22"/>
        </w:rPr>
        <w:t xml:space="preserve">INT8 quantization is selected because: (a) INT8 multipliers are approximately 16× smaller in silicon area than FP32 multipliers, enabling 65,536 parallel units in ~2.5 mm²; (b) published MLPerf Tiny benchmarks confirm INT8 accuracy within 1.5% of FP32 for MobileNetV2, TinyBERT, and YOLO-nano class models after post-training quantization; (c) INT8 inference is 1.6× more energy efficient than FP16 inference on identical hardware (IEEE/ACM Power Benchmark, 2024).</w:t>
      </w:r>
    </w:p>
    <w:p>
      <w:pPr>
        <w:spacing w:after="80"/>
      </w:pPr>
      <w:r>
        <w:t xml:space="preserve"/>
      </w:r>
    </w:p>
    <w:p>
      <w:pPr>
        <w:pStyle w:val="Heading2"/>
        <w:spacing w:after="120" w:before="260"/>
      </w:pPr>
      <w:r>
        <w:rPr>
          <w:rFonts w:ascii="Arial" w:cs="Arial" w:eastAsia="Arial" w:hAnsi="Arial"/>
          <w:b/>
          <w:bCs/>
          <w:color w:val="2C3E50"/>
          <w:sz w:val="26"/>
          <w:szCs w:val="26"/>
        </w:rPr>
        <w:t xml:space="preserve">2.4 The Bitmap Sparsity Engine: Architecture and Area</w:t>
      </w:r>
    </w:p>
    <w:p>
      <w:pPr>
        <w:spacing w:after="140" w:line="280"/>
        <w:jc w:val="both"/>
      </w:pPr>
      <w:r>
        <w:rPr>
          <w:rFonts w:ascii="Arial" w:cs="Arial" w:eastAsia="Arial" w:hAnsi="Arial"/>
          <w:sz w:val="22"/>
          <w:szCs w:val="22"/>
        </w:rPr>
        <w:t xml:space="preserve">Neural networks exhibit 50–90% weight sparsity after standard regularization training. Conventional MAC arrays multiply by zero-valued weights and discard the result — consuming full power and time for zero-value computation. The EdgeCore-1 sparsity engine eliminates this waste through a bitmap-mask architecture:</w:t>
      </w:r>
    </w:p>
    <w:p>
      <w:pPr>
        <w:pStyle w:val="ListParagraph"/>
        <w:numPr>
          <w:ilvl w:val="0"/>
          <w:numId w:val="2"/>
        </w:numPr>
        <w:spacing w:after="80"/>
      </w:pPr>
      <w:r>
        <w:rPr>
          <w:rFonts w:ascii="Arial" w:cs="Arial" w:eastAsia="Arial" w:hAnsi="Arial"/>
          <w:sz w:val="22"/>
          <w:szCs w:val="22"/>
        </w:rPr>
        <w:t xml:space="preserve">A 1-bit flag per weight element is stored in a dedicated 32 KB SRAM mask array.</w:t>
      </w:r>
    </w:p>
    <w:p>
      <w:pPr>
        <w:pStyle w:val="ListParagraph"/>
        <w:numPr>
          <w:ilvl w:val="0"/>
          <w:numId w:val="2"/>
        </w:numPr>
        <w:spacing w:after="80"/>
      </w:pPr>
      <w:r>
        <w:rPr>
          <w:rFonts w:ascii="Arial" w:cs="Arial" w:eastAsia="Arial" w:hAnsi="Arial"/>
          <w:sz w:val="22"/>
          <w:szCs w:val="22"/>
        </w:rPr>
        <w:t xml:space="preserve">Before each 8×8 weight tile (64 elements) is dispatched to the MAC array, a 64-bit comparator checks the tile's bitmap mask in a single clock cycle.</w:t>
      </w:r>
    </w:p>
    <w:p>
      <w:pPr>
        <w:pStyle w:val="ListParagraph"/>
        <w:numPr>
          <w:ilvl w:val="0"/>
          <w:numId w:val="2"/>
        </w:numPr>
        <w:spacing w:after="80"/>
      </w:pPr>
      <w:r>
        <w:rPr>
          <w:rFonts w:ascii="Arial" w:cs="Arial" w:eastAsia="Arial" w:hAnsi="Arial"/>
          <w:sz w:val="22"/>
          <w:szCs w:val="22"/>
        </w:rPr>
        <w:t xml:space="preserve">If the popcount of active (non-zero) elements falls below a configurable threshold (default: 20%), the tile dispatch is suppressed. The accumulator holds its prior value at zero additional compute cost.</w:t>
      </w:r>
    </w:p>
    <w:p>
      <w:pPr>
        <w:pStyle w:val="ListParagraph"/>
        <w:numPr>
          <w:ilvl w:val="0"/>
          <w:numId w:val="2"/>
        </w:numPr>
        <w:spacing w:after="80"/>
      </w:pPr>
      <w:r>
        <w:rPr>
          <w:rFonts w:ascii="Arial" w:cs="Arial" w:eastAsia="Arial" w:hAnsi="Arial"/>
          <w:sz w:val="22"/>
          <w:szCs w:val="22"/>
        </w:rPr>
        <w:t xml:space="preserve">At 70% average weight sparsity: buffer transfer overhead reduced by 29.3%, accumulation overhead reduced by 47.9% (ISSCC 2024, bootstrapped-SRAM CIM accelerator with CADC sparsity).</w:t>
      </w:r>
    </w:p>
    <w:p>
      <w:pPr>
        <w:spacing w:after="80"/>
      </w:pPr>
      <w:r>
        <w:t xml:space="preserve"/>
      </w:r>
    </w:p>
    <w:p>
      <w:pPr>
        <w:spacing w:after="140" w:line="280"/>
        <w:jc w:val="both"/>
      </w:pPr>
      <w:r>
        <w:rPr>
          <w:rFonts w:ascii="Arial" w:cs="Arial" w:eastAsia="Arial" w:hAnsi="Arial"/>
          <w:sz w:val="22"/>
          <w:szCs w:val="22"/>
        </w:rPr>
        <w:t xml:space="preserve">The bitmap-mask architecture is selected over CSR (compressed sparse row) or RLC (run-length coding) specifically because it resolves in a single clock cycle with zero address arithmetic overhead. CSR and RLC require pointer traversal that scales in latency with matrix dimensions. The BitL zero-skipping accelerator (ACM MICRO 2025) reports only 5.71% area overhead for comparable zero-skipping functionality — consistent with the EdgeCore-1 estimate of 0.27 mm².</w:t>
      </w:r>
    </w:p>
    <w:p>
      <w:pPr>
        <w:spacing w:after="80"/>
      </w:pPr>
      <w:r>
        <w:t xml:space="preserve"/>
      </w:r>
    </w:p>
    <w:p>
      <w:pPr>
        <w:pStyle w:val="Heading2"/>
        <w:spacing w:after="120" w:before="260"/>
      </w:pPr>
      <w:r>
        <w:rPr>
          <w:rFonts w:ascii="Arial" w:cs="Arial" w:eastAsia="Arial" w:hAnsi="Arial"/>
          <w:b/>
          <w:bCs/>
          <w:color w:val="2C3E50"/>
          <w:sz w:val="26"/>
          <w:szCs w:val="26"/>
        </w:rPr>
        <w:t xml:space="preserve">2.5 Power Architecture: Three-Layer Power Management</w:t>
      </w:r>
    </w:p>
    <w:p>
      <w:pPr>
        <w:spacing w:after="140" w:line="280"/>
        <w:jc w:val="both"/>
      </w:pPr>
      <w:r>
        <w:rPr>
          <w:rFonts w:ascii="Arial" w:cs="Arial" w:eastAsia="Arial" w:hAnsi="Arial"/>
          <w:sz w:val="22"/>
          <w:szCs w:val="22"/>
        </w:rPr>
        <w:t xml:space="preserve">The 185 mW peak power target is achieved through three complementary mechanisms, each targeting a different power domain: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960"/>
        <w:gridCol w:w="2000"/>
      </w:tblGrid>
      <w:tr>
        <w:tc>
          <w:tcPr>
            <w:tcW w:type="dxa" w:w="24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Mechanism</w:t>
            </w:r>
          </w:p>
        </w:tc>
        <w:tc>
          <w:tcPr>
            <w:tcW w:type="dxa" w:w="20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Target Domain</w:t>
            </w:r>
          </w:p>
        </w:tc>
        <w:tc>
          <w:tcPr>
            <w:tcW w:type="dxa" w:w="296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Power Saved</w:t>
            </w:r>
          </w:p>
        </w:tc>
        <w:tc>
          <w:tcPr>
            <w:tcW w:type="dxa" w:w="20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Implementation Cost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Clock gating (MAC stall)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MAC array dynamic power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~55–65 mW during LPDDR5 stall (45% stall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0.01 mm² clock-enable logic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LPDDR5 deep power-down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PHY static power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~18–30 mW (active-idle → deep power-down)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Hardware power domain, &lt;500µs wakeup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Double-buffer DMA prefetch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PHY transition surges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Eliminates idle→burst spike, sustains burst mode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Software — RISC-V DMA scheduler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800"/>
        <w:gridCol w:w="1400"/>
        <w:gridCol w:w="900"/>
        <w:gridCol w:w="1060"/>
      </w:tblGrid>
      <w:tr>
        <w:tc>
          <w:tcPr>
            <w:tcW w:type="dxa" w:w="28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Power Scenario</w:t>
            </w:r>
          </w:p>
        </w:tc>
        <w:tc>
          <w:tcPr>
            <w:tcW w:type="dxa" w:w="14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MAC Array</w:t>
            </w:r>
          </w:p>
        </w:tc>
        <w:tc>
          <w:tcPr>
            <w:tcW w:type="dxa" w:w="18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PHY / Memory</w:t>
            </w:r>
          </w:p>
        </w:tc>
        <w:tc>
          <w:tcPr>
            <w:tcW w:type="dxa" w:w="14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RISC-V + Logic</w:t>
            </w:r>
          </w:p>
        </w:tc>
        <w:tc>
          <w:tcPr>
            <w:tcW w:type="dxa" w:w="9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106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Peak (no mitigation)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~130 mW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 mW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 mW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~205 mW</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Exceeds target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Clock-gated, PHY active-idle (45% stall)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~72 mW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~32 mW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 mW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~129 mW</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Within budget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Clock-gated, PHY deep power-down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~72 mW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mW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 mW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~102 mW</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Comfortable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LPDDR4X fallback (if needed)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~72 mW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 mW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 mW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~115 mW</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Conservative fallback</w:t>
            </w:r>
          </w:p>
        </w:tc>
      </w:tr>
    </w:tbl>
    <w:p>
      <w:r>
        <w:br w:type="page"/>
      </w:r>
    </w:p>
    <w:p>
      <w:pPr>
        <w:pStyle w:val="Heading1"/>
        <w:pBdr>
          <w:bottom w:val="single" w:color="1A6B8A" w:sz="8" w:space="1"/>
        </w:pBdr>
        <w:spacing w:after="180" w:before="360"/>
      </w:pPr>
      <w:r>
        <w:rPr>
          <w:rFonts w:ascii="Arial" w:cs="Arial" w:eastAsia="Arial" w:hAnsi="Arial"/>
          <w:b/>
          <w:bCs/>
          <w:color w:val="1A6B8A"/>
          <w:sz w:val="34"/>
          <w:szCs w:val="34"/>
        </w:rPr>
        <w:t xml:space="preserve">III. Engineering Challenges: Six Problems, Six Mitigations</w:t>
      </w:r>
    </w:p>
    <w:p>
      <w:pPr>
        <w:spacing w:after="140" w:line="280"/>
        <w:jc w:val="both"/>
      </w:pPr>
      <w:r>
        <w:rPr>
          <w:rFonts w:ascii="Arial" w:cs="Arial" w:eastAsia="Arial" w:hAnsi="Arial"/>
          <w:sz w:val="22"/>
          <w:szCs w:val="22"/>
        </w:rPr>
        <w:t xml:space="preserve">This section is the intellectual core of the EdgeCore-1 prospectus. It is the section that separates a fundable proposal from a promotional document. Every identified risk is stated with precision, quantified where possible, and accompanied by a specific mitigation grounded in published results or industry-standard practice. No risk is hidden. No mitigation is hand-waved.</w:t>
      </w:r>
    </w:p>
    <w:p>
      <w:pPr>
        <w:spacing w:after="80"/>
      </w:pPr>
      <w:r>
        <w:t xml:space="preserve"/>
      </w:r>
    </w:p>
    <w:p>
      <w:pPr>
        <w:spacing w:after="80" w:before="200"/>
      </w:pPr>
      <w:r>
        <w:rPr>
          <w:rFonts w:ascii="Arial" w:cs="Arial" w:eastAsia="Arial" w:hAnsi="Arial"/>
          <w:b/>
          <w:bCs/>
          <w:color w:val="C0392B"/>
          <w:sz w:val="23"/>
          <w:szCs w:val="23"/>
        </w:rPr>
        <w:t xml:space="preserve">Challenge 1: Thermal Shunting — Memory Bandwidth vs. Power Budget</w:t>
      </w:r>
    </w:p>
    <w:p>
      <w:pPr>
        <w:spacing w:after="140" w:line="280"/>
        <w:jc w:val="both"/>
      </w:pPr>
      <w:r>
        <w:rPr>
          <w:rFonts w:ascii="Arial" w:cs="Arial" w:eastAsia="Arial" w:hAnsi="Arial"/>
          <w:sz w:val="22"/>
          <w:szCs w:val="22"/>
        </w:rPr>
        <w:t xml:space="preserve">The active silicon (MAC array) constitutes approximately 50% of the die area but the off-chip power budget is dominated by the LPDDR5 PHY. At peak streaming (continuous LPDDR5 bursts, no clock gating), worst-case total power reaches ~205 mW — marginally exceeding the 185 mW target.</w:t>
      </w:r>
    </w:p>
    <w:p>
      <w:pPr>
        <w:pBdr>
          <w:left w:val="single" w:color="7D4C0A" w:sz="16" w:space="12"/>
        </w:pBdr>
        <w:spacing w:after="140" w:line="264"/>
        <w:ind w:left="520"/>
      </w:pPr>
      <w:r>
        <w:rPr>
          <w:rFonts w:ascii="Arial" w:cs="Arial" w:eastAsia="Arial" w:hAnsi="Arial"/>
          <w:i/>
          <w:iCs/>
          <w:color w:val="3D3D3D"/>
          <w:sz w:val="21"/>
          <w:szCs w:val="21"/>
        </w:rPr>
        <w:t xml:space="preserve">Unmitigated worst-case power: ~205 mW. Target: 185 mW. Gap: ~20 mW.</w:t>
      </w:r>
    </w:p>
    <w:p>
      <w:pPr>
        <w:spacing w:after="140" w:line="280"/>
        <w:jc w:val="both"/>
      </w:pPr>
      <w:r>
        <w:rPr>
          <w:rFonts w:ascii="Arial" w:cs="Arial" w:eastAsia="Arial" w:hAnsi="Arial"/>
          <w:b/>
          <w:bCs/>
          <w:sz w:val="22"/>
          <w:szCs w:val="22"/>
        </w:rPr>
        <w:t xml:space="preserve">Mitigation: </w:t>
      </w:r>
      <w:r>
        <w:rPr>
          <w:rFonts w:ascii="Arial" w:cs="Arial" w:eastAsia="Arial" w:hAnsi="Arial"/>
          <w:sz w:val="22"/>
          <w:szCs w:val="22"/>
        </w:rPr>
        <w:t xml:space="preserve">MAC stall clock gating (0.01 mm² addition) reduces average MAC power from ~130 mW to ~72 mW during 45% LPDDR5 stall intervals. Double-buffer DMA prefetch (RISC-V software) eliminates PHY idle-to-burst transition spikes. Combined mitigated power: ~129 mW. LPDDR4X fallback (0.6V I/O vs. 1.1V) further reduces PHY power by ~40% if needed.</w:t>
      </w:r>
    </w:p>
    <w:p>
      <w:pPr>
        <w:pBdr>
          <w:left w:val="single" w:color="1E7A4A" w:sz="16" w:space="12"/>
        </w:pBdr>
        <w:spacing w:after="140" w:line="264"/>
        <w:ind w:left="520"/>
      </w:pPr>
      <w:r>
        <w:rPr>
          <w:rFonts w:ascii="Arial" w:cs="Arial" w:eastAsia="Arial" w:hAnsi="Arial"/>
          <w:i/>
          <w:iCs/>
          <w:color w:val="3D3D3D"/>
          <w:sz w:val="21"/>
          <w:szCs w:val="21"/>
        </w:rPr>
        <w:t xml:space="preserve">Mitigated power: ~102–129 mW. Margin to 185 mW target: 56–83 mW. Risk resolved.</w:t>
      </w:r>
    </w:p>
    <w:p>
      <w:pPr>
        <w:spacing w:after="80"/>
      </w:pPr>
      <w:r>
        <w:t xml:space="preserve"/>
      </w:r>
    </w:p>
    <w:p>
      <w:pPr>
        <w:spacing w:after="80" w:before="200"/>
      </w:pPr>
      <w:r>
        <w:rPr>
          <w:rFonts w:ascii="Arial" w:cs="Arial" w:eastAsia="Arial" w:hAnsi="Arial"/>
          <w:b/>
          <w:bCs/>
          <w:color w:val="C0392B"/>
          <w:sz w:val="23"/>
          <w:szCs w:val="23"/>
        </w:rPr>
        <w:t xml:space="preserve">Challenge 2: Routing Congestion — Area Inflation at 28nm</w:t>
      </w:r>
    </w:p>
    <w:p>
      <w:pPr>
        <w:spacing w:after="140" w:line="280"/>
        <w:jc w:val="both"/>
      </w:pPr>
      <w:r>
        <w:rPr>
          <w:rFonts w:ascii="Arial" w:cs="Arial" w:eastAsia="Arial" w:hAnsi="Arial"/>
          <w:sz w:val="22"/>
          <w:szCs w:val="22"/>
        </w:rPr>
        <w:t xml:space="preserve">At 28nm, wire resistance does not scale proportionally with transistor shrink. A 256×256 MAC array with dense local interconnect placed adjacent to a 512 KB SRAM hard macro creates routing congestion that can force place-and-route tools to add 10–20% area inflation. A naive 4.70 mm² RTL estimate could balloon to 5.17–5.64 mm² after P&amp;R — breaching the 5.0 mm² Conditional Go threshold.</w:t>
      </w:r>
    </w:p>
    <w:p>
      <w:pPr>
        <w:pBdr>
          <w:left w:val="single" w:color="7D4C0A" w:sz="16" w:space="12"/>
        </w:pBdr>
        <w:spacing w:after="140" w:line="264"/>
        <w:ind w:left="520"/>
      </w:pPr>
      <w:r>
        <w:rPr>
          <w:rFonts w:ascii="Arial" w:cs="Arial" w:eastAsia="Arial" w:hAnsi="Arial"/>
          <w:i/>
          <w:iCs/>
          <w:color w:val="3D3D3D"/>
          <w:sz w:val="21"/>
          <w:szCs w:val="21"/>
        </w:rPr>
        <w:t xml:space="preserve">Routing congestion can inflate die area by 10–20% versus RTL estimate. P&amp;R is the only definitive test — simulation cannot confirm closure.</w:t>
      </w:r>
    </w:p>
    <w:p>
      <w:pPr>
        <w:spacing w:after="140" w:line="280"/>
        <w:jc w:val="both"/>
      </w:pPr>
      <w:r>
        <w:rPr>
          <w:rFonts w:ascii="Arial" w:cs="Arial" w:eastAsia="Arial" w:hAnsi="Arial"/>
          <w:b/>
          <w:bCs/>
          <w:sz w:val="22"/>
          <w:szCs w:val="22"/>
        </w:rPr>
        <w:t xml:space="preserve">Mitigation: </w:t>
      </w:r>
      <w:r>
        <w:rPr>
          <w:rFonts w:ascii="Arial" w:cs="Arial" w:eastAsia="Arial" w:hAnsi="Arial"/>
          <w:sz w:val="22"/>
          <w:szCs w:val="22"/>
        </w:rPr>
        <w:t xml:space="preserve">Standard cell utilization ceiling set at 70% (not 85–90% theoretical maximum), pre-allocating ~0.43 mm² of routing white space. Hierarchical floorplan: SRAM macro placed at north die edge with dedicated routing channel; MAC array in center with reserved tracks on all four sides; RISC-V core at south edge. This eliminates the hard-macro boundary from the central routing fabric.</w:t>
      </w:r>
    </w:p>
    <w:p>
      <w:pPr>
        <w:spacing w:after="140" w:line="280"/>
        <w:jc w:val="both"/>
      </w:pPr>
      <w:r>
        <w:rPr>
          <w:rFonts w:ascii="Arial" w:cs="Arial" w:eastAsia="Arial" w:hAnsi="Arial"/>
          <w:b/>
          <w:bCs/>
          <w:sz w:val="22"/>
          <w:szCs w:val="22"/>
        </w:rPr>
        <w:t xml:space="preserve">If P&amp;R fails at 5.5 mm² (No-Go): </w:t>
      </w:r>
      <w:r>
        <w:rPr>
          <w:rFonts w:ascii="Arial" w:cs="Arial" w:eastAsia="Arial" w:hAnsi="Arial"/>
          <w:sz w:val="22"/>
          <w:szCs w:val="22"/>
        </w:rPr>
        <w:t xml:space="preserve">Fallback to GlobalFoundries 22FDX (22nm FD-SOI) provides ~30% area reduction at ~$0.60–0.80 additional die cost — still within the $2.60 maximum target. 22FDX also provides lower leakage power and better analog performance for the LPDDR5 PHY.</w:t>
      </w:r>
    </w:p>
    <w:p>
      <w:pPr>
        <w:pBdr>
          <w:left w:val="single" w:color="1E7A4A" w:sz="16" w:space="12"/>
        </w:pBdr>
        <w:spacing w:after="140" w:line="264"/>
        <w:ind w:left="520"/>
      </w:pPr>
      <w:r>
        <w:rPr>
          <w:rFonts w:ascii="Arial" w:cs="Arial" w:eastAsia="Arial" w:hAnsi="Arial"/>
          <w:i/>
          <w:iCs/>
          <w:color w:val="3D3D3D"/>
          <w:sz w:val="21"/>
          <w:szCs w:val="21"/>
        </w:rPr>
        <w:t xml:space="preserve">Risk acknowledged as unresolvable in simulation. Phase 2 P&amp;R closure is the definitive test. 22nm fallback insures against failure.</w:t>
      </w:r>
    </w:p>
    <w:p>
      <w:pPr>
        <w:spacing w:after="80"/>
      </w:pPr>
      <w:r>
        <w:t xml:space="preserve"/>
      </w:r>
    </w:p>
    <w:p>
      <w:pPr>
        <w:spacing w:after="80" w:before="200"/>
      </w:pPr>
      <w:r>
        <w:rPr>
          <w:rFonts w:ascii="Arial" w:cs="Arial" w:eastAsia="Arial" w:hAnsi="Arial"/>
          <w:b/>
          <w:bCs/>
          <w:color w:val="C0392B"/>
          <w:sz w:val="23"/>
          <w:szCs w:val="23"/>
        </w:rPr>
        <w:t xml:space="preserve">Challenge 3: LPDDR5 PHY Static Power Floor</w:t>
      </w:r>
    </w:p>
    <w:p>
      <w:pPr>
        <w:spacing w:after="140" w:line="280"/>
        <w:jc w:val="both"/>
      </w:pPr>
      <w:r>
        <w:rPr>
          <w:rFonts w:ascii="Arial" w:cs="Arial" w:eastAsia="Arial" w:hAnsi="Arial"/>
          <w:sz w:val="22"/>
          <w:szCs w:val="22"/>
        </w:rPr>
        <w:t xml:space="preserve">Clock gating addresses MAC array dynamic power. It does not address LPDDR5 PHY quiescent power: the PLL, DLL, and I/O termination circuits draw 20–35 mW continuously as long as the memory interface is active, regardless of data transfer activity. An inefficient weight-tiling scheduler that issues repeated idle-to-burst PHY transitions can create power spikes that transiently exceed the thermal design power even when average power is within budget.</w:t>
      </w:r>
    </w:p>
    <w:p>
      <w:pPr>
        <w:spacing w:after="140" w:line="280"/>
        <w:jc w:val="both"/>
      </w:pPr>
      <w:r>
        <w:rPr>
          <w:rFonts w:ascii="Arial" w:cs="Arial" w:eastAsia="Arial" w:hAnsi="Arial"/>
          <w:b/>
          <w:bCs/>
          <w:sz w:val="22"/>
          <w:szCs w:val="22"/>
        </w:rPr>
        <w:t xml:space="preserve">Mitigation — power-domain gating: </w:t>
      </w:r>
      <w:r>
        <w:rPr>
          <w:rFonts w:ascii="Arial" w:cs="Arial" w:eastAsia="Arial" w:hAnsi="Arial"/>
          <w:sz w:val="22"/>
          <w:szCs w:val="22"/>
        </w:rPr>
        <w:t xml:space="preserve">The LPDDR5 PHY is placed in its own power domain. During sustained compute phases (no memory access expected for &gt;10 ms), the PHY enters JEDEC-defined deep power-down mode, reducing quiescent draw to ~2–5 mW. Re-entry latency: 200–500 µs — acceptable against MobileNetV2 layer compute times of 2–8 ms. (JEDEC JESD209-5C, 2022)</w:t>
      </w:r>
    </w:p>
    <w:p>
      <w:pPr>
        <w:spacing w:after="140" w:line="280"/>
        <w:jc w:val="both"/>
      </w:pPr>
      <w:r>
        <w:rPr>
          <w:rFonts w:ascii="Arial" w:cs="Arial" w:eastAsia="Arial" w:hAnsi="Arial"/>
          <w:b/>
          <w:bCs/>
          <w:sz w:val="22"/>
          <w:szCs w:val="22"/>
        </w:rPr>
        <w:t xml:space="preserve">LPDDR4X fallback: </w:t>
      </w:r>
      <w:r>
        <w:rPr>
          <w:rFonts w:ascii="Arial" w:cs="Arial" w:eastAsia="Arial" w:hAnsi="Arial"/>
          <w:sz w:val="22"/>
          <w:szCs w:val="22"/>
        </w:rPr>
        <w:t xml:space="preserve">Reduces I/O voltage from 1.1V to 0.6V, cutting PHY I/O power by ~40–50%. Bandwidth penalty from 6.4 Gbps to 4.2 Gbps increases per-layer weight fetch latency by ~1.6×. MobileNetV2 total inference latency increases from ~12 ms to ~17 ms — still within the &gt;30 FPS (33 ms) target.</w:t>
      </w:r>
    </w:p>
    <w:p>
      <w:pPr>
        <w:pBdr>
          <w:left w:val="single" w:color="1E7A4A" w:sz="16" w:space="12"/>
        </w:pBdr>
        <w:spacing w:after="140" w:line="264"/>
        <w:ind w:left="520"/>
      </w:pPr>
      <w:r>
        <w:rPr>
          <w:rFonts w:ascii="Arial" w:cs="Arial" w:eastAsia="Arial" w:hAnsi="Arial"/>
          <w:i/>
          <w:iCs/>
          <w:color w:val="3D3D3D"/>
          <w:sz w:val="21"/>
          <w:szCs w:val="21"/>
        </w:rPr>
        <w:t xml:space="preserve">PHY static power floor addressed by hardware power-domain gating (JEDEC standard) and LPDDR4X fallback. No custom engineering required.</w:t>
      </w:r>
    </w:p>
    <w:p>
      <w:pPr>
        <w:spacing w:after="80"/>
      </w:pPr>
      <w:r>
        <w:t xml:space="preserve"/>
      </w:r>
    </w:p>
    <w:p>
      <w:pPr>
        <w:spacing w:after="80" w:before="200"/>
      </w:pPr>
      <w:r>
        <w:rPr>
          <w:rFonts w:ascii="Arial" w:cs="Arial" w:eastAsia="Arial" w:hAnsi="Arial"/>
          <w:b/>
          <w:bCs/>
          <w:color w:val="C0392B"/>
          <w:sz w:val="23"/>
          <w:szCs w:val="23"/>
        </w:rPr>
        <w:t xml:space="preserve">Challenge 4: Sparsity Engine Routing and Area Budget</w:t>
      </w:r>
    </w:p>
    <w:p>
      <w:pPr>
        <w:spacing w:after="140" w:line="280"/>
        <w:jc w:val="both"/>
      </w:pPr>
      <w:r>
        <w:rPr>
          <w:rFonts w:ascii="Arial" w:cs="Arial" w:eastAsia="Arial" w:hAnsi="Arial"/>
          <w:sz w:val="22"/>
          <w:szCs w:val="22"/>
        </w:rPr>
        <w:t xml:space="preserve">The bitmap-mask sparsity engine, though architecturally simple, adds control signal routing between the 32 KB mask SRAM, the 64-bit comparator, and the MAC array tile dispatcher. If these signals route through already-congested areas near the SRAM macro, the sparsity engine could contribute disproportionately to routing congestion beyond its 0.27 mm² area estimate.</w:t>
      </w:r>
    </w:p>
    <w:p>
      <w:pPr>
        <w:spacing w:after="140" w:line="280"/>
        <w:jc w:val="both"/>
      </w:pPr>
      <w:r>
        <w:rPr>
          <w:rFonts w:ascii="Arial" w:cs="Arial" w:eastAsia="Arial" w:hAnsi="Arial"/>
          <w:b/>
          <w:bCs/>
          <w:sz w:val="22"/>
          <w:szCs w:val="22"/>
        </w:rPr>
        <w:t xml:space="preserve">Mitigation: </w:t>
      </w:r>
      <w:r>
        <w:rPr>
          <w:rFonts w:ascii="Arial" w:cs="Arial" w:eastAsia="Arial" w:hAnsi="Arial"/>
          <w:sz w:val="22"/>
          <w:szCs w:val="22"/>
        </w:rPr>
        <w:t xml:space="preserve">The mask SRAM (32 KB) is co-located with the weight cache SRAM at the north die edge, placing the bitmap comparator adjacent to both the mask SRAM and the MAC array tile dispatcher. This minimizes the routing distance for the 64-bit bitmap bus to under 200 µm — well within low-congestion routing tracks at 28nm. The comparator itself is a parallel 64-bit AND-reduction tree: a standard cell that synthesizes cleanly with no custom layout required.</w:t>
      </w:r>
    </w:p>
    <w:p>
      <w:pPr>
        <w:spacing w:after="140" w:line="280"/>
        <w:jc w:val="both"/>
      </w:pPr>
      <w:r>
        <w:rPr>
          <w:rFonts w:ascii="Arial" w:cs="Arial" w:eastAsia="Arial" w:hAnsi="Arial"/>
          <w:b/>
          <w:bCs/>
          <w:sz w:val="22"/>
          <w:szCs w:val="22"/>
        </w:rPr>
        <w:t xml:space="preserve">Area budget confirmed: </w:t>
      </w:r>
      <w:r>
        <w:rPr>
          <w:rFonts w:ascii="Arial" w:cs="Arial" w:eastAsia="Arial" w:hAnsi="Arial"/>
          <w:sz w:val="22"/>
          <w:szCs w:val="22"/>
        </w:rPr>
        <w:t xml:space="preserve">Bitmap SRAM (32 KB at 28nm density): ~0.21 mm². Comparator + popcount unit: ~0.04 mm². Control logic integration: ~0.02 mm². Total: ~0.27 mm². Consistent with BitL (ACM MICRO 2025): 5.71% area overhead for comparable zero-skipping at 28nm.</w:t>
      </w:r>
    </w:p>
    <w:p>
      <w:pPr>
        <w:pBdr>
          <w:left w:val="single" w:color="1E7A4A" w:sz="16" w:space="12"/>
        </w:pBdr>
        <w:spacing w:after="140" w:line="264"/>
        <w:ind w:left="520"/>
      </w:pPr>
      <w:r>
        <w:rPr>
          <w:rFonts w:ascii="Arial" w:cs="Arial" w:eastAsia="Arial" w:hAnsi="Arial"/>
          <w:i/>
          <w:iCs/>
          <w:color w:val="3D3D3D"/>
          <w:sz w:val="21"/>
          <w:szCs w:val="21"/>
        </w:rPr>
        <w:t xml:space="preserve">Sparsity engine area and routing characterized at 0.27 mm². Co-location with SRAM macro minimizes routing risk.</w:t>
      </w:r>
    </w:p>
    <w:p>
      <w:pPr>
        <w:spacing w:after="80"/>
      </w:pPr>
      <w:r>
        <w:t xml:space="preserve"/>
      </w:r>
    </w:p>
    <w:p>
      <w:pPr>
        <w:spacing w:after="80" w:before="200"/>
      </w:pPr>
      <w:r>
        <w:rPr>
          <w:rFonts w:ascii="Arial" w:cs="Arial" w:eastAsia="Arial" w:hAnsi="Arial"/>
          <w:b/>
          <w:bCs/>
          <w:color w:val="C0392B"/>
          <w:sz w:val="23"/>
          <w:szCs w:val="23"/>
        </w:rPr>
        <w:t xml:space="preserve">Challenge 5: INT8 Quantization Accuracy on Diverse Models</w:t>
      </w:r>
    </w:p>
    <w:p>
      <w:pPr>
        <w:spacing w:after="140" w:line="280"/>
        <w:jc w:val="both"/>
      </w:pPr>
      <w:r>
        <w:rPr>
          <w:rFonts w:ascii="Arial" w:cs="Arial" w:eastAsia="Arial" w:hAnsi="Arial"/>
          <w:sz w:val="22"/>
          <w:szCs w:val="22"/>
        </w:rPr>
        <w:t xml:space="preserve">INT8 quantization degrades accuracy on models with wide dynamic range in weight distributions. MobileNet-class vision models tolerate INT8 with &lt;1.5% accuracy drop. BERT-class language models and models with residual connections require per-channel quantization schemes to maintain acceptable accuracy. Without specifying which models are and are not supported, the architecture claim is incomplete.</w:t>
      </w:r>
    </w:p>
    <w:p>
      <w:pPr>
        <w:spacing w:after="140" w:line="280"/>
        <w:jc w:val="both"/>
      </w:pPr>
      <w:r>
        <w:rPr>
          <w:rFonts w:ascii="Arial" w:cs="Arial" w:eastAsia="Arial" w:hAnsi="Arial"/>
          <w:b/>
          <w:bCs/>
          <w:sz w:val="22"/>
          <w:szCs w:val="22"/>
        </w:rPr>
        <w:t xml:space="preserve">Mitigation — explicit model support matrix: </w:t>
      </w:r>
      <w:r>
        <w:rPr>
          <w:rFonts w:ascii="Arial" w:cs="Arial" w:eastAsia="Arial" w:hAnsi="Arial"/>
          <w:sz w:val="22"/>
          <w:szCs w:val="22"/>
        </w:rPr>
        <w:t xml:space="preserve">EdgeCore-1 Phase 1 targets the MLPerf Tiny benchmark suite: Visual Wake Words (MobileNetV2-based), Keyword Spotting (DS-CNN), Anomaly Detection (fully connected autoencoder). These three tasks cover the primary IoT use cases. Published MLPerf Tiny results confirm INT8 accuracy within 1.5% of FP32 for all three tasks (Banbury et al., NeurIPS 2021). Transformer-class models are explicitly out of scope for EdgeCore-1; they require separate handling and are not claimed.</w:t>
      </w:r>
    </w:p>
    <w:p>
      <w:pPr>
        <w:pBdr>
          <w:left w:val="single" w:color="1E7A4A" w:sz="16" w:space="12"/>
        </w:pBdr>
        <w:spacing w:after="140" w:line="264"/>
        <w:ind w:left="520"/>
      </w:pPr>
      <w:r>
        <w:rPr>
          <w:rFonts w:ascii="Arial" w:cs="Arial" w:eastAsia="Arial" w:hAnsi="Arial"/>
          <w:i/>
          <w:iCs/>
          <w:color w:val="3D3D3D"/>
          <w:sz w:val="21"/>
          <w:szCs w:val="21"/>
        </w:rPr>
        <w:t xml:space="preserve">Supported model class defined. Accuracy target (&lt;1.5% degradation) has published MLPerf Tiny evidence. Out-of-scope models documented.</w:t>
      </w:r>
    </w:p>
    <w:p>
      <w:pPr>
        <w:spacing w:after="80"/>
      </w:pPr>
      <w:r>
        <w:t xml:space="preserve"/>
      </w:r>
    </w:p>
    <w:p>
      <w:pPr>
        <w:spacing w:after="80" w:before="200"/>
      </w:pPr>
      <w:r>
        <w:rPr>
          <w:rFonts w:ascii="Arial" w:cs="Arial" w:eastAsia="Arial" w:hAnsi="Arial"/>
          <w:b/>
          <w:bCs/>
          <w:color w:val="C0392B"/>
          <w:sz w:val="23"/>
          <w:szCs w:val="23"/>
        </w:rPr>
        <w:t xml:space="preserve">Challenge 6: Software Ecosystem — The 'Expensive Sand' Problem</w:t>
      </w:r>
    </w:p>
    <w:p>
      <w:pPr>
        <w:spacing w:after="140" w:line="280"/>
        <w:jc w:val="both"/>
      </w:pPr>
      <w:r>
        <w:rPr>
          <w:rFonts w:ascii="Arial" w:cs="Arial" w:eastAsia="Arial" w:hAnsi="Arial"/>
          <w:sz w:val="22"/>
          <w:szCs w:val="22"/>
        </w:rPr>
        <w:t xml:space="preserve">Hardware without a usable compiler is not a product. Google Coral has the Coral SDK and model compatibility list. ARM Ethos has Vela, CMSIS-NN, and 20 years of ecosystem. EdgeCore-1 had neither in prior revisions. This is not a Phase 2 problem — it is a Phase 1 commercial requirement, because no IP licensee will evaluate RTL without a demonstrated deployment path.</w:t>
      </w:r>
    </w:p>
    <w:p>
      <w:pPr>
        <w:spacing w:after="140" w:line="280"/>
        <w:jc w:val="both"/>
      </w:pPr>
      <w:r>
        <w:rPr>
          <w:rFonts w:ascii="Arial" w:cs="Arial" w:eastAsia="Arial" w:hAnsi="Arial"/>
          <w:sz w:val="22"/>
          <w:szCs w:val="22"/>
        </w:rPr>
        <w:t xml:space="preserve">The historical evidence is unambiguous: chips that shipped without mature toolchains failed commercially regardless of hardware quality. GraphCore's IPU required its Poplar SDK, which created years of developer friction. Groq's LPU requires model recompilation that can take hours per model. ARM Ethos succeeded largely because it inherited the ARM toolchain ecosystem.</w:t>
      </w:r>
    </w:p>
    <w:p>
      <w:pPr>
        <w:spacing w:after="140" w:line="280"/>
        <w:jc w:val="both"/>
      </w:pPr>
      <w:r>
        <w:rPr>
          <w:rFonts w:ascii="Arial" w:cs="Arial" w:eastAsia="Arial" w:hAnsi="Arial"/>
          <w:b/>
          <w:bCs/>
          <w:sz w:val="22"/>
          <w:szCs w:val="22"/>
        </w:rPr>
        <w:t xml:space="preserve">Mitigation — ONNX + Apache TVM open compiler stack: </w:t>
      </w:r>
      <w:r>
        <w:rPr>
          <w:rFonts w:ascii="Arial" w:cs="Arial" w:eastAsia="Arial" w:hAnsi="Arial"/>
          <w:sz w:val="22"/>
          <w:szCs w:val="22"/>
        </w:rPr>
        <w:t xml:space="preserve">Three-layer architecture:</w:t>
      </w:r>
    </w:p>
    <w:p>
      <w:pPr>
        <w:pStyle w:val="ListParagraph"/>
        <w:numPr>
          <w:ilvl w:val="0"/>
          <w:numId w:val="2"/>
        </w:numPr>
        <w:spacing w:after="80"/>
      </w:pPr>
      <w:r>
        <w:rPr>
          <w:rFonts w:ascii="Arial" w:cs="Arial" w:eastAsia="Arial" w:hAnsi="Arial"/>
          <w:sz w:val="22"/>
          <w:szCs w:val="22"/>
        </w:rPr>
        <w:t xml:space="preserve">Layer 1 — ONNX Frontend (zero custom code): PyTorch exports to ONNX natively (torch.onnx.export). TensorFlow converts via tf2onnx. ONNX Runtime performs graph optimization (operator fusion, dead node elimination, INT8 post-training quantization). Developer experience: one command, &lt;10 minutes.</w:t>
      </w:r>
    </w:p>
    <w:p>
      <w:pPr>
        <w:pStyle w:val="ListParagraph"/>
        <w:numPr>
          <w:ilvl w:val="0"/>
          <w:numId w:val="2"/>
        </w:numPr>
        <w:spacing w:after="80"/>
      </w:pPr>
      <w:r>
        <w:rPr>
          <w:rFonts w:ascii="Arial" w:cs="Arial" w:eastAsia="Arial" w:hAnsi="Arial"/>
          <w:sz w:val="22"/>
          <w:szCs w:val="22"/>
        </w:rPr>
        <w:t xml:space="preserve">Layer 2 — Apache TVM Backend (~3–4 person-months): TVM (Apache 2.0 license) generates optimized tile schedules for EdgeCore-1's MAC array. MicroTVM already supports RISC-V bare-metal targets (deployed on STM32, ESP32). The custom engineering is writing the EdgeCore-1 hardware target specification — a well-documented TVM extension point. EdgeCortix's MERA compiler uses exactly this architecture for production edge AI chips (EdgeCortix, 2024).</w:t>
      </w:r>
    </w:p>
    <w:p>
      <w:pPr>
        <w:pStyle w:val="ListParagraph"/>
        <w:numPr>
          <w:ilvl w:val="0"/>
          <w:numId w:val="2"/>
        </w:numPr>
        <w:spacing w:after="80"/>
      </w:pPr>
      <w:r>
        <w:rPr>
          <w:rFonts w:ascii="Arial" w:cs="Arial" w:eastAsia="Arial" w:hAnsi="Arial"/>
          <w:sz w:val="22"/>
          <w:szCs w:val="22"/>
        </w:rPr>
        <w:t xml:space="preserve">Layer 3 — RISC-V Runtime Driver (~2–3 person-months): ~50 KB C runtime on the RISC-V core. Interprets TVM tile schedules, drives DMA prefetch, handles INT8 dequantization at output boundaries.</w:t>
      </w:r>
    </w:p>
    <w:p>
      <w:pPr>
        <w:spacing w:after="80"/>
      </w:pPr>
      <w:r>
        <w:t xml:space="preserve"/>
      </w:r>
    </w:p>
    <w:p>
      <w:pPr>
        <w:spacing w:after="140" w:line="280"/>
        <w:jc w:val="both"/>
      </w:pPr>
      <w:r>
        <w:rPr>
          <w:rFonts w:ascii="Arial" w:cs="Arial" w:eastAsia="Arial" w:hAnsi="Arial"/>
          <w:b/>
          <w:bCs/>
          <w:sz w:val="22"/>
          <w:szCs w:val="22"/>
        </w:rPr>
        <w:t xml:space="preserve">Developer experience target: </w:t>
      </w:r>
      <w:r>
        <w:rPr>
          <w:rFonts w:ascii="Arial" w:cs="Arial" w:eastAsia="Arial" w:hAnsi="Arial"/>
          <w:sz w:val="22"/>
          <w:szCs w:val="22"/>
        </w:rPr>
        <w:t xml:space="preserve">PyTorch model → ONNX export (1 line) → EdgeCore-1 quantization tool (1 command, ~10 minutes) → compiled binary → flash to device. Total: under 1 hour. No hardware expertise required. This matches Coral SDK experience and exceeds Groq/Cerebras toolchain ease.</w:t>
      </w:r>
    </w:p>
    <w:p>
      <w:pPr>
        <w:pBdr>
          <w:left w:val="single" w:color="1E7A4A" w:sz="16" w:space="12"/>
        </w:pBdr>
        <w:spacing w:after="140" w:line="264"/>
        <w:ind w:left="520"/>
      </w:pPr>
      <w:r>
        <w:rPr>
          <w:rFonts w:ascii="Arial" w:cs="Arial" w:eastAsia="Arial" w:hAnsi="Arial"/>
          <w:i/>
          <w:iCs/>
          <w:color w:val="3D3D3D"/>
          <w:sz w:val="21"/>
          <w:szCs w:val="21"/>
        </w:rPr>
        <w:t xml:space="preserve">Compiler strategy defined. Open-source base (ONNX Runtime + Apache TVM) eliminates 80% of toolchain development from scratch. Custom work: ~5–7 person-months. Fully feasible within Phase 1 timeline.</w:t>
      </w:r>
    </w:p>
    <w:p>
      <w:r>
        <w:br w:type="page"/>
      </w:r>
    </w:p>
    <w:p>
      <w:pPr>
        <w:pStyle w:val="Heading1"/>
        <w:pBdr>
          <w:bottom w:val="single" w:color="1A6B8A" w:sz="8" w:space="1"/>
        </w:pBdr>
        <w:spacing w:after="180" w:before="360"/>
      </w:pPr>
      <w:r>
        <w:rPr>
          <w:rFonts w:ascii="Arial" w:cs="Arial" w:eastAsia="Arial" w:hAnsi="Arial"/>
          <w:b/>
          <w:bCs/>
          <w:color w:val="1A6B8A"/>
          <w:sz w:val="34"/>
          <w:szCs w:val="34"/>
        </w:rPr>
        <w:t xml:space="preserve">IV. Audited Performance Targets</w:t>
      </w:r>
    </w:p>
    <w:p>
      <w:pPr>
        <w:spacing w:after="140" w:line="280"/>
        <w:jc w:val="both"/>
      </w:pPr>
      <w:r>
        <w:rPr>
          <w:rFonts w:ascii="Arial" w:cs="Arial" w:eastAsia="Arial" w:hAnsi="Arial"/>
          <w:sz w:val="22"/>
          <w:szCs w:val="22"/>
        </w:rPr>
        <w:t xml:space="preserve">All targets in this table are grounded in published 28nm silicon results or industry-standard cost models. No number is derived from theoretical scaling alone. Where a target was revised between document revisions, the reason for revision is stated.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160"/>
        <w:gridCol w:w="3400"/>
      </w:tblGrid>
      <w:tr>
        <w:tc>
          <w:tcPr>
            <w:tcW w:type="dxa" w:w="20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18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Initial Estimate</w:t>
            </w:r>
          </w:p>
        </w:tc>
        <w:tc>
          <w:tcPr>
            <w:tcW w:type="dxa" w:w="216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Audited Target</w:t>
            </w:r>
          </w:p>
        </w:tc>
        <w:tc>
          <w:tcPr>
            <w:tcW w:type="dxa" w:w="34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Basis / Change Reason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Die Area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 mm²</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 mm² (70% util.)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Sparsity engine 0.27 mm² + routing margin 0.43 mm²</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Die Cost — TSMC 28nm (500K)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$1.20–2.40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$1.40–2.60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Area increase + TSMC $3,000–4,000/wafer (2026)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Die Cost — SMIC 28nm (500K)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cited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$0.90–1.80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SMIC Jan 2025 price cut: $1,500/wafer (industry report)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Peak Power (worst case)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&lt;200 mW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~205 mW (no mitigation)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Quantified; exceeds target without mitigation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Peak Power (mitigated)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&lt;200 mW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~102–129 mW</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Clock gating + PHY power-domain gate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INT8 TOPS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1.5–3 TOPS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1.5–3 TOPS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Unchanged; 65K MACs at 40–60% utilization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MobileNetV2 latency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8–15 ms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10–18 ms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Conservative with 512KB SRAM tiled execution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MobileNetV2 FPS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&gt;30 FPS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&gt;30 FPS (55+ FPS typical)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33 ms budget; 10–18 ms leaves 15–23 ms margin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Silicon yield (28nm)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85–95%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Mature node Poisson model: 0.1 def/cm² (industry std.)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INT8 accuracy vs FP32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Within 1.5%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Within 1.5%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MLPerf Tiny confirmed; 3 target tasks documented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Compiler: model to binary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specified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Under 1 hour (developer)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ONNX + TVM pipeline; no hardware expertise required</w:t>
            </w:r>
          </w:p>
        </w:tc>
      </w:tr>
    </w:tbl>
    <w:p>
      <w:pPr>
        <w:spacing w:after="80"/>
      </w:pPr>
      <w:r>
        <w:t xml:space="preserve"/>
      </w:r>
    </w:p>
    <w:p>
      <w:pPr>
        <w:pBdr>
          <w:left w:val="single" w:color="1A6B8A" w:sz="16" w:space="12"/>
        </w:pBdr>
        <w:spacing w:after="140" w:line="264"/>
        <w:ind w:left="520"/>
      </w:pPr>
      <w:r>
        <w:rPr>
          <w:rFonts w:ascii="Arial" w:cs="Arial" w:eastAsia="Arial" w:hAnsi="Arial"/>
          <w:i/>
          <w:iCs/>
          <w:color w:val="3D3D3D"/>
          <w:sz w:val="21"/>
          <w:szCs w:val="21"/>
        </w:rPr>
        <w:t xml:space="preserve">Reference silicon: Published 28nm NAS-optimized DNN accelerator achieves 1.13 TOPS/mm² at 29.12 TOPS/W (ISSCC 2022). A 28nm bootstrapped-SRAM CIM accelerator achieves 135.19 TOPS/W with INT8 sparsity at this exact process node (ISSCC 2024). EdgeCore-1 targets a more conservative operating point — these results confirm the general feasibility of the approach at 28nm.</w:t>
      </w:r>
    </w:p>
    <w:p>
      <w:r>
        <w:br w:type="page"/>
      </w:r>
    </w:p>
    <w:p>
      <w:pPr>
        <w:pStyle w:val="Heading1"/>
        <w:pBdr>
          <w:bottom w:val="single" w:color="1A6B8A" w:sz="8" w:space="1"/>
        </w:pBdr>
        <w:spacing w:after="180" w:before="360"/>
      </w:pPr>
      <w:r>
        <w:rPr>
          <w:rFonts w:ascii="Arial" w:cs="Arial" w:eastAsia="Arial" w:hAnsi="Arial"/>
          <w:b/>
          <w:bCs/>
          <w:color w:val="1A6B8A"/>
          <w:sz w:val="34"/>
          <w:szCs w:val="34"/>
        </w:rPr>
        <w:t xml:space="preserve">V. Software Compiler Stack</w:t>
      </w:r>
    </w:p>
    <w:p>
      <w:pPr>
        <w:spacing w:after="140" w:line="280"/>
        <w:jc w:val="both"/>
      </w:pPr>
      <w:r>
        <w:rPr>
          <w:rFonts w:ascii="Arial" w:cs="Arial" w:eastAsia="Arial" w:hAnsi="Arial"/>
          <w:sz w:val="22"/>
          <w:szCs w:val="22"/>
        </w:rPr>
        <w:t xml:space="preserve">The EdgeCore-1 software stack transforms any standard ML model into a binary that runs on the EdgeCore-1 hardware. It is designed to be the opposite of a proprietary SDK — every layer uses open-source, community-maintained tooling, ensuring that licensees are not dependent on a single vendor's continued support.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200"/>
        <w:gridCol w:w="2760"/>
        <w:gridCol w:w="1400"/>
      </w:tblGrid>
      <w:tr>
        <w:tc>
          <w:tcPr>
            <w:tcW w:type="dxa" w:w="16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24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Tool / Technology</w:t>
            </w:r>
          </w:p>
        </w:tc>
        <w:tc>
          <w:tcPr>
            <w:tcW w:type="dxa" w:w="12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License</w:t>
            </w:r>
          </w:p>
        </w:tc>
        <w:tc>
          <w:tcPr>
            <w:tcW w:type="dxa" w:w="276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Custom Work Required</w:t>
            </w:r>
          </w:p>
        </w:tc>
        <w:tc>
          <w:tcPr>
            <w:tcW w:type="dxa" w:w="14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Phase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 Import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PyTorch (torch.onnx.export) / tf2onnx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BSD / Apache 2.0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Available now</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Graph Optimization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ONNX Runtime graph optimizer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EP registration: ~1 month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INT8 Quantization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ONNX Runtime quantization 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Calibration dataset integration: ~2 weeks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Hardware Code Generation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Apache TVM + MicroTVM RISC-V backend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Apache 2.0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EdgeCore-1 target spec: ~3–4 months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1–2</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Tile Schedule Optimizer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TVM AutoTVM / MetaSchedule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Apache 2.0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Search space definition: ~1 month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RISC-V Runtime Driver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 C (bare-metal)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BSD (licensee-friendly)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DMA + dequant driver: ~2–3 months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 Zoo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MLPerf Tiny pre-quantized models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Apache 2.0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Integration + validation: ~1 month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Developer CLI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Python wrapper (pip install edgecore-tools)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BSD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CLI wrapper: ~2 weeks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w:t>
            </w:r>
          </w:p>
        </w:tc>
      </w:tr>
    </w:tbl>
    <w:p>
      <w:pPr>
        <w:spacing w:after="80"/>
      </w:pPr>
      <w:r>
        <w:t xml:space="preserve"/>
      </w:r>
    </w:p>
    <w:p>
      <w:pPr>
        <w:spacing w:after="140" w:line="280"/>
        <w:jc w:val="both"/>
      </w:pPr>
      <w:r>
        <w:rPr>
          <w:rFonts w:ascii="Arial" w:cs="Arial" w:eastAsia="Arial" w:hAnsi="Arial"/>
          <w:sz w:val="22"/>
          <w:szCs w:val="22"/>
        </w:rPr>
        <w:t xml:space="preserve">Total custom compiler engineering: approximately 5–7 person-months. This is the entire software investment required to take EdgeCore-1 from RTL to a product a developer can use without reading a hardware manual. It is budgeted within the Phase 1 timeline and executed in parallel with RTL development.</w:t>
      </w:r>
    </w:p>
    <w:p>
      <w:r>
        <w:br w:type="page"/>
      </w:r>
    </w:p>
    <w:p>
      <w:pPr>
        <w:pStyle w:val="Heading1"/>
        <w:pBdr>
          <w:bottom w:val="single" w:color="1A6B8A" w:sz="8" w:space="1"/>
        </w:pBdr>
        <w:spacing w:after="180" w:before="360"/>
      </w:pPr>
      <w:r>
        <w:rPr>
          <w:rFonts w:ascii="Arial" w:cs="Arial" w:eastAsia="Arial" w:hAnsi="Arial"/>
          <w:b/>
          <w:bCs/>
          <w:color w:val="1A6B8A"/>
          <w:sz w:val="34"/>
          <w:szCs w:val="34"/>
        </w:rPr>
        <w:t xml:space="preserve">VI. Research Portfolio: Infinar Scientia</w:t>
      </w:r>
    </w:p>
    <w:p>
      <w:pPr>
        <w:spacing w:after="140" w:line="280"/>
        <w:jc w:val="both"/>
      </w:pPr>
      <w:r>
        <w:rPr>
          <w:rFonts w:ascii="Arial" w:cs="Arial" w:eastAsia="Arial" w:hAnsi="Arial"/>
          <w:sz w:val="22"/>
          <w:szCs w:val="22"/>
        </w:rPr>
        <w:t xml:space="preserve">EdgeCore-1 is the second of two active research programs at Infinar Scientia. The two technologies are architecturally complementary: one harvests energy for edge devices; the other processes AI workloads on those devices.</w:t>
      </w:r>
    </w:p>
    <w:p>
      <w:pPr>
        <w:spacing w:after="80"/>
      </w:pPr>
      <w:r>
        <w:t xml:space="preserve"/>
      </w:r>
    </w:p>
    <w:p>
      <w:pPr>
        <w:pStyle w:val="Heading2"/>
        <w:spacing w:after="120" w:before="260"/>
      </w:pPr>
      <w:r>
        <w:rPr>
          <w:rFonts w:ascii="Arial" w:cs="Arial" w:eastAsia="Arial" w:hAnsi="Arial"/>
          <w:b/>
          <w:bCs/>
          <w:color w:val="2C3E50"/>
          <w:sz w:val="26"/>
          <w:szCs w:val="26"/>
        </w:rPr>
        <w:t xml:space="preserve">6.1 Project Daybreak 2.0 — Transverse Weyl-Semimetal Thermoelectric Generator</w:t>
      </w:r>
    </w:p>
    <w:p>
      <w:pPr>
        <w:spacing w:after="140" w:line="280"/>
        <w:jc w:val="both"/>
      </w:pPr>
      <w:r>
        <w:rPr>
          <w:rFonts w:ascii="Arial" w:cs="Arial" w:eastAsia="Arial" w:hAnsi="Arial"/>
          <w:sz w:val="22"/>
          <w:szCs w:val="22"/>
        </w:rPr>
        <w:t xml:space="preserve">Project Daybreak 2.0 applies modern topological band theory to the problem of industrial waste-heat recovery. The Transverse Thermoelectric Generator (TTG) uses the Anomalous Nernst Effect (ANE) in Co₂MnGa Weyl semimetal thin films — the largest confirmed room-temperature ANE coefficient of ~4.7 µV/K (Sakai et al., Nature Physics, 2018) — to generate voltage perpendicular to heat flow from a single sputtered sheet, eliminating the p-n pillar array and all internal solder joints of conventional thermoelectric generators.</w:t>
      </w:r>
    </w:p>
    <w:p>
      <w:pPr>
        <w:spacing w:after="80"/>
      </w:pPr>
      <w:r>
        <w:t xml:space="preserve"/>
      </w:r>
    </w:p>
    <w:p>
      <w:pPr>
        <w:spacing w:after="140" w:line="280"/>
        <w:jc w:val="both"/>
      </w:pPr>
      <w:r>
        <w:rPr>
          <w:rFonts w:ascii="Arial" w:cs="Arial" w:eastAsia="Arial" w:hAnsi="Arial"/>
          <w:sz w:val="22"/>
          <w:szCs w:val="22"/>
        </w:rPr>
        <w:t xml:space="preserve">The Phase 1 go/no-go criterion: Sʸˣ ≥ 5 µV/K at 300K in at least 2 of 4 IrMn-thickness samples. Beachhead market: 10–50 mW self-powered IoT sensors on industrial hot pipes — zero battery replacement, zero fuel cost. This is exactly the deployment environment that EdgeCore-1 targets for inference compute.</w:t>
      </w:r>
    </w:p>
    <w:p>
      <w:pPr>
        <w:spacing w:after="80"/>
      </w:pPr>
      <w:r>
        <w:t xml:space="preserve"/>
      </w:r>
    </w:p>
    <w:p>
      <w:pPr>
        <w:pBdr>
          <w:left w:val="single" w:color="1A6B8A" w:sz="16" w:space="12"/>
        </w:pBdr>
        <w:spacing w:after="140" w:line="264"/>
        <w:ind w:left="520"/>
      </w:pPr>
      <w:r>
        <w:rPr>
          <w:rFonts w:ascii="Arial" w:cs="Arial" w:eastAsia="Arial" w:hAnsi="Arial"/>
          <w:i/>
          <w:iCs/>
          <w:color w:val="3D3D3D"/>
          <w:sz w:val="21"/>
          <w:szCs w:val="21"/>
        </w:rPr>
        <w:t xml:space="preserve">The Infinar Scientia vision: an EdgeCore-1 inference chip powered by a Daybreak 2.0 thermoelectric tile on an industrial pipe — a fully self-powered, battery-free AI sensor node. Neither technology requires the other to be commercially viable independently, but together they address the complete power-and-compute problem for industrial edge AI.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
            </w:r>
          </w:p>
        </w:tc>
        <w:tc>
          <w:tcPr>
            <w:tcW w:type="dxa" w:w="378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Project Daybreak 2.0</w:t>
            </w:r>
          </w:p>
        </w:tc>
        <w:tc>
          <w:tcPr>
            <w:tcW w:type="dxa" w:w="378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EdgeCore-1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Technology Class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Topological thermoelectrics (ANE)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inference accelerator (ASIC)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Core Innovation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Transverse single-sheet TEG (no p-n pillars)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RISC-V + INT8 + bitmap sparsity + open compiler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1 Deliverable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Sputtered Co₂MnGa film, ANE coefficient ≥5 µV/K</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Verified RTL simulation + TVM compiler backend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Beachhead Market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Industrial waste-heat IoT sensors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Budget IoT cameras, automotive sensors, factory nodes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IP Strategy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ARPA-E grant + provisional patent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IP licensing (NRE + royalty) to Tier-1 integrators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1 Budget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$250,000</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$180,000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Theoretical validation complete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Architecture complete</w:t>
            </w:r>
          </w:p>
        </w:tc>
      </w:tr>
    </w:tbl>
    <w:p>
      <w:r>
        <w:br w:type="page"/>
      </w:r>
    </w:p>
    <w:p>
      <w:pPr>
        <w:pStyle w:val="Heading1"/>
        <w:pBdr>
          <w:bottom w:val="single" w:color="1A6B8A" w:sz="8" w:space="1"/>
        </w:pBdr>
        <w:spacing w:after="180" w:before="360"/>
      </w:pPr>
      <w:r>
        <w:rPr>
          <w:rFonts w:ascii="Arial" w:cs="Arial" w:eastAsia="Arial" w:hAnsi="Arial"/>
          <w:b/>
          <w:bCs/>
          <w:color w:val="1A6B8A"/>
          <w:sz w:val="34"/>
          <w:szCs w:val="34"/>
        </w:rPr>
        <w:t xml:space="preserve">VII. Commercial Path: IP Licensing for Independent Researchers</w:t>
      </w:r>
    </w:p>
    <w:p>
      <w:pPr>
        <w:spacing w:after="140" w:line="280"/>
        <w:jc w:val="both"/>
      </w:pPr>
      <w:r>
        <w:rPr>
          <w:rFonts w:ascii="Arial" w:cs="Arial" w:eastAsia="Arial" w:hAnsi="Arial"/>
          <w:sz w:val="22"/>
          <w:szCs w:val="22"/>
        </w:rPr>
        <w:t xml:space="preserve">Infinar Scientia operates as an IP research organization, not a chip manufacturer. The commercial model is IP licensing — selling the verified RTL, compiler stack, and technical support rights to system integrators who incorporate the EdgeCore-1 core into their own SoCs. This is the ARM/SiFive model: design the architecture, license the blueprint, collect royalties, never touch a fab.</w:t>
      </w:r>
    </w:p>
    <w:p>
      <w:pPr>
        <w:spacing w:after="80"/>
      </w:pPr>
      <w:r>
        <w:t xml:space="preserve"/>
      </w:r>
    </w:p>
    <w:p>
      <w:pPr>
        <w:pStyle w:val="Heading2"/>
        <w:spacing w:after="120" w:before="260"/>
      </w:pPr>
      <w:r>
        <w:rPr>
          <w:rFonts w:ascii="Arial" w:cs="Arial" w:eastAsia="Arial" w:hAnsi="Arial"/>
          <w:b/>
          <w:bCs/>
          <w:color w:val="2C3E50"/>
          <w:sz w:val="26"/>
          <w:szCs w:val="26"/>
        </w:rPr>
        <w:t xml:space="preserve">7.1 The Licensable Asset</w:t>
      </w:r>
    </w:p>
    <w:p>
      <w:pPr>
        <w:spacing w:after="140" w:line="280"/>
        <w:jc w:val="both"/>
      </w:pPr>
      <w:r>
        <w:rPr>
          <w:rFonts w:ascii="Arial" w:cs="Arial" w:eastAsia="Arial" w:hAnsi="Arial"/>
          <w:sz w:val="22"/>
          <w:szCs w:val="22"/>
        </w:rPr>
        <w:t xml:space="preserve">After Phase 1 completion, the licensable deliverable package consists of:</w:t>
      </w:r>
    </w:p>
    <w:p>
      <w:pPr>
        <w:pStyle w:val="ListParagraph"/>
        <w:numPr>
          <w:ilvl w:val="0"/>
          <w:numId w:val="3"/>
        </w:numPr>
        <w:spacing w:after="80"/>
      </w:pPr>
      <w:r>
        <w:rPr>
          <w:rFonts w:ascii="Arial" w:cs="Arial" w:eastAsia="Arial" w:hAnsi="Arial"/>
          <w:sz w:val="22"/>
          <w:szCs w:val="22"/>
        </w:rPr>
        <w:t xml:space="preserve">Verified RTL source code — synthesizable Verilog/SystemVerilog, 100% simulation-tested, professional-grade comments and documentation.</w:t>
      </w:r>
    </w:p>
    <w:p>
      <w:pPr>
        <w:pStyle w:val="ListParagraph"/>
        <w:numPr>
          <w:ilvl w:val="0"/>
          <w:numId w:val="3"/>
        </w:numPr>
        <w:spacing w:after="80"/>
      </w:pPr>
      <w:r>
        <w:rPr>
          <w:rFonts w:ascii="Arial" w:cs="Arial" w:eastAsia="Arial" w:hAnsi="Arial"/>
          <w:sz w:val="22"/>
          <w:szCs w:val="22"/>
        </w:rPr>
        <w:t xml:space="preserve">Verification report — cycle-accurate simulation results on MLPerf Tiny benchmark suite; power simulation with all gating scenarios; area closure estimate from OpenROAD P&amp;R.</w:t>
      </w:r>
    </w:p>
    <w:p>
      <w:pPr>
        <w:pStyle w:val="ListParagraph"/>
        <w:numPr>
          <w:ilvl w:val="0"/>
          <w:numId w:val="3"/>
        </w:numPr>
        <w:spacing w:after="80"/>
      </w:pPr>
      <w:r>
        <w:rPr>
          <w:rFonts w:ascii="Arial" w:cs="Arial" w:eastAsia="Arial" w:hAnsi="Arial"/>
          <w:sz w:val="22"/>
          <w:szCs w:val="22"/>
        </w:rPr>
        <w:t xml:space="preserve">Apache TVM compiler backend — EdgeCore-1 hardware target specification, pre-compiled tile schedules for MobileNetV2, DS-CNN, and anomaly detection autoencoder.</w:t>
      </w:r>
    </w:p>
    <w:p>
      <w:pPr>
        <w:pStyle w:val="ListParagraph"/>
        <w:numPr>
          <w:ilvl w:val="0"/>
          <w:numId w:val="3"/>
        </w:numPr>
        <w:spacing w:after="80"/>
      </w:pPr>
      <w:r>
        <w:rPr>
          <w:rFonts w:ascii="Arial" w:cs="Arial" w:eastAsia="Arial" w:hAnsi="Arial"/>
          <w:sz w:val="22"/>
          <w:szCs w:val="22"/>
        </w:rPr>
        <w:t xml:space="preserve">Integration guide — floorplan recommendations, PHY power sequencing specification, DMA prefetch configuration parameters.</w:t>
      </w:r>
    </w:p>
    <w:p>
      <w:pPr>
        <w:pStyle w:val="ListParagraph"/>
        <w:numPr>
          <w:ilvl w:val="0"/>
          <w:numId w:val="3"/>
        </w:numPr>
        <w:spacing w:after="80"/>
      </w:pPr>
      <w:r>
        <w:rPr>
          <w:rFonts w:ascii="Arial" w:cs="Arial" w:eastAsia="Arial" w:hAnsi="Arial"/>
          <w:sz w:val="22"/>
          <w:szCs w:val="22"/>
        </w:rPr>
        <w:t xml:space="preserve">'Golden model' — SystemC or C++ behavioral simulation that licensees can use to verify their integration is mathematically correct before tape-out.</w:t>
      </w:r>
    </w:p>
    <w:p>
      <w:pPr>
        <w:spacing w:after="80"/>
      </w:pPr>
      <w:r>
        <w:t xml:space="preserve"/>
      </w:r>
    </w:p>
    <w:p>
      <w:pPr>
        <w:pBdr>
          <w:left w:val="single" w:color="1A6B8A" w:sz="16" w:space="12"/>
        </w:pBdr>
        <w:spacing w:after="140" w:line="264"/>
        <w:ind w:left="520"/>
      </w:pPr>
      <w:r>
        <w:rPr>
          <w:rFonts w:ascii="Arial" w:cs="Arial" w:eastAsia="Arial" w:hAnsi="Arial"/>
          <w:i/>
          <w:iCs/>
          <w:color w:val="3D3D3D"/>
          <w:sz w:val="21"/>
          <w:szCs w:val="21"/>
        </w:rPr>
        <w:t xml:space="preserve">A verified RTL package is not a paper — it is a digital tool that an engineer can drop into their chip design and run in their own simulator. The difference in commercial value is approximately two orders of magnitude.</w:t>
      </w:r>
    </w:p>
    <w:p>
      <w:pPr>
        <w:spacing w:after="80"/>
      </w:pPr>
      <w:r>
        <w:t xml:space="preserve"/>
      </w:r>
    </w:p>
    <w:p>
      <w:pPr>
        <w:pStyle w:val="Heading2"/>
        <w:spacing w:after="120" w:before="260"/>
      </w:pPr>
      <w:r>
        <w:rPr>
          <w:rFonts w:ascii="Arial" w:cs="Arial" w:eastAsia="Arial" w:hAnsi="Arial"/>
          <w:b/>
          <w:bCs/>
          <w:color w:val="2C3E50"/>
          <w:sz w:val="26"/>
          <w:szCs w:val="26"/>
        </w:rPr>
        <w:t xml:space="preserve">7.2 Target Licensees and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660"/>
        <w:gridCol w:w="3000"/>
      </w:tblGrid>
      <w:tr>
        <w:tc>
          <w:tcPr>
            <w:tcW w:type="dxa" w:w="15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Sector</w:t>
            </w:r>
          </w:p>
        </w:tc>
        <w:tc>
          <w:tcPr>
            <w:tcW w:type="dxa" w:w="22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Target Companies</w:t>
            </w:r>
          </w:p>
        </w:tc>
        <w:tc>
          <w:tcPr>
            <w:tcW w:type="dxa" w:w="266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Their Problem</w:t>
            </w:r>
          </w:p>
        </w:tc>
        <w:tc>
          <w:tcPr>
            <w:tcW w:type="dxa" w:w="30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EdgeCore-1 Pitch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Automotive (ADAS)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Bosch, Denso, Magna, Continental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Paying $8–15/chip for overkill AI silicon in mirror cameras and seat sensors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'License our core for $1.50 in silicon area at 185mW — fits your cost-down SoC roadmap'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Industrial IoT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Honeywell, Siemens, Schneider Electric</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Running AI on MCUs not designed for inference; battery replacement cost exceeds device value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'Drop-in inference core for your next-gen sensor SoC. Open compiler, RISC-V, no royalties'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Consumer Electronics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ODM/OEM in Taiwan, South Korea</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Sourcing AI chips at $5+ for $15 smart speakers and cameras; kills margin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'$1.50 in BOM for purpose-built AI inference. Coral-level accuracy at MCU price'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Research / Defense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DARPA, NSF, DND Canada</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Funding gap between theoretical work and silicon-validated demonstrations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1 simulation validates the architecture. Phase 2 MPW tape-out at $40–80K vs $1.5M'</w:t>
            </w:r>
          </w:p>
        </w:tc>
      </w:tr>
    </w:tbl>
    <w:p>
      <w:pPr>
        <w:spacing w:after="80"/>
      </w:pPr>
      <w:r>
        <w:t xml:space="preserve"/>
      </w:r>
    </w:p>
    <w:p>
      <w:pPr>
        <w:pStyle w:val="Heading2"/>
        <w:spacing w:after="120" w:before="260"/>
      </w:pPr>
      <w:r>
        <w:rPr>
          <w:rFonts w:ascii="Arial" w:cs="Arial" w:eastAsia="Arial" w:hAnsi="Arial"/>
          <w:b/>
          <w:bCs/>
          <w:color w:val="2C3E50"/>
          <w:sz w:val="26"/>
          <w:szCs w:val="26"/>
        </w:rPr>
        <w:t xml:space="preserve">7.3 Revenue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60"/>
        <w:gridCol w:w="1800"/>
        <w:gridCol w:w="1600"/>
      </w:tblGrid>
      <w:tr>
        <w:tc>
          <w:tcPr>
            <w:tcW w:type="dxa" w:w="18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Revenue Type</w:t>
            </w:r>
          </w:p>
        </w:tc>
        <w:tc>
          <w:tcPr>
            <w:tcW w:type="dxa" w:w="416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18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Typical Range</w:t>
            </w:r>
          </w:p>
        </w:tc>
        <w:tc>
          <w:tcPr>
            <w:tcW w:type="dxa" w:w="16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When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NRE Fee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Upfront engineering payment — covers integration support, customization, verification assistance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$50,000–$200,000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 license signing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Per-Unit Royalty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Flat fee per chip manufactured using the EdgeCore-1 IP 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$0.05–$0.15 per chip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 production run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Exclusivity Premium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Optional: exclusive rights for a specific market segment (e.g., automotive mirror cameras)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$200,000–$500,000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One-time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Compiler License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Right to use and distribute EdgeCore-1 TVM backend in licensee's SDK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$20,000–$80,000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Annual</w:t>
            </w:r>
          </w:p>
        </w:tc>
      </w:tr>
    </w:tbl>
    <w:p>
      <w:pPr>
        <w:spacing w:after="80"/>
      </w:pPr>
      <w:r>
        <w:t xml:space="preserve"/>
      </w:r>
    </w:p>
    <w:p>
      <w:pPr>
        <w:spacing w:after="140" w:line="280"/>
        <w:jc w:val="both"/>
      </w:pPr>
      <w:r>
        <w:rPr>
          <w:rFonts w:ascii="Arial" w:cs="Arial" w:eastAsia="Arial" w:hAnsi="Arial"/>
          <w:b/>
          <w:bCs/>
          <w:sz w:val="22"/>
          <w:szCs w:val="22"/>
        </w:rPr>
        <w:t xml:space="preserve">Revenue scenario (conservative): </w:t>
      </w:r>
      <w:r>
        <w:rPr>
          <w:rFonts w:ascii="Arial" w:cs="Arial" w:eastAsia="Arial" w:hAnsi="Arial"/>
          <w:sz w:val="22"/>
          <w:szCs w:val="22"/>
        </w:rPr>
        <w:t xml:space="preserve">One licensee (industrial IoT), 2 million unit annual production, $0.10 royalty + $100K NRE = $300,000 year one, $200,000/year thereafter. Passive income while continuing research on Daybreak 2.0 or the next EdgeCore iteration.</w:t>
      </w:r>
    </w:p>
    <w:p>
      <w:pPr>
        <w:spacing w:after="140" w:line="280"/>
        <w:jc w:val="both"/>
      </w:pPr>
      <w:r>
        <w:rPr>
          <w:rFonts w:ascii="Arial" w:cs="Arial" w:eastAsia="Arial" w:hAnsi="Arial"/>
          <w:b/>
          <w:bCs/>
          <w:sz w:val="22"/>
          <w:szCs w:val="22"/>
        </w:rPr>
        <w:t xml:space="preserve">Revenue scenario (aggressive): </w:t>
      </w:r>
      <w:r>
        <w:rPr>
          <w:rFonts w:ascii="Arial" w:cs="Arial" w:eastAsia="Arial" w:hAnsi="Arial"/>
          <w:sz w:val="22"/>
          <w:szCs w:val="22"/>
        </w:rPr>
        <w:t xml:space="preserve">Three licensees across automotive, IoT, and consumer electronics, average 5 million units each, $0.08 royalty = $1,200,000/year in passive royalties. ARM's business model at 1/1,000th the scale.</w:t>
      </w:r>
    </w:p>
    <w:p>
      <w:pPr>
        <w:spacing w:after="80"/>
      </w:pPr>
      <w:r>
        <w:t xml:space="preserve"/>
      </w:r>
    </w:p>
    <w:p>
      <w:pPr>
        <w:pStyle w:val="Heading2"/>
        <w:spacing w:after="120" w:before="260"/>
      </w:pPr>
      <w:r>
        <w:rPr>
          <w:rFonts w:ascii="Arial" w:cs="Arial" w:eastAsia="Arial" w:hAnsi="Arial"/>
          <w:b/>
          <w:bCs/>
          <w:color w:val="2C3E50"/>
          <w:sz w:val="26"/>
          <w:szCs w:val="26"/>
        </w:rPr>
        <w:t xml:space="preserve">7.4 Liability and Legal Structure</w:t>
      </w:r>
    </w:p>
    <w:p>
      <w:pPr>
        <w:spacing w:after="140" w:line="280"/>
        <w:jc w:val="both"/>
      </w:pPr>
      <w:r>
        <w:rPr>
          <w:rFonts w:ascii="Arial" w:cs="Arial" w:eastAsia="Arial" w:hAnsi="Arial"/>
          <w:sz w:val="22"/>
          <w:szCs w:val="22"/>
        </w:rPr>
        <w:t xml:space="preserve">As an IP vendor selling RTL under an 'as-is, no-warranty' licensing agreement, Infinar Scientia does not bear liability for implementation defects introduced by the licensee, manufacturing yield failures, or end-product performance. The licensing contract will include:</w:t>
      </w:r>
    </w:p>
    <w:p>
      <w:pPr>
        <w:pStyle w:val="ListParagraph"/>
        <w:numPr>
          <w:ilvl w:val="0"/>
          <w:numId w:val="2"/>
        </w:numPr>
        <w:spacing w:after="80"/>
      </w:pPr>
      <w:r>
        <w:rPr>
          <w:rFonts w:ascii="Arial" w:cs="Arial" w:eastAsia="Arial" w:hAnsi="Arial"/>
          <w:sz w:val="22"/>
          <w:szCs w:val="22"/>
        </w:rPr>
        <w:t xml:space="preserve">As-Is clause: IP delivered without warranty of fitness for a particular purpose.</w:t>
      </w:r>
    </w:p>
    <w:p>
      <w:pPr>
        <w:pStyle w:val="ListParagraph"/>
        <w:numPr>
          <w:ilvl w:val="0"/>
          <w:numId w:val="2"/>
        </w:numPr>
        <w:spacing w:after="80"/>
      </w:pPr>
      <w:r>
        <w:rPr>
          <w:rFonts w:ascii="Arial" w:cs="Arial" w:eastAsia="Arial" w:hAnsi="Arial"/>
          <w:sz w:val="22"/>
          <w:szCs w:val="22"/>
        </w:rPr>
        <w:t xml:space="preserve">Integration indemnification: licensee assumes full responsibility for their SoC implementation.</w:t>
      </w:r>
    </w:p>
    <w:p>
      <w:pPr>
        <w:pStyle w:val="ListParagraph"/>
        <w:numPr>
          <w:ilvl w:val="0"/>
          <w:numId w:val="2"/>
        </w:numPr>
        <w:spacing w:after="80"/>
      </w:pPr>
      <w:r>
        <w:rPr>
          <w:rFonts w:ascii="Arial" w:cs="Arial" w:eastAsia="Arial" w:hAnsi="Arial"/>
          <w:sz w:val="22"/>
          <w:szCs w:val="22"/>
        </w:rPr>
        <w:t xml:space="preserve">Scope limitation: EdgeCore-1 IP is validated for the documented model classes and operating conditions only.</w:t>
      </w:r>
    </w:p>
    <w:p>
      <w:pPr>
        <w:pStyle w:val="ListParagraph"/>
        <w:numPr>
          <w:ilvl w:val="0"/>
          <w:numId w:val="2"/>
        </w:numPr>
        <w:spacing w:after="80"/>
      </w:pPr>
      <w:r>
        <w:rPr>
          <w:rFonts w:ascii="Arial" w:cs="Arial" w:eastAsia="Arial" w:hAnsi="Arial"/>
          <w:sz w:val="22"/>
          <w:szCs w:val="22"/>
        </w:rPr>
        <w:t xml:space="preserve">NDA at evaluation: all RTL previews provided under mutual NDA before license signing.</w:t>
      </w:r>
    </w:p>
    <w:p>
      <w:r>
        <w:br w:type="page"/>
      </w:r>
    </w:p>
    <w:p>
      <w:pPr>
        <w:pStyle w:val="Heading1"/>
        <w:pBdr>
          <w:bottom w:val="single" w:color="1A6B8A" w:sz="8" w:space="1"/>
        </w:pBdr>
        <w:spacing w:after="180" w:before="360"/>
      </w:pPr>
      <w:r>
        <w:rPr>
          <w:rFonts w:ascii="Arial" w:cs="Arial" w:eastAsia="Arial" w:hAnsi="Arial"/>
          <w:b/>
          <w:bCs/>
          <w:color w:val="1A6B8A"/>
          <w:sz w:val="34"/>
          <w:szCs w:val="34"/>
        </w:rPr>
        <w:t xml:space="preserve">VIII. Phase 1 Program: Eight Months to a Licensable Asset</w:t>
      </w:r>
    </w:p>
    <w:p>
      <w:pPr>
        <w:pStyle w:val="Heading2"/>
        <w:spacing w:after="120" w:before="260"/>
      </w:pPr>
      <w:r>
        <w:rPr>
          <w:rFonts w:ascii="Arial" w:cs="Arial" w:eastAsia="Arial" w:hAnsi="Arial"/>
          <w:b/>
          <w:bCs/>
          <w:color w:val="2C3E50"/>
          <w:sz w:val="26"/>
          <w:szCs w:val="26"/>
        </w:rPr>
        <w:t xml:space="preserve">8.1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1800"/>
        <w:gridCol w:w="2400"/>
      </w:tblGrid>
      <w:tr>
        <w:tc>
          <w:tcPr>
            <w:tcW w:type="dxa" w:w="516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Deliverable</w:t>
            </w:r>
          </w:p>
        </w:tc>
        <w:tc>
          <w:tcPr>
            <w:tcW w:type="dxa" w:w="18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Workstream</w:t>
            </w:r>
          </w:p>
        </w:tc>
        <w:tc>
          <w:tcPr>
            <w:tcW w:type="dxa" w:w="24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Month</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RTL: RISC-V core + MAC array + clock gating + power-domain gate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Hardware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RTL: Bitmap sparsity engine + 32KB mask SRAM + dispatcher integration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Hardware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RTL: LPDDR5 PHY wrapper + deep power-down sequencing logic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Hardware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Cycle-accurate power simulation (all gating scenarios, LPDDR4X fallback)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Hardware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4–6</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OpenROAD place-and-route closure estimate (congestion map, area report)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Hardware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5–7</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ONNX Runtime Execution Provider registration for EdgeCore-1 ISA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Software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Apache TVM backend: EdgeCore-1 target spec + MobileNetV2 tile schedule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Software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2–6</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RISC-V runtime driver: DMA prefetch + INT8 dequantization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Software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4–7</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MLPerf Tiny accuracy + latency on hardware simulation model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7–8</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Verification report: 10M+ test vectors, zero accuracy failures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IP licensing package: RTL + TVM backend + integration guide + golden model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Commercial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r>
    </w:tbl>
    <w:p>
      <w:pPr>
        <w:spacing w:after="80"/>
      </w:pPr>
      <w:r>
        <w:t xml:space="preserve"/>
      </w:r>
    </w:p>
    <w:p>
      <w:pPr>
        <w:pStyle w:val="Heading2"/>
        <w:spacing w:after="120" w:before="260"/>
      </w:pPr>
      <w:r>
        <w:rPr>
          <w:rFonts w:ascii="Arial" w:cs="Arial" w:eastAsia="Arial" w:hAnsi="Arial"/>
          <w:b/>
          <w:bCs/>
          <w:color w:val="2C3E50"/>
          <w:sz w:val="26"/>
          <w:szCs w:val="26"/>
        </w:rPr>
        <w:t xml:space="preserve">8.2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c>
          <w:tcPr>
            <w:tcW w:type="dxa" w:w="20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476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26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Amount (USD)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Personnel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Lead RTL engineer (8 months, full 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$72,000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Personnel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Compiler engineer (6 months, full 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$54,000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Personnel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Graduate research assistant (8 months, 50% FTE)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$22,000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EDA Licenses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Synopsys Design Compiler + PrimePower (university)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EDA Licenses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Cadence Xcelium simulation tools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IP Cores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RISC-V RV32 soft core (open source + support)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IP Cores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LPDDR5 PHY simulation model (Cadence Denali)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Cloud Compute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AWS F1 FPGA prototyping + simulation acceleration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NDA templates + IP licensing agreement drafting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Overhead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Institutional indirect costs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Contingency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Tool failures, repeat simulation runs, compiler iteration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Phase 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$236,000</w:t>
            </w:r>
          </w:p>
        </w:tc>
      </w:tr>
    </w:tbl>
    <w:p>
      <w:pPr>
        <w:spacing w:after="80"/>
      </w:pPr>
      <w:r>
        <w:t xml:space="preserve"/>
      </w:r>
    </w:p>
    <w:p>
      <w:pPr>
        <w:pStyle w:val="Heading1"/>
        <w:pBdr>
          <w:bottom w:val="single" w:color="1A6B8A" w:sz="8" w:space="1"/>
        </w:pBdr>
        <w:spacing w:after="180" w:before="360"/>
      </w:pPr>
      <w:r>
        <w:rPr>
          <w:rFonts w:ascii="Arial" w:cs="Arial" w:eastAsia="Arial" w:hAnsi="Arial"/>
          <w:b/>
          <w:bCs/>
          <w:color w:val="1A6B8A"/>
          <w:sz w:val="34"/>
          <w:szCs w:val="34"/>
        </w:rPr>
        <w:t xml:space="preserve">IX. Go / No-Go Decision Framework</w:t>
      </w:r>
    </w:p>
    <w:p>
      <w:pPr>
        <w:spacing w:after="140" w:line="280"/>
        <w:jc w:val="both"/>
      </w:pPr>
      <w:r>
        <w:rPr>
          <w:rFonts w:ascii="Arial" w:cs="Arial" w:eastAsia="Arial" w:hAnsi="Arial"/>
          <w:sz w:val="22"/>
          <w:szCs w:val="22"/>
        </w:rPr>
        <w:t xml:space="preserve">Phase 1 is a binary test. The following framework governs the transition to Phase 2 (MPW tape-out and licensee outreach). The criteria are set deliberately to be falsifiable — there is no subjective interpretation.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80"/>
        <w:gridCol w:w="2280"/>
        <w:gridCol w:w="1800"/>
        <w:gridCol w:w="1400"/>
      </w:tblGrid>
      <w:tr>
        <w:tc>
          <w:tcPr>
            <w:tcW w:type="dxa" w:w="12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Outcome</w:t>
            </w:r>
          </w:p>
        </w:tc>
        <w:tc>
          <w:tcPr>
            <w:tcW w:type="dxa" w:w="268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Hardware Criteria</w:t>
            </w:r>
          </w:p>
        </w:tc>
        <w:tc>
          <w:tcPr>
            <w:tcW w:type="dxa" w:w="228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Software Criteria</w:t>
            </w:r>
          </w:p>
        </w:tc>
        <w:tc>
          <w:tcPr>
            <w:tcW w:type="dxa" w:w="18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Commercial Criteria</w:t>
            </w:r>
          </w:p>
        </w:tc>
        <w:tc>
          <w:tcPr>
            <w:tcW w:type="dxa" w:w="1400"/>
            <w:tcBorders>
              <w:top w:val="single" w:color="1A6B8A" w:sz="1"/>
              <w:left w:val="single" w:color="1A6B8A" w:sz="1"/>
              <w:bottom w:val="single" w:color="1A6B8A" w:sz="1"/>
              <w:right w:val="single" w:color="1A6B8A" w:sz="1"/>
            </w:tcBorders>
            <w:shd w:fill="D0E8F5" w:val="clear"/>
            <w:tcMar>
              <w:top w:type="dxa" w:w="80"/>
              <w:left w:type="dxa" w:w="120"/>
              <w:bottom w:type="dxa" w:w="80"/>
              <w:right w:type="dxa" w:w="120"/>
            </w:tcMar>
          </w:tcPr>
          <w:p>
            <w:r>
              <w:rPr>
                <w:rFonts w:ascii="Arial" w:cs="Arial" w:eastAsia="Arial" w:hAnsi="Arial"/>
                <w:b/>
                <w:bCs/>
                <w:sz w:val="20"/>
                <w:szCs w:val="20"/>
              </w:rPr>
              <w:t xml:space="preserve">Action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P&amp;R closes ≤5.0 mm², avg power ≤160 mW (mitigated), yield model &gt;97%</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TVM backend runs MobileNetV2 at &gt;30 FPS on sim; INT8 accuracy within 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 least one licensee LOI received based on simulation results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 MPW tape-out + public compiler beta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CONDITIONAL GO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Area 5.0–5.5 mm² OR power 160–185 mW; yield &gt;95%</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TVM functional but &lt;30 FPS OR accuracy 1.5–3%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Licensee interest expressed but no LOI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LPDDR4X migration + TVM optimization sprint; 22nm FDX evaluation; re-assess in 6 weeks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NO-GO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P&amp;R fails &gt;5.5 mm² OR avg power &gt;185 mW mitigated OR yield &lt;90%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TVM non-functional OR accuracy &gt;3% degradation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licensee interest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Terminate accelerator; pivot to FPGA overlay IP + ONNX compiler standalone product; publish academic paper on bitmap sparsity architecture</w:t>
            </w:r>
          </w:p>
        </w:tc>
      </w:tr>
    </w:tbl>
    <w:p>
      <w:pPr>
        <w:spacing w:after="80"/>
      </w:pPr>
      <w:r>
        <w:t xml:space="preserve"/>
      </w:r>
    </w:p>
    <w:p>
      <w:pPr>
        <w:pBdr>
          <w:left w:val="single" w:color="1A6B8A" w:sz="16" w:space="12"/>
        </w:pBdr>
        <w:spacing w:after="140" w:line="264"/>
        <w:ind w:left="520"/>
      </w:pPr>
      <w:r>
        <w:rPr>
          <w:rFonts w:ascii="Arial" w:cs="Arial" w:eastAsia="Arial" w:hAnsi="Arial"/>
          <w:i/>
          <w:iCs/>
          <w:color w:val="3D3D3D"/>
          <w:sz w:val="21"/>
          <w:szCs w:val="21"/>
        </w:rPr>
        <w:t xml:space="preserve">The No-Go path is not a failure. A published academic paper on bitmap-mask sparsity acceleration, combined with the ONNX/TVM compiler backend as standalone open-source software, is itself a research output of significant value. The worst-case outcome of Phase 1 is a strong publication record and an open-source compiler tool.</w:t>
      </w:r>
    </w:p>
    <w:p>
      <w:r>
        <w:br w:type="page"/>
      </w:r>
    </w:p>
    <w:p>
      <w:pPr>
        <w:pStyle w:val="Heading1"/>
        <w:pBdr>
          <w:bottom w:val="single" w:color="1A6B8A" w:sz="8" w:space="1"/>
        </w:pBdr>
        <w:spacing w:after="180" w:before="360"/>
      </w:pPr>
      <w:r>
        <w:rPr>
          <w:rFonts w:ascii="Arial" w:cs="Arial" w:eastAsia="Arial" w:hAnsi="Arial"/>
          <w:b/>
          <w:bCs/>
          <w:color w:val="1A6B8A"/>
          <w:sz w:val="34"/>
          <w:szCs w:val="34"/>
        </w:rPr>
        <w:t xml:space="preserve">X. References</w:t>
      </w:r>
    </w:p>
    <w:p>
      <w:pPr>
        <w:spacing w:after="140" w:line="280"/>
        <w:jc w:val="both"/>
      </w:pPr>
      <w:r>
        <w:rPr>
          <w:rFonts w:ascii="Arial" w:cs="Arial" w:eastAsia="Arial" w:hAnsi="Arial"/>
          <w:sz w:val="22"/>
          <w:szCs w:val="22"/>
        </w:rPr>
        <w:t xml:space="preserve">[1]  Jouppi, N. et al. "In-Datacenter Performance Analysis of a Tensor Processing Unit." ACM/IEEE ISCA (2017). doi:10.1145/3079856.3080246</w:t>
      </w:r>
    </w:p>
    <w:p>
      <w:pPr>
        <w:spacing w:after="140" w:line="280"/>
        <w:jc w:val="both"/>
      </w:pPr>
      <w:r>
        <w:rPr>
          <w:rFonts w:ascii="Arial" w:cs="Arial" w:eastAsia="Arial" w:hAnsi="Arial"/>
          <w:sz w:val="22"/>
          <w:szCs w:val="22"/>
        </w:rPr>
        <w:t xml:space="preserve">[2]  Banbury, C. et al. "MLPerf Tiny Benchmark." NeurIPS Datasets and Benchmarks (2021). arxiv.org/abs/2106.04008</w:t>
      </w:r>
    </w:p>
    <w:p>
      <w:pPr>
        <w:spacing w:after="140" w:line="280"/>
        <w:jc w:val="both"/>
      </w:pPr>
      <w:r>
        <w:rPr>
          <w:rFonts w:ascii="Arial" w:cs="Arial" w:eastAsia="Arial" w:hAnsi="Arial"/>
          <w:sz w:val="22"/>
          <w:szCs w:val="22"/>
        </w:rPr>
        <w:t xml:space="preserve">[3]  Han, S., Mao, H., Dally, W. "Deep Compression." ICLR (2016). arxiv.org/abs/1510.00149</w:t>
      </w:r>
    </w:p>
    <w:p>
      <w:pPr>
        <w:spacing w:after="140" w:line="280"/>
        <w:jc w:val="both"/>
      </w:pPr>
      <w:r>
        <w:rPr>
          <w:rFonts w:ascii="Arial" w:cs="Arial" w:eastAsia="Arial" w:hAnsi="Arial"/>
          <w:sz w:val="22"/>
          <w:szCs w:val="22"/>
        </w:rPr>
        <w:t xml:space="preserve">[4]  Waterman, A. et al. "The RISC-V Instruction Set Manual, Volume I." RISC-V Foundation (2019). riscv.org/technical/specifications</w:t>
      </w:r>
    </w:p>
    <w:p>
      <w:pPr>
        <w:spacing w:after="140" w:line="280"/>
        <w:jc w:val="both"/>
      </w:pPr>
      <w:r>
        <w:rPr>
          <w:rFonts w:ascii="Arial" w:cs="Arial" w:eastAsia="Arial" w:hAnsi="Arial"/>
          <w:sz w:val="22"/>
          <w:szCs w:val="22"/>
        </w:rPr>
        <w:t xml:space="preserve">[5]  Jacob, B. et al. "Quantization and Training of Neural Networks for Efficient Integer-Arithmetic-Only Inference." CVPR (2018). arxiv.org/abs/1712.05877</w:t>
      </w:r>
    </w:p>
    <w:p>
      <w:pPr>
        <w:spacing w:after="140" w:line="280"/>
        <w:jc w:val="both"/>
      </w:pPr>
      <w:r>
        <w:rPr>
          <w:rFonts w:ascii="Arial" w:cs="Arial" w:eastAsia="Arial" w:hAnsi="Arial"/>
          <w:sz w:val="22"/>
          <w:szCs w:val="22"/>
        </w:rPr>
        <w:t xml:space="preserve">[6]  NTHU / TSMC. "A 28nm 384Kb 6T-SRAM Computation-in-Memory Macro with 8b Precision for AI Edge Chips." ISSCC (2022).</w:t>
      </w:r>
    </w:p>
    <w:p>
      <w:pPr>
        <w:spacing w:after="140" w:line="280"/>
        <w:jc w:val="both"/>
      </w:pPr>
      <w:r>
        <w:rPr>
          <w:rFonts w:ascii="Arial" w:cs="Arial" w:eastAsia="Arial" w:hAnsi="Arial"/>
          <w:sz w:val="22"/>
          <w:szCs w:val="22"/>
        </w:rPr>
        <w:t xml:space="preserve">[7]  "A 28nm 135.19 TOPS/W Bootstrapped-SRAM Compute-in-Memory Accelerator with Layer-Wise Precision and Sparsity." ISSCC (2024). doi:10.1109/ISSCC49657.2024</w:t>
      </w:r>
    </w:p>
    <w:p>
      <w:pPr>
        <w:spacing w:after="140" w:line="280"/>
        <w:jc w:val="both"/>
      </w:pPr>
      <w:r>
        <w:rPr>
          <w:rFonts w:ascii="Arial" w:cs="Arial" w:eastAsia="Arial" w:hAnsi="Arial"/>
          <w:sz w:val="22"/>
          <w:szCs w:val="22"/>
        </w:rPr>
        <w:t xml:space="preserve">[8]  Vasireddy, P. et al. "BitL: A Hybrid Bit-Serial and Parallel Deep Learning Accelerator." ACM MICRO (2025). dl.acm.org/doi/10.1145/3725843.3756044</w:t>
      </w:r>
    </w:p>
    <w:p>
      <w:pPr>
        <w:spacing w:after="140" w:line="280"/>
        <w:jc w:val="both"/>
      </w:pPr>
      <w:r>
        <w:rPr>
          <w:rFonts w:ascii="Arial" w:cs="Arial" w:eastAsia="Arial" w:hAnsi="Arial"/>
          <w:sz w:val="22"/>
          <w:szCs w:val="22"/>
        </w:rPr>
        <w:t xml:space="preserve">[9]  Benchmark: Power Consumption for Embedded AI Inference (KV260, Coral, Jetson). IEEE/ACM (2024). researchgate.net/publication/385300510</w:t>
      </w:r>
    </w:p>
    <w:p>
      <w:pPr>
        <w:spacing w:after="140" w:line="280"/>
        <w:jc w:val="both"/>
      </w:pPr>
      <w:r>
        <w:rPr>
          <w:rFonts w:ascii="Arial" w:cs="Arial" w:eastAsia="Arial" w:hAnsi="Arial"/>
          <w:sz w:val="22"/>
          <w:szCs w:val="22"/>
        </w:rPr>
        <w:t xml:space="preserve">[10] Coral Edge TPU Performance Benchmarks. Google (2024). coral.ai/docs/edgetpu/benchmarks</w:t>
      </w:r>
    </w:p>
    <w:p>
      <w:pPr>
        <w:spacing w:after="140" w:line="280"/>
        <w:jc w:val="both"/>
      </w:pPr>
      <w:r>
        <w:rPr>
          <w:rFonts w:ascii="Arial" w:cs="Arial" w:eastAsia="Arial" w:hAnsi="Arial"/>
          <w:sz w:val="22"/>
          <w:szCs w:val="22"/>
        </w:rPr>
        <w:t xml:space="preserve">[11] JEDEC JESD209-5C: LPDDR5 Standard including deep power-down mode. jedec.org (2022).</w:t>
      </w:r>
    </w:p>
    <w:p>
      <w:pPr>
        <w:spacing w:after="140" w:line="280"/>
        <w:jc w:val="both"/>
      </w:pPr>
      <w:r>
        <w:rPr>
          <w:rFonts w:ascii="Arial" w:cs="Arial" w:eastAsia="Arial" w:hAnsi="Arial"/>
          <w:sz w:val="22"/>
          <w:szCs w:val="22"/>
        </w:rPr>
        <w:t xml:space="preserve">[12] JEDEC JESD209-4C: LPDDR4X Standard, 0.6V I/O voltage reduction. jedec.org (2017).</w:t>
      </w:r>
    </w:p>
    <w:p>
      <w:pPr>
        <w:spacing w:after="140" w:line="280"/>
        <w:jc w:val="both"/>
      </w:pPr>
      <w:r>
        <w:rPr>
          <w:rFonts w:ascii="Arial" w:cs="Arial" w:eastAsia="Arial" w:hAnsi="Arial"/>
          <w:sz w:val="22"/>
          <w:szCs w:val="22"/>
        </w:rPr>
        <w:t xml:space="preserve">[13] SMIC 28nm wafer price reduction to $1,500 (January 2025). granitefirm.com/blog (2025).</w:t>
      </w:r>
    </w:p>
    <w:p>
      <w:pPr>
        <w:spacing w:after="140" w:line="280"/>
        <w:jc w:val="both"/>
      </w:pPr>
      <w:r>
        <w:rPr>
          <w:rFonts w:ascii="Arial" w:cs="Arial" w:eastAsia="Arial" w:hAnsi="Arial"/>
          <w:sz w:val="22"/>
          <w:szCs w:val="22"/>
        </w:rPr>
        <w:t xml:space="preserve">[14] Silicon Analysts. "Chip Cost Calculator — 28nm Die Yield and Wafer Cost Model." siliconanalysts.com (2026).</w:t>
      </w:r>
    </w:p>
    <w:p>
      <w:pPr>
        <w:spacing w:after="140" w:line="280"/>
        <w:jc w:val="both"/>
      </w:pPr>
      <w:r>
        <w:rPr>
          <w:rFonts w:ascii="Arial" w:cs="Arial" w:eastAsia="Arial" w:hAnsi="Arial"/>
          <w:sz w:val="22"/>
          <w:szCs w:val="22"/>
        </w:rPr>
        <w:t xml:space="preserve">[15] Global Market Insights. "Semiconductor Foundry Market — $64.2B Mature Node Revenue, 2025." gminsights.com (2026).</w:t>
      </w:r>
    </w:p>
    <w:p>
      <w:pPr>
        <w:spacing w:after="140" w:line="280"/>
        <w:jc w:val="both"/>
      </w:pPr>
      <w:r>
        <w:rPr>
          <w:rFonts w:ascii="Arial" w:cs="Arial" w:eastAsia="Arial" w:hAnsi="Arial"/>
          <w:sz w:val="22"/>
          <w:szCs w:val="22"/>
        </w:rPr>
        <w:t xml:space="preserve">[16] Apache Software Foundation. "Apache TVM / MicroTVM: Open Source ML Compiler." tvm.apache.org (2025).</w:t>
      </w:r>
    </w:p>
    <w:p>
      <w:pPr>
        <w:spacing w:after="140" w:line="280"/>
        <w:jc w:val="both"/>
      </w:pPr>
      <w:r>
        <w:rPr>
          <w:rFonts w:ascii="Arial" w:cs="Arial" w:eastAsia="Arial" w:hAnsi="Arial"/>
          <w:sz w:val="22"/>
          <w:szCs w:val="22"/>
        </w:rPr>
        <w:t xml:space="preserve">[17] Microsoft Open Source. "ONNX Runtime Execution Provider Architecture." onnxruntime.ai (2025).</w:t>
      </w:r>
    </w:p>
    <w:p>
      <w:pPr>
        <w:spacing w:after="140" w:line="280"/>
        <w:jc w:val="both"/>
      </w:pPr>
      <w:r>
        <w:rPr>
          <w:rFonts w:ascii="Arial" w:cs="Arial" w:eastAsia="Arial" w:hAnsi="Arial"/>
          <w:sz w:val="22"/>
          <w:szCs w:val="22"/>
        </w:rPr>
        <w:t xml:space="preserve">[18] EdgeCortix. "MERA Compiler: Apache TVM-based Edge AI Deployment Framework." edgecortix.com (2024).</w:t>
      </w:r>
    </w:p>
    <w:p>
      <w:pPr>
        <w:spacing w:after="140" w:line="280"/>
        <w:jc w:val="both"/>
      </w:pPr>
      <w:r>
        <w:rPr>
          <w:rFonts w:ascii="Arial" w:cs="Arial" w:eastAsia="Arial" w:hAnsi="Arial"/>
          <w:sz w:val="22"/>
          <w:szCs w:val="22"/>
        </w:rPr>
        <w:t xml:space="preserve">[19] Madraswala, T. (Open-Silicon). "Routing Congestion at 28nm: IP Integration as Primary Cause." Semiconductor Engineering (2013). semiengineering.com</w:t>
      </w:r>
    </w:p>
    <w:p>
      <w:pPr>
        <w:spacing w:after="140" w:line="280"/>
        <w:jc w:val="both"/>
      </w:pPr>
      <w:r>
        <w:rPr>
          <w:rFonts w:ascii="Arial" w:cs="Arial" w:eastAsia="Arial" w:hAnsi="Arial"/>
          <w:sz w:val="22"/>
          <w:szCs w:val="22"/>
        </w:rPr>
        <w:t xml:space="preserve">[20] Sakai, A. et al. "Huge Anomalous Nernst Effect in Chiral-Lattice Magnet Co₂MnGa." Nature Physics 14, 1119–1124 (2018). doi:10.1038/s41567-018-0225-6</w:t>
      </w:r>
    </w:p>
    <w:p>
      <w:pPr>
        <w:spacing w:after="140" w:line="280"/>
        <w:jc w:val="both"/>
      </w:pPr>
      <w:r>
        <w:rPr>
          <w:rFonts w:ascii="Arial" w:cs="Arial" w:eastAsia="Arial" w:hAnsi="Arial"/>
          <w:sz w:val="22"/>
          <w:szCs w:val="22"/>
        </w:rPr>
        <w:t xml:space="preserve">[21] Asaba, T. et al. "Anomalous Hall and Nernst Effects in Kagome-Lattice Weyl Semimetal Co₃Sn₂S₂." Science Advances 7, eabf1467 (2021). doi:10.1126/sciadv.abf1467</w:t>
      </w:r>
    </w:p>
    <w:p>
      <w:pPr>
        <w:spacing w:after="140" w:line="280"/>
        <w:jc w:val="both"/>
      </w:pPr>
      <w:r>
        <w:rPr>
          <w:rFonts w:ascii="Arial" w:cs="Arial" w:eastAsia="Arial" w:hAnsi="Arial"/>
          <w:sz w:val="22"/>
          <w:szCs w:val="22"/>
        </w:rPr>
        <w:t xml:space="preserve">[22] Axelera AI. "Europa AIPU: 629 TOPS INT8, RISC-V + LPDDR5, 128MB on-chip L2 SRAM." axelera.ai (October 2025).</w:t>
      </w:r>
    </w:p>
    <w:p>
      <w:pPr>
        <w:spacing w:after="140" w:line="280"/>
        <w:jc w:val="both"/>
      </w:pPr>
      <w:r>
        <w:rPr>
          <w:rFonts w:ascii="Arial" w:cs="Arial" w:eastAsia="Arial" w:hAnsi="Arial"/>
          <w:sz w:val="22"/>
          <w:szCs w:val="22"/>
        </w:rPr>
        <w:t xml:space="preserve">[23] DeepX. "DX-M1: 25 TOPS INT8 at 3–5W, 3,523 FPS MobileNetV2." linuxgizmos.com (November 2025).</w:t>
      </w:r>
    </w:p>
    <w:p>
      <w:pPr>
        <w:spacing w:after="140" w:line="280"/>
        <w:jc w:val="both"/>
      </w:pPr>
      <w:r>
        <w:rPr>
          <w:rFonts w:ascii="Arial" w:cs="Arial" w:eastAsia="Arial" w:hAnsi="Arial"/>
          <w:sz w:val="22"/>
          <w:szCs w:val="22"/>
        </w:rPr>
        <w:t xml:space="preserve">[24] JEDEC. "LPDDR5 Power Reduction: Write-X and Data-Copy Commands." JESD209-5C press release, jedec.org (2019).</w:t>
      </w:r>
    </w:p>
    <w:p>
      <w:pPr>
        <w:spacing w:after="80"/>
      </w:pPr>
      <w:r>
        <w:t xml:space="preserve"/>
      </w:r>
    </w:p>
    <w:p>
      <w:pPr>
        <w:pStyle w:val="Heading1"/>
        <w:pBdr>
          <w:bottom w:val="single" w:color="1A6B8A" w:sz="8" w:space="1"/>
        </w:pBdr>
        <w:spacing w:after="180" w:before="360"/>
      </w:pPr>
      <w:r>
        <w:rPr>
          <w:rFonts w:ascii="Arial" w:cs="Arial" w:eastAsia="Arial" w:hAnsi="Arial"/>
          <w:b/>
          <w:bCs/>
          <w:color w:val="1A6B8A"/>
          <w:sz w:val="34"/>
          <w:szCs w:val="34"/>
        </w:rPr>
        <w:t xml:space="preserve">XI. Closing Statement</w:t>
      </w:r>
    </w:p>
    <w:p>
      <w:pPr>
        <w:spacing w:after="140" w:line="280"/>
        <w:jc w:val="both"/>
      </w:pPr>
      <w:r>
        <w:rPr>
          <w:rFonts w:ascii="Arial" w:cs="Arial" w:eastAsia="Arial" w:hAnsi="Arial"/>
          <w:sz w:val="22"/>
          <w:szCs w:val="22"/>
        </w:rPr>
        <w:t xml:space="preserve">EdgeCore-1 is the product of a simple observation: the most important AI hardware market in the world — the trillion-device edge — is being served by hardware designed for something else. MCUs are too slow. Qualcomm chips are too expensive. Coral is too closed. ARM is too costly to license. The gap is real, it is large, and it is empty.</w:t>
      </w:r>
    </w:p>
    <w:p>
      <w:pPr>
        <w:spacing w:after="80"/>
      </w:pPr>
      <w:r>
        <w:t xml:space="preserve"/>
      </w:r>
    </w:p>
    <w:p>
      <w:pPr>
        <w:spacing w:after="140" w:line="280"/>
        <w:jc w:val="both"/>
      </w:pPr>
      <w:r>
        <w:rPr>
          <w:rFonts w:ascii="Arial" w:cs="Arial" w:eastAsia="Arial" w:hAnsi="Arial"/>
          <w:sz w:val="22"/>
          <w:szCs w:val="22"/>
        </w:rPr>
        <w:t xml:space="preserve">The architecture described in this document addresses that gap with deliberate, verifiable engineering decisions. Every architectural choice has a published precedent at the exact process node we target. Every risk has been named, quantified, and mitigated — not hidden. The software story — ONNX to TVM to RISC-V in under an hour — makes this a product a developer can actually use, not a laboratory experiment they have to reverse-engineer.</w:t>
      </w:r>
    </w:p>
    <w:p>
      <w:pPr>
        <w:spacing w:after="80"/>
      </w:pPr>
      <w:r>
        <w:t xml:space="preserve"/>
      </w:r>
    </w:p>
    <w:p>
      <w:pPr>
        <w:spacing w:after="140" w:line="280"/>
        <w:jc w:val="both"/>
      </w:pPr>
      <w:r>
        <w:rPr>
          <w:rFonts w:ascii="Arial" w:cs="Arial" w:eastAsia="Arial" w:hAnsi="Arial"/>
          <w:sz w:val="22"/>
          <w:szCs w:val="22"/>
        </w:rPr>
        <w:t xml:space="preserve">The commercial path is equally clear. IP licensing is the correct model for an independent researcher. The Phase 1 deliverable — verified RTL, TVM compiler backend, golden model, verification report — is a complete licensable asset that requires no fab, no warehouse, and no supply chain. A single Tier-1 automotive licensee deploying EdgeCore-1 in rear-view camera SoCs at 5 million units per year generates $500,000 in royalties annually. That is sustainable research funding without a grant cycle.</w:t>
      </w:r>
    </w:p>
    <w:p>
      <w:pPr>
        <w:spacing w:after="80"/>
      </w:pPr>
      <w:r>
        <w:t xml:space="preserve"/>
      </w:r>
    </w:p>
    <w:p>
      <w:pPr>
        <w:spacing w:after="140" w:line="280"/>
        <w:jc w:val="both"/>
      </w:pPr>
      <w:r>
        <w:rPr>
          <w:rFonts w:ascii="Arial" w:cs="Arial" w:eastAsia="Arial" w:hAnsi="Arial"/>
          <w:sz w:val="22"/>
          <w:szCs w:val="22"/>
        </w:rPr>
        <w:t xml:space="preserve">Two research programs. Two fundable technologies. One researcher. The Infinar Scientia portfolio demonstrates something more valuable than any single technical result: the ability to identify real engineering problems, design solutions grounded in physics and published evidence, acknowledge uncertainty with precision, and produce documents that respect the intelligence of the reader.</w:t>
      </w:r>
    </w:p>
    <w:p>
      <w:pPr>
        <w:spacing w:after="80"/>
      </w:pPr>
      <w:r>
        <w:t xml:space="preserve"/>
      </w:r>
    </w:p>
    <w:p>
      <w:pPr>
        <w:pBdr>
          <w:top w:val="single" w:color="1A6B8A" w:sz="6" w:space="10"/>
          <w:bottom w:val="single" w:color="1A6B8A" w:sz="6" w:space="10"/>
        </w:pBdr>
        <w:spacing w:after="80"/>
      </w:pPr>
      <w:r>
        <w:rPr>
          <w:rFonts w:ascii="Arial" w:cs="Arial" w:eastAsia="Arial" w:hAnsi="Arial"/>
          <w:b/>
          <w:bCs/>
          <w:color w:val="1A6B8A"/>
          <w:sz w:val="24"/>
          <w:szCs w:val="24"/>
        </w:rPr>
        <w:t xml:space="preserve">The world is running AI on the wrong hardware. This is the right hardware. Build it.</w:t>
      </w:r>
    </w:p>
    <w:p>
      <w:pPr>
        <w:spacing w:after="80"/>
      </w:pPr>
      <w:r>
        <w:t xml:space="preserve"/>
      </w:r>
    </w:p>
    <w:p>
      <w:pPr>
        <w:spacing w:after="140" w:line="280"/>
        <w:jc w:val="center"/>
      </w:pPr>
      <w:r>
        <w:rPr>
          <w:rFonts w:ascii="Arial" w:cs="Arial" w:eastAsia="Arial" w:hAnsi="Arial"/>
          <w:sz w:val="22"/>
          <w:szCs w:val="22"/>
        </w:rPr>
        <w:t xml:space="preserve">Principal Investigator: Infinar Scientia</w:t>
      </w:r>
    </w:p>
    <w:p>
      <w:pPr>
        <w:spacing w:after="140" w:line="280"/>
        <w:jc w:val="center"/>
      </w:pPr>
      <w:r>
        <w:rPr>
          <w:rFonts w:ascii="Arial" w:cs="Arial" w:eastAsia="Arial" w:hAnsi="Arial"/>
          <w:sz w:val="22"/>
          <w:szCs w:val="22"/>
        </w:rPr>
        <w:t xml:space="preserve">Document: EdgeCore-1 Definitive Technical Reference — Final Edition</w:t>
      </w:r>
    </w:p>
    <w:p>
      <w:pPr>
        <w:spacing w:after="140" w:line="280"/>
        <w:jc w:val="center"/>
      </w:pPr>
      <w:r>
        <w:rPr>
          <w:rFonts w:ascii="Arial" w:cs="Arial" w:eastAsia="Arial" w:hAnsi="Arial"/>
          <w:sz w:val="22"/>
          <w:szCs w:val="22"/>
        </w:rPr>
        <w:t xml:space="preserve">Companion Document: Project Daybreak 2.0 — Technical Prospectus Rev. C</w:t>
      </w:r>
    </w:p>
    <w:p>
      <w:pPr>
        <w:spacing w:after="140" w:line="280"/>
        <w:jc w:val="center"/>
      </w:pPr>
      <w:r>
        <w:rPr>
          <w:rFonts w:ascii="Arial" w:cs="Arial" w:eastAsia="Arial" w:hAnsi="Arial"/>
          <w:sz w:val="22"/>
          <w:szCs w:val="22"/>
        </w:rPr>
        <w:t xml:space="preserve">Date: April 2026</w:t>
      </w:r>
    </w:p>
    <w:sectPr>
      <w:footerReference w:type="default" r:id="rId7"/>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EdgeCore-1 | Definitive Technical Reference | Infinar Scientia | 2026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6B8A"/>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2026-04-17T00:44:42.818Z</dcterms:created>
  <dcterms:modified xsi:type="dcterms:W3CDTF">2026-04-17T00:44:42.819Z</dcterms:modified>
</cp:coreProperties>
</file>

<file path=docProps/custom.xml><?xml version="1.0" encoding="utf-8"?>
<Properties xmlns="http://schemas.openxmlformats.org/officeDocument/2006/custom-properties" xmlns:vt="http://schemas.openxmlformats.org/officeDocument/2006/docPropsVTypes"/>
</file>