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36"/>
          <w:szCs w:val="36"/>
        </w:rPr>
        <w:t xml:space="preserve">INFINAR SCIENTIA</w:t>
      </w:r>
    </w:p>
    <w:p>
      <w:pPr>
        <w:pBdr>
          <w:bottom w:val="single" w:color="1F4E79" w:sz="8" w:space="4"/>
        </w:pBdr>
        <w:spacing w:after="40"/>
        <w:jc w:val="center"/>
      </w:pPr>
      <w:r>
        <w:rPr>
          <w:rFonts w:ascii="Arial" w:cs="Arial" w:eastAsia="Arial" w:hAnsi="Arial"/>
          <w:b/>
          <w:bCs/>
          <w:color w:val="404040"/>
          <w:sz w:val="24"/>
          <w:szCs w:val="24"/>
        </w:rPr>
        <w:t xml:space="preserve">EDGECORE-1 IP LICENSE AGREEMENT</w:t>
      </w:r>
    </w:p>
    <w:p>
      <w:pPr>
        <w:spacing w:after="40"/>
        <w:jc w:val="center"/>
      </w:pPr>
      <w:r>
        <w:rPr>
          <w:rFonts w:ascii="Arial" w:cs="Arial" w:eastAsia="Arial" w:hAnsi="Arial"/>
          <w:color w:val="888888"/>
          <w:sz w:val="20"/>
          <w:szCs w:val="20"/>
        </w:rPr>
        <w:t xml:space="preserve">Simulation-Verified RTL — As-Is License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Agreement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_______________________________</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Licensor: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Infinar Scientia Inc., Ontario corporation (“Infinar”)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Licensee: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_______________________________  (“Licensee”)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NRE Fee: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USD $_______________  (due at signing)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Royalty: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USD $_____________ per unit of Licensee Product incorporating the Licensed IP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Royalty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Quarterly, within 30 days of quarter end</w:t>
            </w:r>
          </w:p>
        </w:tc>
      </w:tr>
    </w:tbl>
    <w:p>
      <w:pPr>
        <w:spacing w:after="16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 Definitions</w:t>
      </w:r>
    </w:p>
    <w:p>
      <w:pPr>
        <w:spacing w:after="160"/>
        <w:jc w:val="left"/>
      </w:pPr>
      <w:r>
        <w:rPr>
          <w:rFonts w:ascii="Arial" w:cs="Arial" w:eastAsia="Arial" w:hAnsi="Arial"/>
          <w:b w:val="false"/>
          <w:bCs w:val="false"/>
          <w:color w:val="404040"/>
          <w:sz w:val="20"/>
          <w:szCs w:val="20"/>
        </w:rPr>
        <w:t xml:space="preserve">1.1  "Licensed IP" means the EdgeCore-1 simulation-verified IP package delivered by Infinar, comprising: (a) Verilog RTL source files (mac_array_v2.v, sparsity_engine.v, edgecore1_top.v, edgecore1_riscv_ctrl.v); (b) C++ golden model (edgecore1_golden.cpp) and verification testbenches (tb_edgecore1.v, tb_system.v); (c) Python compiler pipeline (edgecore1_compiler.py, edgecore1_target.py, edgecore1_runtime.py); (d) Yosys synthesis scripts; (e) RISC-V firmware template (edgecore1_firmware.c); and (f) technical documentation as listed in Exhibit A.</w:t>
      </w:r>
    </w:p>
    <w:p>
      <w:pPr>
        <w:spacing w:after="160"/>
        <w:jc w:val="left"/>
      </w:pPr>
      <w:r>
        <w:rPr>
          <w:rFonts w:ascii="Arial" w:cs="Arial" w:eastAsia="Arial" w:hAnsi="Arial"/>
          <w:b w:val="false"/>
          <w:bCs w:val="false"/>
          <w:color w:val="404040"/>
          <w:sz w:val="20"/>
          <w:szCs w:val="20"/>
        </w:rPr>
        <w:t xml:space="preserve">1.2  "Licensee Product" means any integrated circuit, FPGA design, or electronic system that incorporates the Licensed IP or any derivative thereof.</w:t>
      </w:r>
    </w:p>
    <w:p>
      <w:pPr>
        <w:spacing w:after="160"/>
        <w:jc w:val="left"/>
      </w:pPr>
      <w:r>
        <w:rPr>
          <w:rFonts w:ascii="Arial" w:cs="Arial" w:eastAsia="Arial" w:hAnsi="Arial"/>
          <w:b w:val="false"/>
          <w:bCs w:val="false"/>
          <w:color w:val="404040"/>
          <w:sz w:val="20"/>
          <w:szCs w:val="20"/>
        </w:rPr>
        <w:t xml:space="preserve">1.3  "Field of Use" means edge AI inference in [  ] (specify: automotive / industrial IoT / consumer electronics / all fields).</w:t>
      </w:r>
    </w:p>
    <w:p>
      <w:pPr>
        <w:pStyle w:val="Heading1"/>
        <w:pBdr>
          <w:bottom w:val="single" w:color="1F4E79" w:sz="6" w:space="1"/>
        </w:pBdr>
        <w:spacing w:after="160" w:before="320"/>
      </w:pPr>
      <w:r>
        <w:rPr>
          <w:rFonts w:ascii="Arial" w:cs="Arial" w:eastAsia="Arial" w:hAnsi="Arial"/>
          <w:b/>
          <w:bCs/>
          <w:color w:val="1F4E79"/>
          <w:sz w:val="32"/>
          <w:szCs w:val="32"/>
        </w:rPr>
        <w:t xml:space="preserve">2. Grant of License</w:t>
      </w:r>
    </w:p>
    <w:p>
      <w:pPr>
        <w:spacing w:after="160"/>
        <w:jc w:val="left"/>
      </w:pPr>
      <w:r>
        <w:rPr>
          <w:rFonts w:ascii="Arial" w:cs="Arial" w:eastAsia="Arial" w:hAnsi="Arial"/>
          <w:b w:val="false"/>
          <w:bCs w:val="false"/>
          <w:color w:val="404040"/>
          <w:sz w:val="20"/>
          <w:szCs w:val="20"/>
        </w:rPr>
        <w:t xml:space="preserve">2.1  Internal Use. Infinar grants Licensee a non-exclusive, non-transferable, worldwide license to use, copy, modify, and prepare derivative works of the Licensed IP solely for internal design, verification, synthesis, and implementation of Licensee Products within the Field of Use.</w:t>
      </w:r>
    </w:p>
    <w:p>
      <w:pPr>
        <w:spacing w:after="160"/>
        <w:jc w:val="left"/>
      </w:pPr>
      <w:r>
        <w:rPr>
          <w:rFonts w:ascii="Arial" w:cs="Arial" w:eastAsia="Arial" w:hAnsi="Arial"/>
          <w:b w:val="false"/>
          <w:bCs w:val="false"/>
          <w:color w:val="404040"/>
          <w:sz w:val="20"/>
          <w:szCs w:val="20"/>
        </w:rPr>
        <w:t xml:space="preserve">2.2  Manufacturing. Licensee may use the Licensed IP to manufacture, have manufactured, and sell Licensee Products. Any derivative RTL created by Licensee remains subject to royalty obligations under Section 4.</w:t>
      </w:r>
    </w:p>
    <w:p>
      <w:pPr>
        <w:spacing w:after="160"/>
        <w:jc w:val="left"/>
      </w:pPr>
      <w:r>
        <w:rPr>
          <w:rFonts w:ascii="Arial" w:cs="Arial" w:eastAsia="Arial" w:hAnsi="Arial"/>
          <w:b w:val="false"/>
          <w:bCs w:val="false"/>
          <w:color w:val="404040"/>
          <w:sz w:val="20"/>
          <w:szCs w:val="20"/>
        </w:rPr>
        <w:t xml:space="preserve">2.3  Restrictions. Licensee shall not: (a) sublicense the Licensed IP to any third party; (b) use the Licensed IP outside the Field of Use; (c) remove or obscure any proprietary notices; or (d) disclose the Licensed IP to third parties except as expressly permitted herein.</w:t>
      </w:r>
    </w:p>
    <w:p>
      <w:pPr>
        <w:pStyle w:val="Heading1"/>
        <w:pBdr>
          <w:bottom w:val="single" w:color="1F4E79" w:sz="6" w:space="1"/>
        </w:pBdr>
        <w:spacing w:after="160" w:before="320"/>
      </w:pPr>
      <w:r>
        <w:rPr>
          <w:rFonts w:ascii="Arial" w:cs="Arial" w:eastAsia="Arial" w:hAnsi="Arial"/>
          <w:b/>
          <w:bCs/>
          <w:color w:val="1F4E79"/>
          <w:sz w:val="32"/>
          <w:szCs w:val="32"/>
        </w:rPr>
        <w:t xml:space="preserve">3. Delivery &amp; Acceptance</w:t>
      </w:r>
    </w:p>
    <w:p>
      <w:pPr>
        <w:spacing w:after="160"/>
        <w:jc w:val="left"/>
      </w:pPr>
      <w:r>
        <w:rPr>
          <w:rFonts w:ascii="Arial" w:cs="Arial" w:eastAsia="Arial" w:hAnsi="Arial"/>
          <w:b w:val="false"/>
          <w:bCs w:val="false"/>
          <w:color w:val="404040"/>
          <w:sz w:val="20"/>
          <w:szCs w:val="20"/>
        </w:rPr>
        <w:t xml:space="preserve">3.1  Infinar shall deliver the Licensed IP within five (5) business days of receipt of the NRE Fee.</w:t>
      </w:r>
    </w:p>
    <w:p>
      <w:pPr>
        <w:spacing w:after="160"/>
        <w:jc w:val="left"/>
      </w:pPr>
      <w:r>
        <w:rPr>
          <w:rFonts w:ascii="Arial" w:cs="Arial" w:eastAsia="Arial" w:hAnsi="Arial"/>
          <w:b w:val="false"/>
          <w:bCs w:val="false"/>
          <w:color w:val="404040"/>
          <w:sz w:val="20"/>
          <w:szCs w:val="20"/>
        </w:rPr>
        <w:t xml:space="preserve">3.2  The Licensed IP is delivered "as simulation-verified RTL." Acceptance shall be deemed to occur ten (10) business days after delivery unless Licensee provides written notice of material non-conformance. Non-conformance means the delivered testbenches produce failures when executed per the included run instructions.</w:t>
      </w:r>
    </w:p>
    <w:p>
      <w:pPr>
        <w:pStyle w:val="Heading1"/>
        <w:pBdr>
          <w:bottom w:val="single" w:color="1F4E79" w:sz="6" w:space="1"/>
        </w:pBdr>
        <w:spacing w:after="160" w:before="320"/>
      </w:pPr>
      <w:r>
        <w:rPr>
          <w:rFonts w:ascii="Arial" w:cs="Arial" w:eastAsia="Arial" w:hAnsi="Arial"/>
          <w:b/>
          <w:bCs/>
          <w:color w:val="1F4E79"/>
          <w:sz w:val="32"/>
          <w:szCs w:val="32"/>
        </w:rPr>
        <w:t xml:space="preserve">4. Fees &amp; Royalties</w:t>
      </w:r>
    </w:p>
    <w:p>
      <w:pPr>
        <w:spacing w:after="160"/>
        <w:jc w:val="left"/>
      </w:pPr>
      <w:r>
        <w:rPr>
          <w:rFonts w:ascii="Arial" w:cs="Arial" w:eastAsia="Arial" w:hAnsi="Arial"/>
          <w:b w:val="false"/>
          <w:bCs w:val="false"/>
          <w:color w:val="404040"/>
          <w:sz w:val="20"/>
          <w:szCs w:val="20"/>
        </w:rPr>
        <w:t xml:space="preserve">4.1  NRE Fee. The NRE Fee is non-refundable and due at signing. It covers the delivery, integration support calls (up to 8 hours), and a 90-day bug-fix warranty as described in Section 6.</w:t>
      </w:r>
    </w:p>
    <w:p>
      <w:pPr>
        <w:spacing w:after="160"/>
        <w:jc w:val="left"/>
      </w:pPr>
      <w:r>
        <w:rPr>
          <w:rFonts w:ascii="Arial" w:cs="Arial" w:eastAsia="Arial" w:hAnsi="Arial"/>
          <w:b w:val="false"/>
          <w:bCs w:val="false"/>
          <w:color w:val="404040"/>
          <w:sz w:val="20"/>
          <w:szCs w:val="20"/>
        </w:rPr>
        <w:t xml:space="preserve">4.2  Per-Unit Royalty. Licensee shall pay the per-unit Royalty for each unit of Licensee Product sold, shipped, or otherwise transferred to a third party. For internal use only (no external transfer), no per-unit Royalty is due.</w:t>
      </w:r>
    </w:p>
    <w:p>
      <w:pPr>
        <w:spacing w:after="160"/>
        <w:jc w:val="left"/>
      </w:pPr>
      <w:r>
        <w:rPr>
          <w:rFonts w:ascii="Arial" w:cs="Arial" w:eastAsia="Arial" w:hAnsi="Arial"/>
          <w:b w:val="false"/>
          <w:bCs w:val="false"/>
          <w:color w:val="404040"/>
          <w:sz w:val="20"/>
          <w:szCs w:val="20"/>
        </w:rPr>
        <w:t xml:space="preserve">4.3  Royalty Reports. Within 30 days following each calendar quarter, Licensee shall provide Infinar a written royalty report stating units sold and Royalties due. Infinar may audit Licensee's records once per year upon 30 days written notice.</w:t>
      </w:r>
    </w:p>
    <w:p>
      <w:pPr>
        <w:spacing w:after="160"/>
        <w:jc w:val="left"/>
      </w:pPr>
      <w:r>
        <w:rPr>
          <w:rFonts w:ascii="Arial" w:cs="Arial" w:eastAsia="Arial" w:hAnsi="Arial"/>
          <w:b w:val="false"/>
          <w:bCs w:val="false"/>
          <w:color w:val="404040"/>
          <w:sz w:val="20"/>
          <w:szCs w:val="20"/>
        </w:rPr>
        <w:t xml:space="preserve">4.4  Late Payment. Unpaid amounts bear interest at 1.5% per month or the maximum permitted by law, whichever is less.</w:t>
      </w:r>
    </w:p>
    <w:p>
      <w:pPr>
        <w:pStyle w:val="Heading1"/>
        <w:pBdr>
          <w:bottom w:val="single" w:color="1F4E79" w:sz="6" w:space="1"/>
        </w:pBdr>
        <w:spacing w:after="160" w:before="320"/>
      </w:pPr>
      <w:r>
        <w:rPr>
          <w:rFonts w:ascii="Arial" w:cs="Arial" w:eastAsia="Arial" w:hAnsi="Arial"/>
          <w:b/>
          <w:bCs/>
          <w:color w:val="1F4E79"/>
          <w:sz w:val="32"/>
          <w:szCs w:val="32"/>
        </w:rPr>
        <w:t xml:space="preserve">5. AS-IS Disclaimer</w:t>
      </w:r>
    </w:p>
    <w:p>
      <w:pPr>
        <w:spacing w:after="160"/>
      </w:pPr>
      <w:r>
        <w:rPr>
          <w:rFonts w:ascii="Arial" w:cs="Arial" w:eastAsia="Arial" w:hAnsi="Arial"/>
          <w:b/>
          <w:bCs/>
          <w:color w:val="C00000"/>
          <w:sz w:val="20"/>
          <w:szCs w:val="20"/>
        </w:rPr>
        <w:t xml:space="preserve">THE LICENSED IP IS PROVIDED "AS IS" AND "AS SIMULATION-VERIFIED RTL." INFINAR MAKES NO WARRANTY, EXPRESS OR IMPLIED, INCLUDING WITHOUT LIMITATION ANY IMPLIED WARRANTY OF MERCHANTABILITY, FITNESS FOR A PARTICULAR PURPOSE, OR NON-INFRINGEMENT. INFINAR DOES NOT WARRANT THAT THE LICENSED IP WILL MEET LICENSEE'S REQUIREMENTS, THAT SILICON IMPLEMENTATIONS WILL ACHIEVE ANY PARTICULAR AREA, FREQUENCY, POWER, OR YIELD TARGETS, OR THAT OPERATION WILL BE UNINTERRUPTED OR ERROR-FREE.</w:t>
      </w:r>
    </w:p>
    <w:p>
      <w:pPr>
        <w:spacing w:after="160"/>
        <w:jc w:val="left"/>
      </w:pPr>
      <w:r>
        <w:rPr>
          <w:rFonts w:ascii="Arial" w:cs="Arial" w:eastAsia="Arial" w:hAnsi="Arial"/>
          <w:b w:val="false"/>
          <w:bCs w:val="false"/>
          <w:color w:val="404040"/>
          <w:sz w:val="20"/>
          <w:szCs w:val="20"/>
        </w:rPr>
        <w:t xml:space="preserve">Licensee acknowledges that: (a) the Licensed IP has been verified by simulation only; (b) Licensee is solely responsible for physical implementation, synthesis, place-and-route, DRC/LVS sign-off, tape-out, and silicon characterization; and (c) achieving production-quality silicon requires Licensee to engage a qualified ASIC design team and foundry.</w:t>
      </w:r>
    </w:p>
    <w:p>
      <w:pPr>
        <w:pStyle w:val="Heading1"/>
        <w:pBdr>
          <w:bottom w:val="single" w:color="1F4E79" w:sz="6" w:space="1"/>
        </w:pBdr>
        <w:spacing w:after="160" w:before="320"/>
      </w:pPr>
      <w:r>
        <w:rPr>
          <w:rFonts w:ascii="Arial" w:cs="Arial" w:eastAsia="Arial" w:hAnsi="Arial"/>
          <w:b/>
          <w:bCs/>
          <w:color w:val="1F4E79"/>
          <w:sz w:val="32"/>
          <w:szCs w:val="32"/>
        </w:rPr>
        <w:t xml:space="preserve">6. Warranty &amp; Support</w:t>
      </w:r>
    </w:p>
    <w:p>
      <w:pPr>
        <w:spacing w:after="160"/>
        <w:jc w:val="left"/>
      </w:pPr>
      <w:r>
        <w:rPr>
          <w:rFonts w:ascii="Arial" w:cs="Arial" w:eastAsia="Arial" w:hAnsi="Arial"/>
          <w:b w:val="false"/>
          <w:bCs w:val="false"/>
          <w:color w:val="404040"/>
          <w:sz w:val="20"/>
          <w:szCs w:val="20"/>
        </w:rPr>
        <w:t xml:space="preserve">6.1  Bug-Fix Warranty. For 90 days following delivery, Infinar will use commercially reasonable efforts to correct defects in the Licensed IP that prevent the delivered testbenches from passing when executed per the run instructions. This warranty does not cover defects arising from modification by Licensee.</w:t>
      </w:r>
    </w:p>
    <w:p>
      <w:pPr>
        <w:spacing w:after="160"/>
        <w:jc w:val="left"/>
      </w:pPr>
      <w:r>
        <w:rPr>
          <w:rFonts w:ascii="Arial" w:cs="Arial" w:eastAsia="Arial" w:hAnsi="Arial"/>
          <w:b w:val="false"/>
          <w:bCs w:val="false"/>
          <w:color w:val="404040"/>
          <w:sz w:val="20"/>
          <w:szCs w:val="20"/>
        </w:rPr>
        <w:t xml:space="preserve">6.2  Integration Support. NRE Fee includes up to 8 hours of engineering support via video call. Additional support is available at USD $250/hour.</w:t>
      </w:r>
    </w:p>
    <w:p>
      <w:pPr>
        <w:spacing w:after="160"/>
        <w:jc w:val="left"/>
      </w:pPr>
      <w:r>
        <w:rPr>
          <w:rFonts w:ascii="Arial" w:cs="Arial" w:eastAsia="Arial" w:hAnsi="Arial"/>
          <w:b w:val="false"/>
          <w:bCs w:val="false"/>
          <w:color w:val="404040"/>
          <w:sz w:val="20"/>
          <w:szCs w:val="20"/>
        </w:rPr>
        <w:t xml:space="preserve">6.3  Updates. Infinar has no obligation to provide updates, new versions, or additional features beyond the 90-day warranty period.</w:t>
      </w:r>
    </w:p>
    <w:p>
      <w:pPr>
        <w:pStyle w:val="Heading1"/>
        <w:pBdr>
          <w:bottom w:val="single" w:color="1F4E79" w:sz="6" w:space="1"/>
        </w:pBdr>
        <w:spacing w:after="160" w:before="320"/>
      </w:pPr>
      <w:r>
        <w:rPr>
          <w:rFonts w:ascii="Arial" w:cs="Arial" w:eastAsia="Arial" w:hAnsi="Arial"/>
          <w:b/>
          <w:bCs/>
          <w:color w:val="1F4E79"/>
          <w:sz w:val="32"/>
          <w:szCs w:val="32"/>
        </w:rPr>
        <w:t xml:space="preserve">7. Intellectual Property</w:t>
      </w:r>
    </w:p>
    <w:p>
      <w:pPr>
        <w:spacing w:after="160"/>
        <w:jc w:val="left"/>
      </w:pPr>
      <w:r>
        <w:rPr>
          <w:rFonts w:ascii="Arial" w:cs="Arial" w:eastAsia="Arial" w:hAnsi="Arial"/>
          <w:b w:val="false"/>
          <w:bCs w:val="false"/>
          <w:color w:val="404040"/>
          <w:sz w:val="20"/>
          <w:szCs w:val="20"/>
        </w:rPr>
        <w:t xml:space="preserve">7.1  Ownership. The Licensed IP and all derivatives thereof remain the exclusive property of Infinar. Licensee owns any original developments that do not incorporate or derive from the Licensed IP.</w:t>
      </w:r>
    </w:p>
    <w:p>
      <w:pPr>
        <w:spacing w:after="160"/>
        <w:jc w:val="left"/>
      </w:pPr>
      <w:r>
        <w:rPr>
          <w:rFonts w:ascii="Arial" w:cs="Arial" w:eastAsia="Arial" w:hAnsi="Arial"/>
          <w:b w:val="false"/>
          <w:bCs w:val="false"/>
          <w:color w:val="404040"/>
          <w:sz w:val="20"/>
          <w:szCs w:val="20"/>
        </w:rPr>
        <w:t xml:space="preserve">7.2  Feedback. If Licensee provides Infinar with feedback, bug reports, or suggested improvements, Infinar may use such feedback freely without obligation.</w:t>
      </w:r>
    </w:p>
    <w:p>
      <w:pPr>
        <w:spacing w:after="160"/>
        <w:jc w:val="left"/>
      </w:pPr>
      <w:r>
        <w:rPr>
          <w:rFonts w:ascii="Arial" w:cs="Arial" w:eastAsia="Arial" w:hAnsi="Arial"/>
          <w:b w:val="false"/>
          <w:bCs w:val="false"/>
          <w:color w:val="404040"/>
          <w:sz w:val="20"/>
          <w:szCs w:val="20"/>
        </w:rPr>
        <w:t xml:space="preserve">7.3  Third-Party Components. The Licensed IP includes RISC-V ISA architecture (royalty-free) and interfaces with Apache TVM (Apache 2.0 license). Licensee is responsible for compliance with applicable open-source licenses.</w:t>
      </w:r>
    </w:p>
    <w:p>
      <w:pPr>
        <w:pStyle w:val="Heading1"/>
        <w:pBdr>
          <w:bottom w:val="single" w:color="1F4E79" w:sz="6" w:space="1"/>
        </w:pBdr>
        <w:spacing w:after="160" w:before="320"/>
      </w:pPr>
      <w:r>
        <w:rPr>
          <w:rFonts w:ascii="Arial" w:cs="Arial" w:eastAsia="Arial" w:hAnsi="Arial"/>
          <w:b/>
          <w:bCs/>
          <w:color w:val="1F4E79"/>
          <w:sz w:val="32"/>
          <w:szCs w:val="32"/>
        </w:rPr>
        <w:t xml:space="preserve">8. Liability Limitation</w:t>
      </w:r>
    </w:p>
    <w:p>
      <w:pPr>
        <w:spacing w:after="160"/>
        <w:jc w:val="left"/>
      </w:pPr>
      <w:r>
        <w:rPr>
          <w:rFonts w:ascii="Arial" w:cs="Arial" w:eastAsia="Arial" w:hAnsi="Arial"/>
          <w:b w:val="false"/>
          <w:bCs w:val="false"/>
          <w:color w:val="404040"/>
          <w:sz w:val="20"/>
          <w:szCs w:val="20"/>
        </w:rPr>
        <w:t xml:space="preserve">IN NO EVENT SHALL INFINAR BE LIABLE FOR ANY INDIRECT, INCIDENTAL, SPECIAL, EXEMPLARY, OR CONSEQUENTIAL DAMAGES, INCLUDING LOST PROFITS, LOSS OF DATA, OR BUSINESS INTERRUPTION, EVEN IF ADVISED OF THE POSSIBILITY THEREOF. INFINAR'S TOTAL CUMULATIVE LIABILITY SHALL NOT EXCEED THE NRE FEE PAID BY LICENSEE IN THE THREE MONTHS PRECEDING THE CLAIM.</w:t>
      </w:r>
    </w:p>
    <w:p>
      <w:pPr>
        <w:pStyle w:val="Heading1"/>
        <w:pBdr>
          <w:bottom w:val="single" w:color="1F4E79" w:sz="6" w:space="1"/>
        </w:pBdr>
        <w:spacing w:after="160" w:before="320"/>
      </w:pPr>
      <w:r>
        <w:rPr>
          <w:rFonts w:ascii="Arial" w:cs="Arial" w:eastAsia="Arial" w:hAnsi="Arial"/>
          <w:b/>
          <w:bCs/>
          <w:color w:val="1F4E79"/>
          <w:sz w:val="32"/>
          <w:szCs w:val="32"/>
        </w:rPr>
        <w:t xml:space="preserve">9. Confidentiality</w:t>
      </w:r>
    </w:p>
    <w:p>
      <w:pPr>
        <w:spacing w:after="160"/>
        <w:jc w:val="left"/>
      </w:pPr>
      <w:r>
        <w:rPr>
          <w:rFonts w:ascii="Arial" w:cs="Arial" w:eastAsia="Arial" w:hAnsi="Arial"/>
          <w:b w:val="false"/>
          <w:bCs w:val="false"/>
          <w:color w:val="404040"/>
          <w:sz w:val="20"/>
          <w:szCs w:val="20"/>
        </w:rPr>
        <w:t xml:space="preserve">Each Party shall keep the terms of this Agreement and all Licensed IP confidential, subject to the obligations of a separately executed Mutual Non-Disclosure Agreement. If no separate NDA exists, the confidentiality obligations of this Section 9 shall apply with the same terms as Infinar's standard NDA.</w:t>
      </w:r>
    </w:p>
    <w:p>
      <w:pPr>
        <w:pStyle w:val="Heading1"/>
        <w:pBdr>
          <w:bottom w:val="single" w:color="1F4E79" w:sz="6" w:space="1"/>
        </w:pBdr>
        <w:spacing w:after="160" w:before="320"/>
      </w:pPr>
      <w:r>
        <w:rPr>
          <w:rFonts w:ascii="Arial" w:cs="Arial" w:eastAsia="Arial" w:hAnsi="Arial"/>
          <w:b/>
          <w:bCs/>
          <w:color w:val="1F4E79"/>
          <w:sz w:val="32"/>
          <w:szCs w:val="32"/>
        </w:rPr>
        <w:t xml:space="preserve">10. Term &amp; Termination</w:t>
      </w:r>
    </w:p>
    <w:p>
      <w:pPr>
        <w:spacing w:after="160"/>
        <w:jc w:val="left"/>
      </w:pPr>
      <w:r>
        <w:rPr>
          <w:rFonts w:ascii="Arial" w:cs="Arial" w:eastAsia="Arial" w:hAnsi="Arial"/>
          <w:b w:val="false"/>
          <w:bCs w:val="false"/>
          <w:color w:val="404040"/>
          <w:sz w:val="20"/>
          <w:szCs w:val="20"/>
        </w:rPr>
        <w:t xml:space="preserve">10.1  This Agreement is perpetual unless terminated. Either Party may terminate for material breach upon 30 days written notice if the breach is not cured within that period.</w:t>
      </w:r>
    </w:p>
    <w:p>
      <w:pPr>
        <w:spacing w:after="160"/>
        <w:jc w:val="left"/>
      </w:pPr>
      <w:r>
        <w:rPr>
          <w:rFonts w:ascii="Arial" w:cs="Arial" w:eastAsia="Arial" w:hAnsi="Arial"/>
          <w:b w:val="false"/>
          <w:bCs w:val="false"/>
          <w:color w:val="404040"/>
          <w:sz w:val="20"/>
          <w:szCs w:val="20"/>
        </w:rPr>
        <w:t xml:space="preserve">10.2  Infinar may terminate immediately if Licensee: (a) challenges the validity of Infinar's IP; (b) becomes insolvent or files for bankruptcy; or (c) is acquired by a direct competitor of Infinar.</w:t>
      </w:r>
    </w:p>
    <w:p>
      <w:pPr>
        <w:spacing w:after="160"/>
        <w:jc w:val="left"/>
      </w:pPr>
      <w:r>
        <w:rPr>
          <w:rFonts w:ascii="Arial" w:cs="Arial" w:eastAsia="Arial" w:hAnsi="Arial"/>
          <w:b w:val="false"/>
          <w:bCs w:val="false"/>
          <w:color w:val="404040"/>
          <w:sz w:val="20"/>
          <w:szCs w:val="20"/>
        </w:rPr>
        <w:t xml:space="preserve">10.3  Upon termination, all licenses cease and Licensee shall destroy or return all Licensed IP. Sections 1, 5, 7, 8, 9, and 10.3 survive termination.</w:t>
      </w:r>
    </w:p>
    <w:p>
      <w:pPr>
        <w:pStyle w:val="Heading1"/>
        <w:pBdr>
          <w:bottom w:val="single" w:color="1F4E79" w:sz="6" w:space="1"/>
        </w:pBdr>
        <w:spacing w:after="160" w:before="320"/>
      </w:pPr>
      <w:r>
        <w:rPr>
          <w:rFonts w:ascii="Arial" w:cs="Arial" w:eastAsia="Arial" w:hAnsi="Arial"/>
          <w:b/>
          <w:bCs/>
          <w:color w:val="1F4E79"/>
          <w:sz w:val="32"/>
          <w:szCs w:val="32"/>
        </w:rPr>
        <w:t xml:space="preserve">11. General</w:t>
      </w:r>
    </w:p>
    <w:p>
      <w:pPr>
        <w:spacing w:after="160"/>
        <w:jc w:val="left"/>
      </w:pPr>
      <w:r>
        <w:rPr>
          <w:rFonts w:ascii="Arial" w:cs="Arial" w:eastAsia="Arial" w:hAnsi="Arial"/>
          <w:b w:val="false"/>
          <w:bCs w:val="false"/>
          <w:color w:val="404040"/>
          <w:sz w:val="20"/>
          <w:szCs w:val="20"/>
        </w:rPr>
        <w:t xml:space="preserve">11.1  Governing Law. Ontario, Canada. Disputes shall be resolved by binding arbitration under ICDR rules in Toronto, Ontario.</w:t>
      </w:r>
    </w:p>
    <w:p>
      <w:pPr>
        <w:spacing w:after="160"/>
        <w:jc w:val="left"/>
      </w:pPr>
      <w:r>
        <w:rPr>
          <w:rFonts w:ascii="Arial" w:cs="Arial" w:eastAsia="Arial" w:hAnsi="Arial"/>
          <w:b w:val="false"/>
          <w:bCs w:val="false"/>
          <w:color w:val="404040"/>
          <w:sz w:val="20"/>
          <w:szCs w:val="20"/>
        </w:rPr>
        <w:t xml:space="preserve">11.2  Entire Agreement. Together with any executed NDA, this Agreement constitutes the entire agreement regarding the Licensed IP.</w:t>
      </w:r>
    </w:p>
    <w:p>
      <w:pPr>
        <w:spacing w:after="160"/>
        <w:jc w:val="left"/>
      </w:pPr>
      <w:r>
        <w:rPr>
          <w:rFonts w:ascii="Arial" w:cs="Arial" w:eastAsia="Arial" w:hAnsi="Arial"/>
          <w:b w:val="false"/>
          <w:bCs w:val="false"/>
          <w:color w:val="404040"/>
          <w:sz w:val="20"/>
          <w:szCs w:val="20"/>
        </w:rPr>
        <w:t xml:space="preserve">11.3  Assignment. Licensee may not assign this Agreement without Infinar's prior written consent. Infinar may assign in connection with a merger or sale of substantially all assets.</w:t>
      </w:r>
    </w:p>
    <w:p>
      <w:pPr>
        <w:spacing w:after="160"/>
        <w:jc w:val="left"/>
      </w:pPr>
      <w:r>
        <w:rPr>
          <w:rFonts w:ascii="Arial" w:cs="Arial" w:eastAsia="Arial" w:hAnsi="Arial"/>
          <w:b w:val="false"/>
          <w:bCs w:val="false"/>
          <w:color w:val="404040"/>
          <w:sz w:val="20"/>
          <w:szCs w:val="20"/>
        </w:rPr>
        <w:t xml:space="preserve">11.4  Export. Licensee shall comply with all applicable export control laws.</w:t>
      </w:r>
    </w:p>
    <w:p>
      <w:pPr>
        <w:spacing w:after="16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Exhibit A — Deliverable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mac_array_v2.v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256×256 INT8 systolic MAC array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RTL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sparsity_engine.v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Bitmap-mask sparsity 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RTL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edgecore1_top.v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Full SoC top-level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RTL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edgecore1_riscv_ctrl.v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RISC-V inference controller FSM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RTL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tb_edgecore1.v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Unit testbench (15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Testbench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tb_system.v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Full system testbench (10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Testbench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edgecore1_golden.cpp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 golden model (10M+ verified)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Golden Model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edgecore1_compiler.py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ONNX→tile schedule compiler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Software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edgecore1_target.py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Apache TVM backend target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Software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edgecore1_runtime.py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Runtime driver + firmware gen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Software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edgecore1_firmware.c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RISC-V firmware C template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Firmware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edgecore1_synth.ys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Yosys synthesis script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EDA Script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SYNTHESIS_REPORT.md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Gate count &amp; area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Document</w:t>
            </w:r>
          </w:p>
        </w:tc>
      </w:tr>
    </w:tbl>
    <w:p>
      <w:pPr>
        <w:spacing w:after="160"/>
      </w:pPr>
      <w:r>
        <w:t xml:space="preserve"/>
      </w:r>
    </w:p>
    <w:p>
      <w:pPr>
        <w:spacing w:after="160"/>
      </w:pPr>
      <w:r>
        <w:t xml:space="preserve"/>
      </w:r>
    </w:p>
    <w:p>
      <w:pPr>
        <w:pStyle w:val="Heading2"/>
        <w:spacing w:after="120" w:before="240"/>
      </w:pPr>
      <w:r>
        <w:rPr>
          <w:rFonts w:ascii="Arial" w:cs="Arial" w:eastAsia="Arial" w:hAnsi="Arial"/>
          <w:b/>
          <w:bCs/>
          <w:color w:val="1F4E79"/>
          <w:sz w:val="26"/>
          <w:szCs w:val="26"/>
        </w:rPr>
        <w:t xml:space="preserve">Signatures</w:t>
      </w:r>
    </w:p>
    <w:p>
      <w:pPr>
        <w:spacing w:after="160"/>
        <w:jc w:val="left"/>
      </w:pPr>
      <w:r>
        <w:rPr>
          <w:rFonts w:ascii="Arial" w:cs="Arial" w:eastAsia="Arial" w:hAnsi="Arial"/>
          <w:b w:val="false"/>
          <w:bCs w:val="false"/>
          <w:color w:val="404040"/>
          <w:sz w:val="20"/>
          <w:szCs w:val="20"/>
        </w:rPr>
        <w:t xml:space="preserve">IN WITNESS WHEREOF, the Parties have executed this Agreement as of the date first written above.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Pr>
          <w:p>
            <w:pPr>
              <w:spacing w:after="160"/>
              <w:jc w:val="left"/>
            </w:pPr>
            <w:r>
              <w:rPr>
                <w:rFonts w:ascii="Arial" w:cs="Arial" w:eastAsia="Arial" w:hAnsi="Arial"/>
                <w:b/>
                <w:bCs/>
                <w:color w:val="404040"/>
                <w:sz w:val="20"/>
                <w:szCs w:val="20"/>
              </w:rPr>
              <w:t xml:space="preserve">INFINAR SCIENTIA INC.</w:t>
            </w:r>
          </w:p>
          <w:p>
            <w:pPr>
              <w:pBdr>
                <w:bottom w:val="single" w:color="000000" w:sz="4"/>
              </w:pBdr>
              <w:spacing w:after="80" w:before="720"/>
            </w:pPr>
            <w:r>
              <w:rPr>
                <w:rFonts w:ascii="Arial" w:cs="Arial" w:eastAsia="Arial" w:hAnsi="Arial"/>
                <w:sz w:val="20"/>
                <w:szCs w:val="20"/>
              </w:rPr>
              <w:t xml:space="preserve"/>
            </w:r>
          </w:p>
          <w:p>
            <w:pPr>
              <w:spacing w:after="80"/>
            </w:pPr>
            <w:r>
              <w:rPr>
                <w:rFonts w:ascii="Arial" w:cs="Arial" w:eastAsia="Arial" w:hAnsi="Arial"/>
                <w:color w:val="666666"/>
                <w:sz w:val="18"/>
                <w:szCs w:val="18"/>
              </w:rPr>
              <w:t xml:space="preserve">Authorized Signatory</w:t>
            </w:r>
          </w:p>
          <w:p>
            <w:pPr>
              <w:spacing w:after="80"/>
            </w:pPr>
            <w:r>
              <w:rPr>
                <w:rFonts w:ascii="Arial" w:cs="Arial" w:eastAsia="Arial" w:hAnsi="Arial"/>
                <w:sz w:val="20"/>
                <w:szCs w:val="20"/>
              </w:rPr>
              <w:t xml:space="preserve">Name:  _______________________________</w:t>
            </w:r>
          </w:p>
          <w:p>
            <w:pPr>
              <w:spacing w:after="80"/>
            </w:pPr>
            <w:r>
              <w:rPr>
                <w:rFonts w:ascii="Arial" w:cs="Arial" w:eastAsia="Arial" w:hAnsi="Arial"/>
                <w:sz w:val="20"/>
                <w:szCs w:val="20"/>
              </w:rPr>
              <w:t xml:space="preserve">Title:  _______________________________</w:t>
            </w:r>
          </w:p>
          <w:p>
            <w:pPr>
              <w:spacing w:after="80"/>
            </w:pPr>
            <w:r>
              <w:rPr>
                <w:rFonts w:ascii="Arial" w:cs="Arial" w:eastAsia="Arial" w:hAnsi="Arial"/>
                <w:sz w:val="20"/>
                <w:szCs w:val="20"/>
              </w:rPr>
              <w:t xml:space="preserve">Date:  _______________________________</w:t>
            </w:r>
          </w:p>
        </w:tc>
        <w:tc>
          <w:tcPr>
            <w:tcW w:type="dxa" w:w="400"/>
            <w:tcBorders>
              <w:top w:val="none" w:color="FFFFFF" w:sz="0"/>
              <w:left w:val="none" w:color="FFFFFF" w:sz="0"/>
              <w:bottom w:val="none" w:color="FFFFFF" w:sz="0"/>
              <w:right w:val="none" w:color="FFFFFF" w:sz="0"/>
            </w:tcBorders>
          </w:tcPr>
          <w:p>
            <w:pPr>
              <w:spacing w:after="160"/>
              <w:jc w:val="left"/>
            </w:pPr>
            <w:r>
              <w:rPr>
                <w:rFonts w:ascii="Arial" w:cs="Arial" w:eastAsia="Arial" w:hAnsi="Arial"/>
                <w:b w:val="false"/>
                <w:bCs w:val="false"/>
                <w:color w:val="404040"/>
                <w:sz w:val="20"/>
                <w:szCs w:val="20"/>
              </w:rPr>
              <w:t xml:space="preserve"/>
            </w:r>
          </w:p>
        </w:tc>
        <w:tc>
          <w:tcPr>
            <w:tcW w:type="dxa" w:w="4480"/>
            <w:tcBorders>
              <w:top w:val="none" w:color="FFFFFF" w:sz="0"/>
              <w:left w:val="none" w:color="FFFFFF" w:sz="0"/>
              <w:bottom w:val="none" w:color="FFFFFF" w:sz="0"/>
              <w:right w:val="none" w:color="FFFFFF" w:sz="0"/>
            </w:tcBorders>
          </w:tcPr>
          <w:p>
            <w:pPr>
              <w:spacing w:after="160"/>
              <w:jc w:val="left"/>
            </w:pPr>
            <w:r>
              <w:rPr>
                <w:rFonts w:ascii="Arial" w:cs="Arial" w:eastAsia="Arial" w:hAnsi="Arial"/>
                <w:b/>
                <w:bCs/>
                <w:color w:val="404040"/>
                <w:sz w:val="20"/>
                <w:szCs w:val="20"/>
              </w:rPr>
              <w:t xml:space="preserve">[LICENSEE COMPANY NAME]</w:t>
            </w:r>
          </w:p>
          <w:p>
            <w:pPr>
              <w:pBdr>
                <w:bottom w:val="single" w:color="000000" w:sz="4"/>
              </w:pBdr>
              <w:spacing w:after="80" w:before="720"/>
            </w:pPr>
            <w:r>
              <w:rPr>
                <w:rFonts w:ascii="Arial" w:cs="Arial" w:eastAsia="Arial" w:hAnsi="Arial"/>
                <w:sz w:val="20"/>
                <w:szCs w:val="20"/>
              </w:rPr>
              <w:t xml:space="preserve"/>
            </w:r>
          </w:p>
          <w:p>
            <w:pPr>
              <w:spacing w:after="80"/>
            </w:pPr>
            <w:r>
              <w:rPr>
                <w:rFonts w:ascii="Arial" w:cs="Arial" w:eastAsia="Arial" w:hAnsi="Arial"/>
                <w:color w:val="666666"/>
                <w:sz w:val="18"/>
                <w:szCs w:val="18"/>
              </w:rPr>
              <w:t xml:space="preserve">Authorized Signatory</w:t>
            </w:r>
          </w:p>
          <w:p>
            <w:pPr>
              <w:spacing w:after="80"/>
            </w:pPr>
            <w:r>
              <w:rPr>
                <w:rFonts w:ascii="Arial" w:cs="Arial" w:eastAsia="Arial" w:hAnsi="Arial"/>
                <w:sz w:val="20"/>
                <w:szCs w:val="20"/>
              </w:rPr>
              <w:t xml:space="preserve">Name:  _______________________________</w:t>
            </w:r>
          </w:p>
          <w:p>
            <w:pPr>
              <w:spacing w:after="80"/>
            </w:pPr>
            <w:r>
              <w:rPr>
                <w:rFonts w:ascii="Arial" w:cs="Arial" w:eastAsia="Arial" w:hAnsi="Arial"/>
                <w:sz w:val="20"/>
                <w:szCs w:val="20"/>
              </w:rPr>
              <w:t xml:space="preserve">Title:  _______________________________</w:t>
            </w:r>
          </w:p>
          <w:p>
            <w:pPr>
              <w:spacing w:after="80"/>
            </w:pPr>
            <w:r>
              <w:rPr>
                <w:rFonts w:ascii="Arial" w:cs="Arial" w:eastAsia="Arial" w:hAnsi="Arial"/>
                <w:sz w:val="20"/>
                <w:szCs w:val="20"/>
              </w:rPr>
              <w:t xml:space="preserve">Date:  _______________________________</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t xml:space="preserve"> [p] </w:t>
    </w:r>
    <w:r>
      <w:rPr>
        <w:rFonts w:ascii="Arial" w:cs="Arial" w:eastAsia="Arial" w:hAnsi="Arial"/>
        <w:color w:val="888888"/>
        <w:sz w:val="16"/>
        <w:szCs w:val="16"/>
      </w:rPr>
      <w:t xml:space="preserve">  |  Infinar Scientia Inc.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rFonts w:ascii="Arial" w:cs="Arial" w:eastAsia="Arial" w:hAnsi="Arial"/>
        <w:color w:val="888888"/>
        <w:sz w:val="16"/>
        <w:szCs w:val="16"/>
      </w:rPr>
      <w:t xml:space="preserve">CONFIDENTIAL — Infinar Scientia License Agreement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2026-04-21T01:26:10.914Z</dcterms:created>
  <dcterms:modified xsi:type="dcterms:W3CDTF">2026-04-21T01:26:10.914Z</dcterms:modified>
</cp:coreProperties>
</file>

<file path=docProps/custom.xml><?xml version="1.0" encoding="utf-8"?>
<Properties xmlns="http://schemas.openxmlformats.org/officeDocument/2006/custom-properties" xmlns:vt="http://schemas.openxmlformats.org/officeDocument/2006/docPropsVTypes"/>
</file>