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EdgeCore-1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C0D8F0"/>
                <w:sz w:val="26"/>
                <w:szCs w:val="26"/>
              </w:rPr>
              <w:t xml:space="preserve">Edge AI Inference Accelerator IP</w:t>
            </w:r>
          </w:p>
          <w:p>
            <w:r>
              <w:rPr>
                <w:rFonts w:ascii="Arial" w:cs="Arial" w:eastAsia="Arial" w:hAnsi="Arial"/>
                <w:color w:val="90B8E0"/>
                <w:sz w:val="20"/>
                <w:szCs w:val="20"/>
              </w:rPr>
              <w:t xml:space="preserve">Simulation-Verified RTL | 28nm | INT8 | 500 MHz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1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INFINAR SCIENTIA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IP Licensing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90B8E0"/>
                <w:sz w:val="18"/>
                <w:szCs w:val="18"/>
              </w:rPr>
              <w:t xml:space="preserve">infinar-scientia.com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00"/>
        <w:gridCol w:w="1560"/>
        <w:gridCol w:w="1640"/>
        <w:gridCol w:w="1560"/>
        <w:gridCol w:w="14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Compute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DRAM I/F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28nm TSMC/SMIC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5.00 mm²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32.8 TOPS INT8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&lt;185 mW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LPDDR5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RISC-V RV32IMC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"/>
        <w:gridCol w:w="45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Architecture Highlights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40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Block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Specification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MAC Array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256×256 INT8 systolic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Tile Size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8×8 (64 MACs/cycle)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Weight Cache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512 KB dual-bank SRAM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Sparsity Engine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Bitmap-mask, 0.27 mm²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Sparsity SRAM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32 KB, 4096 tile masks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Clock Gating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MAC + PHY, per-domain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PHY Power Mode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JEDEC deep power-down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Idle Power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2–5 mW (PHY off)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Frequency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500 MHz (target)</w:t>
                  </w:r>
                </w:p>
              </w:tc>
            </w:tr>
          </w:tbl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Verification Status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800"/>
              <w:gridCol w:w="1000"/>
            </w:tblGrid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Check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Result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C++ Golden Model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✓ PASS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10M+ tests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RTL Unit Testbench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✓ PASS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15/15 tests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Full System Testbench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✓ PASS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10/10 tests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Sparsity Verification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✓ PASS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5 vectors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Yosys Synthesis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✓ PASS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4,710 gates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Power Budget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✓ PASS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&lt;185 mW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FPGA Prototype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Planned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Q3 2026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Why EdgeCore-1?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The $4–8 gap in the market</w:t>
                  </w:r>
                </w:p>
                <w:p>
                  <w:r>
                    <w:rPr>
                      <w:rFonts w:ascii="Arial" w:cs="Arial" w:eastAsia="Arial" w:hAnsi="Arial"/>
                      <w:color w:val="404040"/>
                      <w:sz w:val="18"/>
                      <w:szCs w:val="18"/>
                    </w:rPr>
                    <w:t xml:space="preserve">Coral Edge TPU: $5+ (overkill for most IoT). MCU: $0.50–2 (no AI HW). EdgeCore-1 targets $1.50 silicon cost at 500K units — filling the gap.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Sparsity-aware: up to 80% tile suppression</w:t>
                  </w:r>
                </w:p>
                <w:p>
                  <w:r>
                    <w:rPr>
                      <w:rFonts w:ascii="Arial" w:cs="Arial" w:eastAsia="Arial" w:hAnsi="Arial"/>
                      <w:color w:val="404040"/>
                      <w:sz w:val="18"/>
                      <w:szCs w:val="18"/>
                    </w:rPr>
                    <w:t xml:space="preserve">Bitmap-mask sparsity engine skips zero-weight tiles before dispatch. Pruned MobileNetV2 achieves 3–4× effective throughput over dense execution.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ARM/NVIDIA style licensing — not product sales</w:t>
                  </w:r>
                </w:p>
                <w:p>
                  <w:r>
                    <w:rPr>
                      <w:rFonts w:ascii="Arial" w:cs="Arial" w:eastAsia="Arial" w:hAnsi="Arial"/>
                      <w:color w:val="404040"/>
                      <w:sz w:val="18"/>
                      <w:szCs w:val="18"/>
                    </w:rPr>
                    <w:t xml:space="preserve">You own your silicon. Infinar provides verified RTL + compiler. You integrate, tape out, and sell chips under your brand.</w:t>
                  </w:r>
                </w:p>
              </w:tc>
            </w:tr>
          </w:tbl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Software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ONNX frontend — zero custom model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Apache TVM backend — edgecore1_target.py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driver — Python + RISC-V C firmware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PyTorch → running inference in &lt;1 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MobileNetV2, MobileNetV3, EfficientNet-Lite supported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Target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ADAS: pedestrian detection, sign recognition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Industrial: predictive maintenance, anomaly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Consumer IoT: keyword spotting, image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cameras: always-on vision at &lt;5 mW idle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Licensing Terms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0"/>
              <w:gridCol w:w="2280"/>
            </w:tblGrid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Term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Range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NRE Fee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$10K – $200K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Per-Unit Royalty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$0.02 – $0.15/chip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Flat License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20"/>
                      <w:szCs w:val="20"/>
                    </w:rPr>
                    <w:t xml:space="preserve">$25K – $75K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Support (post-NRE)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$250/hour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Warranty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04040"/>
                      <w:sz w:val="20"/>
                      <w:szCs w:val="20"/>
                    </w:rPr>
                    <w:t xml:space="preserve">90-day bug-fix</w:t>
                  </w:r>
                </w:p>
              </w:tc>
            </w:tr>
          </w:tbl>
          <w:p/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Ready to evaluate? </w:t>
            </w:r>
            <w:r>
              <w:rPr>
                <w:rFonts w:ascii="Arial" w:cs="Arial" w:eastAsia="Arial" w:hAnsi="Arial"/>
                <w:color w:val="C0D8F0"/>
                <w:sz w:val="22"/>
                <w:szCs w:val="22"/>
              </w:rPr>
              <w:t xml:space="preserve">NDA required before IP delivery. Contact: licensing@infinar-scientia.com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This document contains confidential and proprietary information of Infinar Scientia Inc. |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2026-04-21T01:26:10.921Z</dcterms:created>
  <dcterms:modified xsi:type="dcterms:W3CDTF">2026-04-21T01:26:10.921Z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