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0DA" w:rsidRPr="004B26B6" w:rsidRDefault="004B26B6" w:rsidP="004B26B6">
      <w:pPr>
        <w:pStyle w:val="a7"/>
        <w:spacing w:line="268" w:lineRule="atLeast"/>
        <w:ind w:firstLine="400"/>
        <w:jc w:val="center"/>
        <w:rPr>
          <w:rFonts w:asciiTheme="majorEastAsia" w:eastAsiaTheme="majorEastAsia" w:hAnsiTheme="majorEastAsia" w:cs="Arial" w:hint="eastAsia"/>
          <w:color w:val="333333"/>
          <w:sz w:val="36"/>
          <w:szCs w:val="36"/>
        </w:rPr>
      </w:pPr>
      <w:r w:rsidRPr="004B26B6">
        <w:rPr>
          <w:rFonts w:asciiTheme="majorEastAsia" w:eastAsiaTheme="majorEastAsia" w:hAnsiTheme="majorEastAsia" w:cs="Arial" w:hint="eastAsia"/>
          <w:color w:val="333333"/>
          <w:sz w:val="36"/>
          <w:szCs w:val="36"/>
        </w:rPr>
        <w:t>悬挂</w:t>
      </w:r>
      <w:proofErr w:type="gramStart"/>
      <w:r w:rsidRPr="004B26B6">
        <w:rPr>
          <w:rFonts w:asciiTheme="majorEastAsia" w:eastAsiaTheme="majorEastAsia" w:hAnsiTheme="majorEastAsia" w:cs="Arial" w:hint="eastAsia"/>
          <w:color w:val="333333"/>
          <w:sz w:val="36"/>
          <w:szCs w:val="36"/>
        </w:rPr>
        <w:t>链业务</w:t>
      </w:r>
      <w:proofErr w:type="gramEnd"/>
      <w:r w:rsidRPr="004B26B6">
        <w:rPr>
          <w:rFonts w:asciiTheme="majorEastAsia" w:eastAsiaTheme="majorEastAsia" w:hAnsiTheme="majorEastAsia" w:cs="Arial" w:hint="eastAsia"/>
          <w:color w:val="333333"/>
          <w:sz w:val="36"/>
          <w:szCs w:val="36"/>
        </w:rPr>
        <w:t>MES需求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69"/>
        <w:gridCol w:w="2562"/>
        <w:gridCol w:w="4690"/>
        <w:gridCol w:w="1525"/>
      </w:tblGrid>
      <w:tr w:rsidR="004B26B6" w:rsidTr="004B26B6">
        <w:trPr>
          <w:trHeight w:val="741"/>
        </w:trPr>
        <w:tc>
          <w:tcPr>
            <w:tcW w:w="769" w:type="dxa"/>
            <w:vAlign w:val="center"/>
          </w:tcPr>
          <w:p w:rsidR="004B26B6" w:rsidRDefault="004B26B6" w:rsidP="004B26B6">
            <w:pPr>
              <w:pStyle w:val="a7"/>
              <w:spacing w:line="240" w:lineRule="exact"/>
              <w:jc w:val="center"/>
              <w:rPr>
                <w:rFonts w:asciiTheme="minorEastAsia" w:eastAsiaTheme="minorEastAsia" w:hAnsiTheme="minorEastAsia" w:cs="Arial" w:hint="eastAsia"/>
                <w:color w:val="333333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</w:rPr>
              <w:t>序号</w:t>
            </w:r>
          </w:p>
        </w:tc>
        <w:tc>
          <w:tcPr>
            <w:tcW w:w="2562" w:type="dxa"/>
            <w:vAlign w:val="center"/>
          </w:tcPr>
          <w:p w:rsidR="004B26B6" w:rsidRDefault="004B26B6" w:rsidP="004B26B6">
            <w:pPr>
              <w:pStyle w:val="a7"/>
              <w:spacing w:line="240" w:lineRule="exact"/>
              <w:jc w:val="center"/>
              <w:rPr>
                <w:rFonts w:asciiTheme="minorEastAsia" w:eastAsiaTheme="minorEastAsia" w:hAnsiTheme="minorEastAsia" w:cs="Arial" w:hint="eastAsia"/>
                <w:color w:val="333333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</w:rPr>
              <w:t>业务场景描述</w:t>
            </w:r>
          </w:p>
        </w:tc>
        <w:tc>
          <w:tcPr>
            <w:tcW w:w="4690" w:type="dxa"/>
            <w:vAlign w:val="center"/>
          </w:tcPr>
          <w:p w:rsidR="004B26B6" w:rsidRDefault="004B26B6" w:rsidP="004B26B6">
            <w:pPr>
              <w:pStyle w:val="a7"/>
              <w:spacing w:line="240" w:lineRule="exact"/>
              <w:jc w:val="center"/>
              <w:rPr>
                <w:rFonts w:asciiTheme="minorEastAsia" w:eastAsiaTheme="minorEastAsia" w:hAnsiTheme="minorEastAsia" w:cs="Arial" w:hint="eastAsia"/>
                <w:color w:val="333333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</w:rPr>
              <w:t>系统开发需求</w:t>
            </w:r>
          </w:p>
        </w:tc>
        <w:tc>
          <w:tcPr>
            <w:tcW w:w="1525" w:type="dxa"/>
            <w:vAlign w:val="center"/>
          </w:tcPr>
          <w:p w:rsidR="004B26B6" w:rsidRDefault="004B26B6" w:rsidP="004B26B6">
            <w:pPr>
              <w:pStyle w:val="a7"/>
              <w:spacing w:line="240" w:lineRule="exact"/>
              <w:jc w:val="center"/>
              <w:rPr>
                <w:rFonts w:asciiTheme="minorEastAsia" w:eastAsiaTheme="minorEastAsia" w:hAnsiTheme="minorEastAsia" w:cs="Arial" w:hint="eastAsia"/>
                <w:color w:val="333333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</w:rPr>
              <w:t>开发负责人</w:t>
            </w:r>
          </w:p>
        </w:tc>
      </w:tr>
      <w:tr w:rsidR="004B26B6" w:rsidTr="004B26B6">
        <w:trPr>
          <w:trHeight w:val="741"/>
        </w:trPr>
        <w:tc>
          <w:tcPr>
            <w:tcW w:w="769" w:type="dxa"/>
            <w:vAlign w:val="center"/>
          </w:tcPr>
          <w:p w:rsidR="004B26B6" w:rsidRDefault="004B26B6" w:rsidP="004B26B6">
            <w:pPr>
              <w:pStyle w:val="a7"/>
              <w:spacing w:line="240" w:lineRule="exact"/>
              <w:jc w:val="both"/>
              <w:rPr>
                <w:rFonts w:asciiTheme="minorEastAsia" w:eastAsiaTheme="minorEastAsia" w:hAnsiTheme="minorEastAsia" w:cs="Arial" w:hint="eastAsia"/>
                <w:color w:val="333333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</w:rPr>
              <w:t>1</w:t>
            </w:r>
          </w:p>
        </w:tc>
        <w:tc>
          <w:tcPr>
            <w:tcW w:w="2562" w:type="dxa"/>
            <w:vAlign w:val="center"/>
          </w:tcPr>
          <w:p w:rsidR="004B26B6" w:rsidRPr="004B26B6" w:rsidRDefault="00D43435" w:rsidP="00D43435">
            <w:pPr>
              <w:pStyle w:val="a7"/>
              <w:spacing w:line="360" w:lineRule="exact"/>
              <w:contextualSpacing/>
              <w:jc w:val="both"/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悬挂链的料道信息</w:t>
            </w:r>
            <w:proofErr w:type="gramStart"/>
            <w:r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和挂具信息</w:t>
            </w:r>
            <w:proofErr w:type="gramEnd"/>
          </w:p>
        </w:tc>
        <w:tc>
          <w:tcPr>
            <w:tcW w:w="4690" w:type="dxa"/>
          </w:tcPr>
          <w:p w:rsidR="004B26B6" w:rsidRPr="00D43435" w:rsidRDefault="00D43435" w:rsidP="000D42EC">
            <w:pPr>
              <w:pStyle w:val="a7"/>
              <w:spacing w:line="360" w:lineRule="exact"/>
              <w:contextualSpacing/>
              <w:jc w:val="both"/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悬挂链</w:t>
            </w:r>
            <w:proofErr w:type="gramStart"/>
            <w:r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的挂具</w:t>
            </w:r>
            <w:r w:rsidR="000D42EC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信息</w:t>
            </w:r>
            <w:proofErr w:type="gramEnd"/>
            <w:r w:rsidR="000D42EC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和料道信息需要在MES中体现。</w:t>
            </w:r>
            <w:r w:rsidR="000D42EC" w:rsidRPr="00D43435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525" w:type="dxa"/>
            <w:vAlign w:val="center"/>
          </w:tcPr>
          <w:p w:rsidR="004B26B6" w:rsidRPr="004B26B6" w:rsidRDefault="004B26B6" w:rsidP="004B26B6">
            <w:pPr>
              <w:pStyle w:val="a7"/>
              <w:spacing w:line="360" w:lineRule="exact"/>
              <w:contextualSpacing/>
              <w:jc w:val="both"/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</w:pPr>
          </w:p>
        </w:tc>
      </w:tr>
      <w:tr w:rsidR="004B26B6" w:rsidTr="004B26B6">
        <w:trPr>
          <w:trHeight w:val="741"/>
        </w:trPr>
        <w:tc>
          <w:tcPr>
            <w:tcW w:w="769" w:type="dxa"/>
            <w:vAlign w:val="center"/>
          </w:tcPr>
          <w:p w:rsidR="004B26B6" w:rsidRPr="000D42EC" w:rsidRDefault="000D42EC" w:rsidP="004B26B6">
            <w:pPr>
              <w:pStyle w:val="a7"/>
              <w:spacing w:line="240" w:lineRule="exact"/>
              <w:jc w:val="both"/>
              <w:rPr>
                <w:rFonts w:asciiTheme="minorEastAsia" w:eastAsiaTheme="minorEastAsia" w:hAnsiTheme="minorEastAsia" w:cs="Arial" w:hint="eastAsia"/>
                <w:color w:val="333333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</w:rPr>
              <w:t>2</w:t>
            </w:r>
          </w:p>
        </w:tc>
        <w:tc>
          <w:tcPr>
            <w:tcW w:w="2562" w:type="dxa"/>
            <w:vAlign w:val="center"/>
          </w:tcPr>
          <w:p w:rsidR="004B26B6" w:rsidRPr="004B26B6" w:rsidRDefault="000D42EC" w:rsidP="004B26B6">
            <w:pPr>
              <w:pStyle w:val="a7"/>
              <w:spacing w:line="360" w:lineRule="exact"/>
              <w:contextualSpacing/>
              <w:jc w:val="both"/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Bonding后物料打包上悬挂链</w:t>
            </w:r>
          </w:p>
        </w:tc>
        <w:tc>
          <w:tcPr>
            <w:tcW w:w="4690" w:type="dxa"/>
          </w:tcPr>
          <w:p w:rsidR="004B26B6" w:rsidRPr="004B26B6" w:rsidRDefault="009803EE" w:rsidP="004B26B6">
            <w:pPr>
              <w:pStyle w:val="a7"/>
              <w:spacing w:line="360" w:lineRule="exact"/>
              <w:contextualSpacing/>
              <w:jc w:val="both"/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建上悬挂链扫描点，</w:t>
            </w:r>
            <w:proofErr w:type="gramStart"/>
            <w:r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扫描挂具条码</w:t>
            </w:r>
            <w:proofErr w:type="gramEnd"/>
            <w:r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，再扫描零件条码（bonding后内板条码），满箱自动封箱，不满箱要强制封箱，</w:t>
            </w:r>
            <w:r w:rsidR="003C6AEB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并将信息传给悬挂链系统</w:t>
            </w:r>
            <w:r w:rsidR="003F3BFF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，另外要求</w:t>
            </w:r>
            <w:r w:rsidR="00536E5F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指定产品可以</w:t>
            </w:r>
            <w:r w:rsidR="003F3BFF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混</w:t>
            </w:r>
            <w:r w:rsidR="00536E5F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装。</w:t>
            </w:r>
          </w:p>
        </w:tc>
        <w:tc>
          <w:tcPr>
            <w:tcW w:w="1525" w:type="dxa"/>
            <w:vAlign w:val="center"/>
          </w:tcPr>
          <w:p w:rsidR="004B26B6" w:rsidRPr="004B26B6" w:rsidRDefault="004B26B6" w:rsidP="004B26B6">
            <w:pPr>
              <w:pStyle w:val="a7"/>
              <w:spacing w:line="360" w:lineRule="exact"/>
              <w:contextualSpacing/>
              <w:jc w:val="both"/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</w:pPr>
          </w:p>
        </w:tc>
      </w:tr>
      <w:tr w:rsidR="004B26B6" w:rsidTr="004B26B6">
        <w:trPr>
          <w:trHeight w:val="741"/>
        </w:trPr>
        <w:tc>
          <w:tcPr>
            <w:tcW w:w="769" w:type="dxa"/>
            <w:vAlign w:val="center"/>
          </w:tcPr>
          <w:p w:rsidR="004B26B6" w:rsidRDefault="000D42EC" w:rsidP="004B26B6">
            <w:pPr>
              <w:pStyle w:val="a7"/>
              <w:spacing w:line="240" w:lineRule="exact"/>
              <w:jc w:val="both"/>
              <w:rPr>
                <w:rFonts w:asciiTheme="minorEastAsia" w:eastAsiaTheme="minorEastAsia" w:hAnsiTheme="minorEastAsia" w:cs="Arial" w:hint="eastAsia"/>
                <w:color w:val="333333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</w:rPr>
              <w:t>3</w:t>
            </w:r>
          </w:p>
        </w:tc>
        <w:tc>
          <w:tcPr>
            <w:tcW w:w="2562" w:type="dxa"/>
            <w:vAlign w:val="center"/>
          </w:tcPr>
          <w:p w:rsidR="004B26B6" w:rsidRPr="004B26B6" w:rsidRDefault="003C6AEB" w:rsidP="004B26B6">
            <w:pPr>
              <w:pStyle w:val="a7"/>
              <w:spacing w:line="360" w:lineRule="exact"/>
              <w:contextualSpacing/>
              <w:jc w:val="both"/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悬关联升降机上</w:t>
            </w:r>
            <w:proofErr w:type="gramStart"/>
            <w:r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恒温房</w:t>
            </w:r>
            <w:proofErr w:type="gramEnd"/>
          </w:p>
        </w:tc>
        <w:tc>
          <w:tcPr>
            <w:tcW w:w="4690" w:type="dxa"/>
          </w:tcPr>
          <w:p w:rsidR="004B26B6" w:rsidRPr="003C6AEB" w:rsidRDefault="003F3BFF" w:rsidP="004B26B6">
            <w:pPr>
              <w:pStyle w:val="a7"/>
              <w:spacing w:line="360" w:lineRule="exact"/>
              <w:contextualSpacing/>
              <w:jc w:val="both"/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升降机</w:t>
            </w:r>
            <w:proofErr w:type="gramStart"/>
            <w:r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拉动料架通过</w:t>
            </w:r>
            <w:proofErr w:type="gramEnd"/>
            <w:r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上架点时悬挂链系统发给MES系统信号，MES系统进行移库，物料从装配材料库（2300）移库到外协件仓库（1000）。</w:t>
            </w:r>
          </w:p>
        </w:tc>
        <w:tc>
          <w:tcPr>
            <w:tcW w:w="1525" w:type="dxa"/>
            <w:vAlign w:val="center"/>
          </w:tcPr>
          <w:p w:rsidR="004B26B6" w:rsidRPr="004B26B6" w:rsidRDefault="004B26B6" w:rsidP="004B26B6">
            <w:pPr>
              <w:pStyle w:val="a7"/>
              <w:spacing w:line="360" w:lineRule="exact"/>
              <w:contextualSpacing/>
              <w:jc w:val="both"/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</w:pPr>
          </w:p>
        </w:tc>
      </w:tr>
      <w:tr w:rsidR="004B26B6" w:rsidTr="004B26B6">
        <w:trPr>
          <w:trHeight w:val="741"/>
        </w:trPr>
        <w:tc>
          <w:tcPr>
            <w:tcW w:w="769" w:type="dxa"/>
            <w:vAlign w:val="center"/>
          </w:tcPr>
          <w:p w:rsidR="004B26B6" w:rsidRDefault="003F3BFF" w:rsidP="004B26B6">
            <w:pPr>
              <w:pStyle w:val="a7"/>
              <w:spacing w:line="240" w:lineRule="exact"/>
              <w:jc w:val="both"/>
              <w:rPr>
                <w:rFonts w:asciiTheme="minorEastAsia" w:eastAsiaTheme="minorEastAsia" w:hAnsiTheme="minorEastAsia" w:cs="Arial" w:hint="eastAsia"/>
                <w:color w:val="333333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</w:rPr>
              <w:t>4</w:t>
            </w:r>
          </w:p>
        </w:tc>
        <w:tc>
          <w:tcPr>
            <w:tcW w:w="2562" w:type="dxa"/>
            <w:vAlign w:val="center"/>
          </w:tcPr>
          <w:p w:rsidR="004B26B6" w:rsidRPr="003F3BFF" w:rsidRDefault="003F3BFF" w:rsidP="004B26B6">
            <w:pPr>
              <w:pStyle w:val="a7"/>
              <w:spacing w:line="360" w:lineRule="exact"/>
              <w:contextualSpacing/>
              <w:jc w:val="both"/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物料</w:t>
            </w:r>
            <w:r w:rsidR="00536E5F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在</w:t>
            </w:r>
            <w:proofErr w:type="gramStart"/>
            <w:r w:rsidR="00536E5F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恒温房库龄达到</w:t>
            </w:r>
            <w:proofErr w:type="gramEnd"/>
            <w:r w:rsidR="00536E5F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一定时间（静止时间要求），转移到仓储区</w:t>
            </w:r>
          </w:p>
        </w:tc>
        <w:tc>
          <w:tcPr>
            <w:tcW w:w="4690" w:type="dxa"/>
          </w:tcPr>
          <w:p w:rsidR="004B26B6" w:rsidRPr="00536E5F" w:rsidRDefault="00536E5F" w:rsidP="004B26B6">
            <w:pPr>
              <w:pStyle w:val="a7"/>
              <w:spacing w:line="360" w:lineRule="exact"/>
              <w:contextualSpacing/>
              <w:jc w:val="both"/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悬挂链系统将货物库区&amp;料道转移的信息传给MES，MES进行</w:t>
            </w:r>
            <w:r w:rsidR="0028495A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对应的库区和料道的移库和变更。</w:t>
            </w:r>
          </w:p>
        </w:tc>
        <w:tc>
          <w:tcPr>
            <w:tcW w:w="1525" w:type="dxa"/>
            <w:vAlign w:val="center"/>
          </w:tcPr>
          <w:p w:rsidR="004B26B6" w:rsidRPr="004B26B6" w:rsidRDefault="004B26B6" w:rsidP="004B26B6">
            <w:pPr>
              <w:pStyle w:val="a7"/>
              <w:spacing w:line="360" w:lineRule="exact"/>
              <w:contextualSpacing/>
              <w:jc w:val="both"/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</w:pPr>
          </w:p>
        </w:tc>
      </w:tr>
      <w:tr w:rsidR="004B26B6" w:rsidTr="004B26B6">
        <w:trPr>
          <w:trHeight w:val="741"/>
        </w:trPr>
        <w:tc>
          <w:tcPr>
            <w:tcW w:w="769" w:type="dxa"/>
            <w:vAlign w:val="center"/>
          </w:tcPr>
          <w:p w:rsidR="004B26B6" w:rsidRDefault="0028495A" w:rsidP="004B26B6">
            <w:pPr>
              <w:pStyle w:val="a7"/>
              <w:spacing w:line="240" w:lineRule="exact"/>
              <w:jc w:val="both"/>
              <w:rPr>
                <w:rFonts w:asciiTheme="minorEastAsia" w:eastAsiaTheme="minorEastAsia" w:hAnsiTheme="minorEastAsia" w:cs="Arial" w:hint="eastAsia"/>
                <w:color w:val="333333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</w:rPr>
              <w:t>5</w:t>
            </w:r>
          </w:p>
        </w:tc>
        <w:tc>
          <w:tcPr>
            <w:tcW w:w="2562" w:type="dxa"/>
            <w:vAlign w:val="center"/>
          </w:tcPr>
          <w:p w:rsidR="004B26B6" w:rsidRPr="0028495A" w:rsidRDefault="0028495A" w:rsidP="004B26B6">
            <w:pPr>
              <w:pStyle w:val="a7"/>
              <w:spacing w:line="360" w:lineRule="exact"/>
              <w:contextualSpacing/>
              <w:jc w:val="both"/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悬挂</w:t>
            </w:r>
            <w:proofErr w:type="gramStart"/>
            <w:r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链根据</w:t>
            </w:r>
            <w:proofErr w:type="gramEnd"/>
            <w:r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排序信息进行物料拉动。</w:t>
            </w:r>
          </w:p>
        </w:tc>
        <w:tc>
          <w:tcPr>
            <w:tcW w:w="4690" w:type="dxa"/>
          </w:tcPr>
          <w:p w:rsidR="004B26B6" w:rsidRPr="004B26B6" w:rsidRDefault="004525A1" w:rsidP="004B26B6">
            <w:pPr>
              <w:pStyle w:val="a7"/>
              <w:spacing w:line="360" w:lineRule="exact"/>
              <w:contextualSpacing/>
              <w:jc w:val="both"/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</w:pPr>
            <w:r w:rsidRPr="004525A1"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</w:rPr>
              <w:t>MES</w:t>
            </w:r>
            <w:r w:rsidRPr="004525A1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将接到的排序信息，每接一个</w:t>
            </w:r>
            <w:r w:rsidRPr="004525A1"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</w:rPr>
              <w:t>Order</w:t>
            </w:r>
            <w:r w:rsidRPr="004525A1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就过滤出</w:t>
            </w:r>
            <w:r w:rsidRPr="004525A1"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</w:rPr>
              <w:t>MSP</w:t>
            </w:r>
            <w:r w:rsidRPr="004525A1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信息传给悬挂链系统（中间表）</w:t>
            </w:r>
          </w:p>
        </w:tc>
        <w:tc>
          <w:tcPr>
            <w:tcW w:w="1525" w:type="dxa"/>
            <w:vAlign w:val="center"/>
          </w:tcPr>
          <w:p w:rsidR="004B26B6" w:rsidRPr="004B26B6" w:rsidRDefault="004B26B6" w:rsidP="004B26B6">
            <w:pPr>
              <w:pStyle w:val="a7"/>
              <w:spacing w:line="360" w:lineRule="exact"/>
              <w:contextualSpacing/>
              <w:jc w:val="both"/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</w:pPr>
          </w:p>
        </w:tc>
      </w:tr>
      <w:tr w:rsidR="0028495A" w:rsidTr="004B26B6">
        <w:trPr>
          <w:trHeight w:val="741"/>
        </w:trPr>
        <w:tc>
          <w:tcPr>
            <w:tcW w:w="769" w:type="dxa"/>
            <w:vAlign w:val="center"/>
          </w:tcPr>
          <w:p w:rsidR="0028495A" w:rsidRDefault="0028495A" w:rsidP="004B26B6">
            <w:pPr>
              <w:pStyle w:val="a7"/>
              <w:spacing w:line="240" w:lineRule="exact"/>
              <w:jc w:val="both"/>
              <w:rPr>
                <w:rFonts w:asciiTheme="minorEastAsia" w:eastAsiaTheme="minorEastAsia" w:hAnsiTheme="minorEastAsia" w:cs="Arial" w:hint="eastAsia"/>
                <w:color w:val="333333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</w:rPr>
              <w:t>6</w:t>
            </w:r>
          </w:p>
        </w:tc>
        <w:tc>
          <w:tcPr>
            <w:tcW w:w="2562" w:type="dxa"/>
            <w:vAlign w:val="center"/>
          </w:tcPr>
          <w:p w:rsidR="0028495A" w:rsidRPr="004B26B6" w:rsidRDefault="004525A1" w:rsidP="004B26B6">
            <w:pPr>
              <w:pStyle w:val="a7"/>
              <w:spacing w:line="360" w:lineRule="exact"/>
              <w:contextualSpacing/>
              <w:jc w:val="both"/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料架从</w:t>
            </w:r>
            <w:proofErr w:type="gramEnd"/>
            <w:r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仓库区通过</w:t>
            </w:r>
            <w:proofErr w:type="gramStart"/>
            <w:r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升降机下件到</w:t>
            </w:r>
            <w:proofErr w:type="gramEnd"/>
            <w:r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缓存区</w:t>
            </w:r>
          </w:p>
        </w:tc>
        <w:tc>
          <w:tcPr>
            <w:tcW w:w="4690" w:type="dxa"/>
          </w:tcPr>
          <w:p w:rsidR="0028495A" w:rsidRPr="004525A1" w:rsidRDefault="004525A1" w:rsidP="004B26B6">
            <w:pPr>
              <w:pStyle w:val="a7"/>
              <w:spacing w:line="360" w:lineRule="exact"/>
              <w:contextualSpacing/>
              <w:jc w:val="both"/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</w:pPr>
            <w:proofErr w:type="gramStart"/>
            <w:r w:rsidRPr="004525A1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挂具从</w:t>
            </w:r>
            <w:proofErr w:type="gramEnd"/>
            <w:r w:rsidRPr="004525A1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库区</w:t>
            </w:r>
            <w:proofErr w:type="gramStart"/>
            <w:r w:rsidRPr="004525A1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过下件到</w:t>
            </w:r>
            <w:proofErr w:type="gramEnd"/>
            <w:r w:rsidRPr="004525A1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缓存区后悬挂链将信息反馈给</w:t>
            </w:r>
            <w:r w:rsidRPr="004525A1"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</w:rPr>
              <w:t>MES</w:t>
            </w:r>
            <w:r w:rsidRPr="004525A1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，</w:t>
            </w:r>
            <w:r w:rsidRPr="004525A1"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</w:rPr>
              <w:t>MES</w:t>
            </w:r>
            <w:r w:rsidRPr="004525A1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进行库存移库（从</w:t>
            </w:r>
            <w:r w:rsidRPr="004525A1"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</w:rPr>
              <w:t>3000</w:t>
            </w:r>
            <w:r w:rsidRPr="004525A1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成品库移库到</w:t>
            </w:r>
            <w:r w:rsidRPr="004525A1"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</w:rPr>
              <w:t>1010</w:t>
            </w:r>
            <w:r w:rsidRPr="004525A1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装配超市库）</w:t>
            </w:r>
          </w:p>
        </w:tc>
        <w:tc>
          <w:tcPr>
            <w:tcW w:w="1525" w:type="dxa"/>
            <w:vAlign w:val="center"/>
          </w:tcPr>
          <w:p w:rsidR="0028495A" w:rsidRPr="004B26B6" w:rsidRDefault="0028495A" w:rsidP="004B26B6">
            <w:pPr>
              <w:pStyle w:val="a7"/>
              <w:spacing w:line="360" w:lineRule="exact"/>
              <w:contextualSpacing/>
              <w:jc w:val="both"/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</w:pPr>
          </w:p>
        </w:tc>
      </w:tr>
      <w:tr w:rsidR="004B26B6" w:rsidTr="004B26B6">
        <w:trPr>
          <w:trHeight w:val="741"/>
        </w:trPr>
        <w:tc>
          <w:tcPr>
            <w:tcW w:w="769" w:type="dxa"/>
            <w:vAlign w:val="center"/>
          </w:tcPr>
          <w:p w:rsidR="004B26B6" w:rsidRDefault="0028495A" w:rsidP="004B26B6">
            <w:pPr>
              <w:pStyle w:val="a7"/>
              <w:spacing w:line="240" w:lineRule="exact"/>
              <w:jc w:val="both"/>
              <w:rPr>
                <w:rFonts w:asciiTheme="minorEastAsia" w:eastAsiaTheme="minorEastAsia" w:hAnsiTheme="minorEastAsia" w:cs="Arial" w:hint="eastAsia"/>
                <w:color w:val="333333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</w:rPr>
              <w:t>7</w:t>
            </w:r>
          </w:p>
        </w:tc>
        <w:tc>
          <w:tcPr>
            <w:tcW w:w="2562" w:type="dxa"/>
            <w:vAlign w:val="center"/>
          </w:tcPr>
          <w:p w:rsidR="004B26B6" w:rsidRPr="004B26B6" w:rsidRDefault="004525A1" w:rsidP="004B26B6">
            <w:pPr>
              <w:pStyle w:val="a7"/>
              <w:spacing w:line="360" w:lineRule="exact"/>
              <w:contextualSpacing/>
              <w:jc w:val="both"/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操作员工根据预排序信息到取件口</w:t>
            </w:r>
          </w:p>
        </w:tc>
        <w:tc>
          <w:tcPr>
            <w:tcW w:w="4690" w:type="dxa"/>
          </w:tcPr>
          <w:p w:rsidR="004B26B6" w:rsidRPr="004B26B6" w:rsidRDefault="009D5495" w:rsidP="004B26B6">
            <w:pPr>
              <w:pStyle w:val="a7"/>
              <w:spacing w:line="360" w:lineRule="exact"/>
              <w:contextualSpacing/>
              <w:jc w:val="both"/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</w:pPr>
            <w:r w:rsidRPr="009D5495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预排序配料取件，在取件口取件后扫描预排序，预排序扫描通过后</w:t>
            </w:r>
            <w:r w:rsidRPr="009D5495"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</w:rPr>
              <w:t>MES</w:t>
            </w:r>
            <w:r w:rsidRPr="009D5495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将信息传给悬挂链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，</w:t>
            </w:r>
            <w:r w:rsidRPr="009D5495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悬挂链将当前</w:t>
            </w:r>
            <w:proofErr w:type="gramStart"/>
            <w:r w:rsidRPr="009D5495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的挂具移走</w:t>
            </w:r>
            <w:proofErr w:type="gramEnd"/>
            <w:r w:rsidRPr="009D5495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，将下</w:t>
            </w:r>
            <w:proofErr w:type="gramStart"/>
            <w:r w:rsidRPr="009D5495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个需求物料挂具</w:t>
            </w:r>
            <w:proofErr w:type="gramEnd"/>
            <w:r w:rsidRPr="009D5495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拉动到取件口</w:t>
            </w:r>
            <w:r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。</w:t>
            </w:r>
            <w:r w:rsidRPr="009D5495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库存移动从装配超市库区移库到装配材料库</w:t>
            </w:r>
          </w:p>
        </w:tc>
        <w:tc>
          <w:tcPr>
            <w:tcW w:w="1525" w:type="dxa"/>
            <w:vAlign w:val="center"/>
          </w:tcPr>
          <w:p w:rsidR="004B26B6" w:rsidRPr="004B26B6" w:rsidRDefault="004B26B6" w:rsidP="004B26B6">
            <w:pPr>
              <w:pStyle w:val="a7"/>
              <w:spacing w:line="360" w:lineRule="exact"/>
              <w:contextualSpacing/>
              <w:jc w:val="both"/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</w:pPr>
          </w:p>
        </w:tc>
      </w:tr>
      <w:tr w:rsidR="0028495A" w:rsidTr="004B26B6">
        <w:trPr>
          <w:trHeight w:val="741"/>
        </w:trPr>
        <w:tc>
          <w:tcPr>
            <w:tcW w:w="769" w:type="dxa"/>
            <w:vAlign w:val="center"/>
          </w:tcPr>
          <w:p w:rsidR="0028495A" w:rsidRDefault="0028495A" w:rsidP="004B26B6">
            <w:pPr>
              <w:pStyle w:val="a7"/>
              <w:spacing w:line="240" w:lineRule="exact"/>
              <w:jc w:val="both"/>
              <w:rPr>
                <w:rFonts w:asciiTheme="minorEastAsia" w:eastAsiaTheme="minorEastAsia" w:hAnsiTheme="minorEastAsia" w:cs="Arial" w:hint="eastAsia"/>
                <w:color w:val="333333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</w:rPr>
              <w:t>8</w:t>
            </w:r>
          </w:p>
        </w:tc>
        <w:tc>
          <w:tcPr>
            <w:tcW w:w="2562" w:type="dxa"/>
            <w:vAlign w:val="center"/>
          </w:tcPr>
          <w:p w:rsidR="0028495A" w:rsidRPr="004B26B6" w:rsidRDefault="0028495A" w:rsidP="004B26B6">
            <w:pPr>
              <w:pStyle w:val="a7"/>
              <w:spacing w:line="360" w:lineRule="exact"/>
              <w:contextualSpacing/>
              <w:jc w:val="both"/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挂具信息</w:t>
            </w:r>
            <w:proofErr w:type="gramEnd"/>
            <w:r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变更</w:t>
            </w:r>
          </w:p>
        </w:tc>
        <w:tc>
          <w:tcPr>
            <w:tcW w:w="4690" w:type="dxa"/>
          </w:tcPr>
          <w:p w:rsidR="0028495A" w:rsidRPr="0028495A" w:rsidRDefault="003C1858" w:rsidP="0028495A">
            <w:pPr>
              <w:pStyle w:val="a7"/>
              <w:spacing w:line="360" w:lineRule="exact"/>
              <w:contextualSpacing/>
              <w:jc w:val="both"/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</w:pPr>
            <w:proofErr w:type="gramStart"/>
            <w:r w:rsidRPr="0028495A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挂具信息</w:t>
            </w:r>
            <w:proofErr w:type="gramEnd"/>
            <w:r w:rsidRPr="0028495A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更该，</w:t>
            </w:r>
            <w:proofErr w:type="gramStart"/>
            <w:r w:rsidRPr="0028495A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挂具的</w:t>
            </w:r>
            <w:proofErr w:type="gramEnd"/>
            <w:r w:rsidRPr="0028495A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上物料信息的变更和料道的变更后的信息都</w:t>
            </w:r>
            <w:r w:rsidR="0028495A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传给</w:t>
            </w:r>
            <w:r w:rsidRPr="0028495A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MES</w:t>
            </w:r>
            <w:r w:rsidRPr="0028495A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系统</w:t>
            </w:r>
            <w:r w:rsidR="0028495A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，MES进行对应信息变更。</w:t>
            </w:r>
          </w:p>
        </w:tc>
        <w:tc>
          <w:tcPr>
            <w:tcW w:w="1525" w:type="dxa"/>
            <w:vAlign w:val="center"/>
          </w:tcPr>
          <w:p w:rsidR="0028495A" w:rsidRPr="004B26B6" w:rsidRDefault="0028495A" w:rsidP="004B26B6">
            <w:pPr>
              <w:pStyle w:val="a7"/>
              <w:spacing w:line="360" w:lineRule="exact"/>
              <w:contextualSpacing/>
              <w:jc w:val="both"/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</w:pPr>
          </w:p>
        </w:tc>
      </w:tr>
      <w:tr w:rsidR="0028495A" w:rsidTr="004B26B6">
        <w:trPr>
          <w:trHeight w:val="741"/>
        </w:trPr>
        <w:tc>
          <w:tcPr>
            <w:tcW w:w="769" w:type="dxa"/>
            <w:vAlign w:val="center"/>
          </w:tcPr>
          <w:p w:rsidR="0028495A" w:rsidRDefault="0028495A" w:rsidP="004B26B6">
            <w:pPr>
              <w:pStyle w:val="a7"/>
              <w:spacing w:line="240" w:lineRule="exact"/>
              <w:jc w:val="both"/>
              <w:rPr>
                <w:rFonts w:asciiTheme="minorEastAsia" w:eastAsiaTheme="minorEastAsia" w:hAnsiTheme="minorEastAsia" w:cs="Arial" w:hint="eastAsia"/>
                <w:color w:val="333333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</w:rPr>
              <w:t>9</w:t>
            </w:r>
          </w:p>
        </w:tc>
        <w:tc>
          <w:tcPr>
            <w:tcW w:w="2562" w:type="dxa"/>
            <w:vAlign w:val="center"/>
          </w:tcPr>
          <w:p w:rsidR="0028495A" w:rsidRPr="004B26B6" w:rsidRDefault="0028495A" w:rsidP="004B26B6">
            <w:pPr>
              <w:pStyle w:val="a7"/>
              <w:spacing w:line="360" w:lineRule="exact"/>
              <w:contextualSpacing/>
              <w:jc w:val="both"/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有效库存报表</w:t>
            </w:r>
          </w:p>
        </w:tc>
        <w:tc>
          <w:tcPr>
            <w:tcW w:w="4690" w:type="dxa"/>
          </w:tcPr>
          <w:p w:rsidR="0028495A" w:rsidRPr="0028495A" w:rsidRDefault="0028495A" w:rsidP="0028495A">
            <w:pPr>
              <w:pStyle w:val="a7"/>
              <w:spacing w:line="360" w:lineRule="exact"/>
              <w:contextualSpacing/>
              <w:jc w:val="both"/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报表可以体现</w:t>
            </w:r>
            <w:r w:rsidRPr="0028495A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已经满足静止时间的物料库存、</w:t>
            </w:r>
            <w:r w:rsidRPr="0028495A"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</w:rPr>
              <w:t>30</w:t>
            </w:r>
            <w:r w:rsidRPr="0028495A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分钟到静止时间库存、</w:t>
            </w:r>
            <w:r w:rsidRPr="0028495A"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</w:rPr>
              <w:t>1</w:t>
            </w:r>
            <w:r w:rsidRPr="0028495A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小时到静止时间库存、</w:t>
            </w:r>
            <w:r w:rsidRPr="0028495A">
              <w:rPr>
                <w:rFonts w:asciiTheme="minorEastAsia" w:eastAsiaTheme="minorEastAsia" w:hAnsiTheme="minorEastAsia" w:cs="Arial"/>
                <w:color w:val="333333"/>
                <w:sz w:val="18"/>
                <w:szCs w:val="18"/>
              </w:rPr>
              <w:t>4</w:t>
            </w:r>
            <w:r w:rsidRPr="0028495A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小时到静止时间库存</w:t>
            </w:r>
          </w:p>
        </w:tc>
        <w:tc>
          <w:tcPr>
            <w:tcW w:w="1525" w:type="dxa"/>
            <w:vAlign w:val="center"/>
          </w:tcPr>
          <w:p w:rsidR="0028495A" w:rsidRPr="004B26B6" w:rsidRDefault="0028495A" w:rsidP="004B26B6">
            <w:pPr>
              <w:pStyle w:val="a7"/>
              <w:spacing w:line="360" w:lineRule="exact"/>
              <w:contextualSpacing/>
              <w:jc w:val="both"/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</w:pPr>
          </w:p>
        </w:tc>
      </w:tr>
      <w:tr w:rsidR="0028495A" w:rsidTr="004B26B6">
        <w:trPr>
          <w:trHeight w:val="741"/>
        </w:trPr>
        <w:tc>
          <w:tcPr>
            <w:tcW w:w="769" w:type="dxa"/>
            <w:vAlign w:val="center"/>
          </w:tcPr>
          <w:p w:rsidR="0028495A" w:rsidRDefault="0028495A" w:rsidP="004B26B6">
            <w:pPr>
              <w:pStyle w:val="a7"/>
              <w:spacing w:line="240" w:lineRule="exact"/>
              <w:jc w:val="both"/>
              <w:rPr>
                <w:rFonts w:asciiTheme="minorEastAsia" w:eastAsiaTheme="minorEastAsia" w:hAnsiTheme="minorEastAsia" w:cs="Arial" w:hint="eastAsia"/>
                <w:color w:val="333333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</w:rPr>
              <w:t>10</w:t>
            </w:r>
          </w:p>
        </w:tc>
        <w:tc>
          <w:tcPr>
            <w:tcW w:w="2562" w:type="dxa"/>
            <w:vAlign w:val="center"/>
          </w:tcPr>
          <w:p w:rsidR="0028495A" w:rsidRPr="0028495A" w:rsidRDefault="0028495A" w:rsidP="004B26B6">
            <w:pPr>
              <w:pStyle w:val="a7"/>
              <w:spacing w:line="360" w:lineRule="exact"/>
              <w:contextualSpacing/>
              <w:jc w:val="both"/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</w:pPr>
            <w:r w:rsidRPr="0028495A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TOD</w:t>
            </w:r>
            <w:r w:rsidRPr="0028495A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信息与有效库存对比报表</w:t>
            </w:r>
          </w:p>
        </w:tc>
        <w:tc>
          <w:tcPr>
            <w:tcW w:w="4690" w:type="dxa"/>
          </w:tcPr>
          <w:p w:rsidR="0028495A" w:rsidRDefault="0028495A" w:rsidP="0028495A">
            <w:pPr>
              <w:pStyle w:val="a7"/>
              <w:spacing w:line="360" w:lineRule="exact"/>
              <w:contextualSpacing/>
              <w:jc w:val="both"/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</w:pPr>
            <w:r w:rsidRPr="0028495A"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悬挂链JIS小件库存与TOD发出的计划需求进行对比的报表</w:t>
            </w:r>
          </w:p>
        </w:tc>
        <w:tc>
          <w:tcPr>
            <w:tcW w:w="1525" w:type="dxa"/>
            <w:vAlign w:val="center"/>
          </w:tcPr>
          <w:p w:rsidR="0028495A" w:rsidRPr="004B26B6" w:rsidRDefault="0028495A" w:rsidP="004B26B6">
            <w:pPr>
              <w:pStyle w:val="a7"/>
              <w:spacing w:line="360" w:lineRule="exact"/>
              <w:contextualSpacing/>
              <w:jc w:val="both"/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</w:pPr>
          </w:p>
        </w:tc>
      </w:tr>
      <w:tr w:rsidR="0078079A" w:rsidTr="004B26B6">
        <w:trPr>
          <w:trHeight w:val="741"/>
        </w:trPr>
        <w:tc>
          <w:tcPr>
            <w:tcW w:w="769" w:type="dxa"/>
            <w:vAlign w:val="center"/>
          </w:tcPr>
          <w:p w:rsidR="0078079A" w:rsidRDefault="0078079A" w:rsidP="004B26B6">
            <w:pPr>
              <w:pStyle w:val="a7"/>
              <w:spacing w:line="240" w:lineRule="exact"/>
              <w:jc w:val="both"/>
              <w:rPr>
                <w:rFonts w:asciiTheme="minorEastAsia" w:eastAsiaTheme="minorEastAsia" w:hAnsiTheme="minorEastAsia" w:cs="Arial" w:hint="eastAsia"/>
                <w:color w:val="333333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</w:rPr>
              <w:t>11</w:t>
            </w:r>
          </w:p>
        </w:tc>
        <w:tc>
          <w:tcPr>
            <w:tcW w:w="2562" w:type="dxa"/>
            <w:vAlign w:val="center"/>
          </w:tcPr>
          <w:p w:rsidR="0078079A" w:rsidRPr="0028495A" w:rsidRDefault="0078079A" w:rsidP="004B26B6">
            <w:pPr>
              <w:pStyle w:val="a7"/>
              <w:spacing w:line="360" w:lineRule="exact"/>
              <w:contextualSpacing/>
              <w:jc w:val="both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悬挂链盘点</w:t>
            </w:r>
          </w:p>
        </w:tc>
        <w:tc>
          <w:tcPr>
            <w:tcW w:w="4690" w:type="dxa"/>
          </w:tcPr>
          <w:p w:rsidR="0078079A" w:rsidRPr="0028495A" w:rsidRDefault="0078079A" w:rsidP="0028495A">
            <w:pPr>
              <w:pStyle w:val="a7"/>
              <w:spacing w:line="360" w:lineRule="exact"/>
              <w:contextualSpacing/>
              <w:jc w:val="both"/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  <w:t>盘点信息手工同步</w:t>
            </w:r>
            <w:bookmarkStart w:id="0" w:name="_GoBack"/>
            <w:bookmarkEnd w:id="0"/>
          </w:p>
        </w:tc>
        <w:tc>
          <w:tcPr>
            <w:tcW w:w="1525" w:type="dxa"/>
            <w:vAlign w:val="center"/>
          </w:tcPr>
          <w:p w:rsidR="0078079A" w:rsidRPr="004B26B6" w:rsidRDefault="0078079A" w:rsidP="004B26B6">
            <w:pPr>
              <w:pStyle w:val="a7"/>
              <w:spacing w:line="360" w:lineRule="exact"/>
              <w:contextualSpacing/>
              <w:jc w:val="both"/>
              <w:rPr>
                <w:rFonts w:asciiTheme="minorEastAsia" w:eastAsiaTheme="minorEastAsia" w:hAnsiTheme="minorEastAsia" w:cs="Arial" w:hint="eastAsia"/>
                <w:color w:val="333333"/>
                <w:sz w:val="18"/>
                <w:szCs w:val="18"/>
              </w:rPr>
            </w:pPr>
          </w:p>
        </w:tc>
      </w:tr>
    </w:tbl>
    <w:p w:rsidR="004B26B6" w:rsidRDefault="004B26B6" w:rsidP="004B26B6">
      <w:pPr>
        <w:pStyle w:val="a7"/>
        <w:spacing w:line="240" w:lineRule="exact"/>
        <w:ind w:firstLine="403"/>
        <w:rPr>
          <w:rFonts w:asciiTheme="minorEastAsia" w:eastAsiaTheme="minorEastAsia" w:hAnsiTheme="minorEastAsia" w:cs="Arial" w:hint="eastAsia"/>
          <w:color w:val="333333"/>
        </w:rPr>
      </w:pPr>
    </w:p>
    <w:p w:rsidR="004B26B6" w:rsidRPr="004B26B6" w:rsidRDefault="004B26B6" w:rsidP="004B26B6">
      <w:pPr>
        <w:pStyle w:val="a7"/>
        <w:spacing w:line="268" w:lineRule="atLeast"/>
        <w:ind w:firstLine="400"/>
        <w:rPr>
          <w:rFonts w:asciiTheme="minorEastAsia" w:eastAsiaTheme="minorEastAsia" w:hAnsiTheme="minorEastAsia" w:cs="Arial" w:hint="eastAsia"/>
          <w:color w:val="333333"/>
        </w:rPr>
      </w:pPr>
    </w:p>
    <w:sectPr w:rsidR="004B26B6" w:rsidRPr="004B26B6" w:rsidSect="007F418D">
      <w:headerReference w:type="default" r:id="rId9"/>
      <w:footerReference w:type="default" r:id="rId10"/>
      <w:pgSz w:w="11906" w:h="16838"/>
      <w:pgMar w:top="1389" w:right="1286" w:bottom="1440" w:left="1260" w:header="468" w:footer="4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858" w:rsidRDefault="003C1858">
      <w:r>
        <w:separator/>
      </w:r>
    </w:p>
  </w:endnote>
  <w:endnote w:type="continuationSeparator" w:id="0">
    <w:p w:rsidR="003C1858" w:rsidRDefault="003C1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26FC" w:rsidRDefault="00655302" w:rsidP="007F418D">
    <w:pPr>
      <w:pStyle w:val="a4"/>
      <w:jc w:val="right"/>
    </w:pPr>
    <w:r w:rsidRPr="00F71E9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E51F74" wp14:editId="3FF45BD7">
              <wp:simplePos x="0" y="0"/>
              <wp:positionH relativeFrom="column">
                <wp:posOffset>-51517</wp:posOffset>
              </wp:positionH>
              <wp:positionV relativeFrom="paragraph">
                <wp:posOffset>-180340</wp:posOffset>
              </wp:positionV>
              <wp:extent cx="954156" cy="307340"/>
              <wp:effectExtent l="0" t="0" r="0" b="0"/>
              <wp:wrapNone/>
              <wp:docPr id="2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4156" cy="3073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F71E94" w:rsidRPr="005E5994" w:rsidRDefault="00214816" w:rsidP="00655302">
                          <w:pPr>
                            <w:pStyle w:val="a7"/>
                            <w:spacing w:before="0" w:beforeAutospacing="0" w:after="0" w:afterAutospacing="0"/>
                            <w:textAlignment w:val="baseline"/>
                            <w:rPr>
                              <w:rFonts w:ascii="微软雅黑" w:eastAsia="微软雅黑" w:hAnsi="微软雅黑"/>
                              <w:color w:val="7F7F7F" w:themeColor="text1" w:themeTint="80"/>
                              <w:sz w:val="16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7F7F7F" w:themeColor="text1" w:themeTint="80"/>
                              <w:kern w:val="24"/>
                              <w:sz w:val="18"/>
                              <w:szCs w:val="28"/>
                            </w:rPr>
                            <w:t>资产类型：C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left:0;text-align:left;margin-left:-4.05pt;margin-top:-14.2pt;width:75.15pt;height:24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" filled="f" stroked="f">
              <v:textbox style="mso-fit-shape-to-text:t">
                <w:txbxContent>
                  <w:p w:rsidR="00F71E94" w:rsidRPr="005E5994" w:rsidRDefault="00214816" w:rsidP="00655302">
                    <w:pPr>
                      <w:pStyle w:val="a7"/>
                      <w:spacing w:before="0" w:beforeAutospacing="0" w:after="0" w:afterAutospacing="0"/>
                      <w:textAlignment w:val="baseline"/>
                      <w:rPr>
                        <w:rFonts w:ascii="微软雅黑" w:eastAsia="微软雅黑" w:hAnsi="微软雅黑"/>
                        <w:color w:val="7F7F7F" w:themeColor="text1" w:themeTint="80"/>
                        <w:sz w:val="16"/>
                      </w:rPr>
                    </w:pPr>
                    <w:r>
                      <w:rPr>
                        <w:rFonts w:ascii="微软雅黑" w:eastAsia="微软雅黑" w:hAnsi="微软雅黑" w:cstheme="minorBidi" w:hint="eastAsia"/>
                        <w:color w:val="7F7F7F" w:themeColor="text1" w:themeTint="80"/>
                        <w:kern w:val="24"/>
                        <w:sz w:val="18"/>
                        <w:szCs w:val="28"/>
                      </w:rPr>
                      <w:t>资产类型：C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858" w:rsidRDefault="003C1858">
      <w:r>
        <w:separator/>
      </w:r>
    </w:p>
  </w:footnote>
  <w:footnote w:type="continuationSeparator" w:id="0">
    <w:p w:rsidR="003C1858" w:rsidRDefault="003C18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18D" w:rsidRDefault="00D0457B" w:rsidP="007F418D">
    <w:pPr>
      <w:pStyle w:val="a3"/>
      <w:jc w:val="both"/>
    </w:pPr>
    <w:r>
      <w:rPr>
        <w:rFonts w:hint="eastAsia"/>
        <w:noProof/>
        <w:vertAlign w:val="subscript"/>
      </w:rPr>
      <w:softHyphen/>
    </w:r>
    <w:r>
      <w:rPr>
        <w:noProof/>
        <w:vertAlign w:val="subscript"/>
      </w:rPr>
      <w:softHyphen/>
    </w:r>
    <w:r>
      <w:rPr>
        <w:rFonts w:hint="eastAsia"/>
        <w:noProof/>
        <w:vertAlign w:val="subscript"/>
      </w:rPr>
      <w:softHyphen/>
    </w:r>
  </w:p>
  <w:p w:rsidR="007F418D" w:rsidRDefault="000F3478" w:rsidP="003C3762">
    <w:pPr>
      <w:pStyle w:val="a3"/>
      <w:ind w:firstLineChars="100" w:firstLine="180"/>
      <w:jc w:val="both"/>
    </w:pPr>
    <w:r>
      <w:rPr>
        <w:noProof/>
      </w:rPr>
      <w:drawing>
        <wp:inline distT="0" distB="0" distL="0" distR="0">
          <wp:extent cx="457200" cy="361950"/>
          <wp:effectExtent l="0" t="0" r="0" b="0"/>
          <wp:docPr id="1" name="图片 1" descr="C:\Users\sgong1\Desktop\logo-PPT使用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gong1\Desktop\logo-PPT使用-0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470A9"/>
    <w:multiLevelType w:val="hybridMultilevel"/>
    <w:tmpl w:val="BC662DC4"/>
    <w:lvl w:ilvl="0" w:tplc="3EE6700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EE1070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56A7B4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547CF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1246B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7C5DA0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1CC69A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4E80AE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060763E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9FF"/>
    <w:rsid w:val="000619FF"/>
    <w:rsid w:val="000D2E9B"/>
    <w:rsid w:val="000D42EC"/>
    <w:rsid w:val="000F3478"/>
    <w:rsid w:val="000F7989"/>
    <w:rsid w:val="00162AAD"/>
    <w:rsid w:val="00170BBF"/>
    <w:rsid w:val="00214816"/>
    <w:rsid w:val="0028495A"/>
    <w:rsid w:val="002D1152"/>
    <w:rsid w:val="00363C14"/>
    <w:rsid w:val="0039583A"/>
    <w:rsid w:val="003C1858"/>
    <w:rsid w:val="003C3762"/>
    <w:rsid w:val="003C6AEB"/>
    <w:rsid w:val="003F3BFF"/>
    <w:rsid w:val="00420371"/>
    <w:rsid w:val="004525A1"/>
    <w:rsid w:val="00482745"/>
    <w:rsid w:val="004A60DA"/>
    <w:rsid w:val="004B26B6"/>
    <w:rsid w:val="00536E5F"/>
    <w:rsid w:val="005E5994"/>
    <w:rsid w:val="00655302"/>
    <w:rsid w:val="006F5BAA"/>
    <w:rsid w:val="0078079A"/>
    <w:rsid w:val="007F418D"/>
    <w:rsid w:val="00831BF4"/>
    <w:rsid w:val="00880B7B"/>
    <w:rsid w:val="009803EE"/>
    <w:rsid w:val="009D5495"/>
    <w:rsid w:val="009E141E"/>
    <w:rsid w:val="009E26FC"/>
    <w:rsid w:val="009F1602"/>
    <w:rsid w:val="00A06020"/>
    <w:rsid w:val="00A249EA"/>
    <w:rsid w:val="00A57C98"/>
    <w:rsid w:val="00AB0515"/>
    <w:rsid w:val="00B316F6"/>
    <w:rsid w:val="00B40C2A"/>
    <w:rsid w:val="00B75D54"/>
    <w:rsid w:val="00B8106A"/>
    <w:rsid w:val="00CD2BB3"/>
    <w:rsid w:val="00D0457B"/>
    <w:rsid w:val="00D43435"/>
    <w:rsid w:val="00E921C9"/>
    <w:rsid w:val="00EC7D70"/>
    <w:rsid w:val="00ED2A10"/>
    <w:rsid w:val="00F71E94"/>
    <w:rsid w:val="00FC388E"/>
    <w:rsid w:val="00FE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9E2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9E2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7F418D"/>
    <w:rPr>
      <w:kern w:val="2"/>
      <w:sz w:val="18"/>
      <w:szCs w:val="18"/>
    </w:rPr>
  </w:style>
  <w:style w:type="paragraph" w:styleId="a5">
    <w:name w:val="Balloon Text"/>
    <w:basedOn w:val="a"/>
    <w:link w:val="Char1"/>
    <w:rsid w:val="007F418D"/>
    <w:rPr>
      <w:sz w:val="16"/>
      <w:szCs w:val="16"/>
    </w:rPr>
  </w:style>
  <w:style w:type="character" w:customStyle="1" w:styleId="Char1">
    <w:name w:val="批注框文本 Char"/>
    <w:basedOn w:val="a0"/>
    <w:link w:val="a5"/>
    <w:rsid w:val="007F418D"/>
    <w:rPr>
      <w:kern w:val="2"/>
      <w:sz w:val="16"/>
      <w:szCs w:val="16"/>
    </w:rPr>
  </w:style>
  <w:style w:type="character" w:customStyle="1" w:styleId="Char0">
    <w:name w:val="页脚 Char"/>
    <w:link w:val="a4"/>
    <w:uiPriority w:val="99"/>
    <w:rsid w:val="007F418D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B75D54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4A60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rsid w:val="004B26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9E2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9E2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7F418D"/>
    <w:rPr>
      <w:kern w:val="2"/>
      <w:sz w:val="18"/>
      <w:szCs w:val="18"/>
    </w:rPr>
  </w:style>
  <w:style w:type="paragraph" w:styleId="a5">
    <w:name w:val="Balloon Text"/>
    <w:basedOn w:val="a"/>
    <w:link w:val="Char1"/>
    <w:rsid w:val="007F418D"/>
    <w:rPr>
      <w:sz w:val="16"/>
      <w:szCs w:val="16"/>
    </w:rPr>
  </w:style>
  <w:style w:type="character" w:customStyle="1" w:styleId="Char1">
    <w:name w:val="批注框文本 Char"/>
    <w:basedOn w:val="a0"/>
    <w:link w:val="a5"/>
    <w:rsid w:val="007F418D"/>
    <w:rPr>
      <w:kern w:val="2"/>
      <w:sz w:val="16"/>
      <w:szCs w:val="16"/>
    </w:rPr>
  </w:style>
  <w:style w:type="character" w:customStyle="1" w:styleId="Char0">
    <w:name w:val="页脚 Char"/>
    <w:link w:val="a4"/>
    <w:uiPriority w:val="99"/>
    <w:rsid w:val="007F418D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B75D54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4A60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rsid w:val="004B26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21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13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B1445-9CFA-4CE5-870D-EA517D3F7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Tao(YFPOTX)</dc:creator>
  <cp:keywords/>
  <dc:description/>
  <cp:lastModifiedBy>Wang Tao(YFPOTX)</cp:lastModifiedBy>
  <cp:revision>10</cp:revision>
  <cp:lastPrinted>2013-12-23T08:52:00Z</cp:lastPrinted>
  <dcterms:created xsi:type="dcterms:W3CDTF">2017-11-17T05:00:00Z</dcterms:created>
  <dcterms:modified xsi:type="dcterms:W3CDTF">2017-11-17T11:32:00Z</dcterms:modified>
</cp:coreProperties>
</file>