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0D1B2A" w:val="clear"/>
            <w:tcMar>
              <w:top w:type="dxa" w:w="2880"/>
              <w:left w:type="dxa" w:w="1440"/>
              <w:bottom w:type="dxa" w:w="2880"/>
              <w:right w:type="dxa" w:w="1440"/>
            </w:tcMar>
          </w:tcPr>
          <w:p>
            <w:pPr>
              <w:spacing w:after="480"/>
              <w:jc w:val="center"/>
            </w:pPr>
            <w:r>
              <w:rPr>
                <w:rFonts w:ascii="Calibri" w:cs="Calibri" w:eastAsia="Calibri" w:hAnsi="Calibri"/>
                <w:b/>
                <w:bCs/>
                <w:caps/>
                <w:color w:val="3D8EF0"/>
                <w:sz w:val="18"/>
                <w:szCs w:val="18"/>
              </w:rPr>
              <w:t xml:space="preserve">CONFIDENTIAL  ·  EXECUTIVE ARCHITECTURE PROPOSAL</w:t>
            </w:r>
          </w:p>
          <w:p>
            <w:pPr>
              <w:spacing w:after="80"/>
              <w:jc w:val="center"/>
            </w:pPr>
            <w:r>
              <w:rPr>
                <w:rFonts w:ascii="Calibri" w:cs="Calibri" w:eastAsia="Calibri" w:hAnsi="Calibri"/>
                <w:b/>
                <w:bCs/>
                <w:color w:val="FFFFFF"/>
                <w:sz w:val="72"/>
                <w:szCs w:val="72"/>
              </w:rPr>
              <w:t xml:space="preserve">Enterprise Engineering</w:t>
            </w:r>
          </w:p>
          <w:p>
            <w:pPr>
              <w:spacing w:after="480"/>
              <w:jc w:val="center"/>
            </w:pPr>
            <w:r>
              <w:rPr>
                <w:rFonts w:ascii="Calibri" w:cs="Calibri" w:eastAsia="Calibri" w:hAnsi="Calibri"/>
                <w:b/>
                <w:bCs/>
                <w:color w:val="00C2CB"/>
                <w:sz w:val="72"/>
                <w:szCs w:val="72"/>
              </w:rPr>
              <w:t xml:space="preserve">Skills Platform</w:t>
            </w:r>
          </w:p>
          <w:p>
            <w:pPr>
              <w:spacing w:after="1440"/>
              <w:jc w:val="center"/>
            </w:pPr>
            <w:r>
              <w:rPr>
                <w:rFonts w:ascii="Calibri" w:cs="Calibri" w:eastAsia="Calibri" w:hAnsi="Calibri"/>
                <w:i/>
                <w:iCs/>
                <w:color w:val="A8C8F0"/>
                <w:sz w:val="28"/>
                <w:szCs w:val="28"/>
              </w:rPr>
              <w:t xml:space="preserve">Transforming Fragmented Automation into a Unified Engineering Operating System</w:t>
            </w:r>
          </w:p>
          <w:p>
            <w:pPr>
              <w:spacing w:after="0"/>
              <w:jc w:val="center"/>
            </w:pPr>
            <w:r>
              <w:rPr>
                <w:rFonts w:ascii="Calibri" w:cs="Calibri" w:eastAsia="Calibri" w:hAnsi="Calibri"/>
                <w:color w:val="64748B"/>
                <w:sz w:val="20"/>
                <w:szCs w:val="20"/>
              </w:rPr>
              <w:t xml:space="preserve">Version 1.0  ·  2025  ·  Platform Engineering  ·  Enterprise Architecture Board</w:t>
            </w:r>
          </w:p>
        </w:tc>
      </w:tr>
    </w:tbl>
    <w:p>
      <w:pPr>
        <w:sectPr>
          <w:pgSz w:w="12240" w:h="15840" w:orient="portrait"/>
          <w:pgMar w:top="0" w:right="0" w:bottom="0" w:left="0" w:header="708" w:footer="708" w:gutter="0"/>
          <w:pgNumType/>
          <w:docGrid w:linePitch="360"/>
        </w:sectPr>
      </w:pPr>
    </w:p>
    <w:p>
      <w:pPr>
        <w:pStyle w:val="Heading1"/>
        <w:pBdr>
          <w:bottom w:val="single" w:color="1E6FD9" w:sz="6" w:space="4"/>
        </w:pBdr>
        <w:spacing w:after="180" w:before="360"/>
      </w:pPr>
      <w:r>
        <w:rPr>
          <w:rFonts w:ascii="Calibri" w:cs="Calibri" w:eastAsia="Calibri" w:hAnsi="Calibri"/>
          <w:b/>
          <w:bCs/>
          <w:color w:val="0D1B2A"/>
          <w:sz w:val="36"/>
          <w:szCs w:val="36"/>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FD9" w:sz="1"/>
              <w:left w:val="single" w:color="1E6FD9" w:sz="1"/>
              <w:bottom w:val="single" w:color="1E6FD9" w:sz="1"/>
              <w:right w:val="single" w:color="1E6FD9" w:sz="1"/>
            </w:tcBorders>
            <w:shd w:fill="EFF6FF" w:val="clear"/>
            <w:tcMar>
              <w:top w:type="dxa" w:w="120"/>
              <w:left w:type="dxa" w:w="180"/>
              <w:bottom w:type="dxa" w:w="120"/>
              <w:right w:type="dxa" w:w="180"/>
            </w:tcMar>
          </w:tcPr>
          <w:p>
            <w:pPr>
              <w:spacing w:after="60"/>
            </w:pPr>
            <w:r>
              <w:rPr>
                <w:rFonts w:ascii="Calibri" w:cs="Calibri" w:eastAsia="Calibri" w:hAnsi="Calibri"/>
                <w:b/>
                <w:bCs/>
                <w:caps/>
                <w:color w:val="1E6FD9"/>
                <w:sz w:val="20"/>
                <w:szCs w:val="20"/>
              </w:rPr>
              <w:t xml:space="preserve">Executive Insight</w:t>
            </w:r>
          </w:p>
          <w:p>
            <w:pPr>
              <w:spacing w:after="0"/>
            </w:pPr>
            <w:r>
              <w:rPr>
                <w:rFonts w:ascii="Calibri" w:cs="Calibri" w:eastAsia="Calibri" w:hAnsi="Calibri"/>
                <w:color w:val="374151"/>
                <w:sz w:val="22"/>
                <w:szCs w:val="22"/>
              </w:rPr>
              <w:t xml:space="preserve">Our engineering organization is spending an estimated 35-45% of automation effort rebuilding identical capabilities across repositories. The Enterprise Engineering Skills Platform eliminates this duplication by establishing a centralized, versioned, governed library of reusable engineering skills — the single source of engineering truth across every team, product line, and AI consumer.</w:t>
            </w:r>
          </w:p>
        </w:tc>
      </w:tr>
    </w:tbl>
    <w:p>
      <w:pPr>
        <w:spacing w:after="200"/>
      </w:pPr>
    </w:p>
    <w:p>
      <w:pPr>
        <w:pStyle w:val="Heading3"/>
        <w:spacing w:after="80" w:before="200"/>
      </w:pPr>
      <w:r>
        <w:rPr>
          <w:rFonts w:ascii="Calibri" w:cs="Calibri" w:eastAsia="Calibri" w:hAnsi="Calibri"/>
          <w:b/>
          <w:bCs/>
          <w:color w:val="1A2F45"/>
          <w:sz w:val="24"/>
          <w:szCs w:val="24"/>
        </w:rPr>
        <w:t xml:space="preserve">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DBFE" w:sz="1"/>
              <w:left w:val="single" w:color="BFDBFE" w:sz="1"/>
              <w:bottom w:val="single" w:color="BFDBFE" w:sz="1"/>
              <w:right w:val="single" w:color="BFDBFE" w:sz="1"/>
            </w:tcBorders>
            <w:shd w:fill="EFF6FF" w:val="clear"/>
            <w:tcMar>
              <w:top w:type="dxa" w:w="120"/>
              <w:left w:type="dxa" w:w="160"/>
              <w:bottom w:type="dxa" w:w="120"/>
              <w:right w:type="dxa" w:w="160"/>
            </w:tcMar>
          </w:tcPr>
          <w:p>
            <w:pPr>
              <w:spacing w:after="40"/>
              <w:jc w:val="center"/>
            </w:pPr>
            <w:r>
              <w:rPr>
                <w:rFonts w:ascii="Calibri" w:cs="Calibri" w:eastAsia="Calibri" w:hAnsi="Calibri"/>
                <w:b/>
                <w:bCs/>
                <w:color w:val="1E6FD9"/>
                <w:sz w:val="52"/>
                <w:szCs w:val="52"/>
              </w:rPr>
              <w:t xml:space="preserve">70%</w:t>
            </w:r>
          </w:p>
          <w:p>
            <w:pPr>
              <w:spacing w:after="0"/>
              <w:jc w:val="center"/>
            </w:pPr>
            <w:r>
              <w:rPr>
                <w:rFonts w:ascii="Calibri" w:cs="Calibri" w:eastAsia="Calibri" w:hAnsi="Calibri"/>
                <w:color w:val="6B7280"/>
                <w:sz w:val="18"/>
                <w:szCs w:val="18"/>
              </w:rPr>
              <w:t xml:space="preserve">Reduction in duplicate automation effort</w:t>
            </w:r>
          </w:p>
        </w:tc>
        <w:tc>
          <w:tcPr>
            <w:tcW w:type="dxa" w:w="3120"/>
            <w:tcBorders>
              <w:top w:val="single" w:color="BFDBFE" w:sz="1"/>
              <w:left w:val="single" w:color="BFDBFE" w:sz="1"/>
              <w:bottom w:val="single" w:color="BFDBFE" w:sz="1"/>
              <w:right w:val="single" w:color="BFDBFE" w:sz="1"/>
            </w:tcBorders>
            <w:shd w:fill="EFF6FF" w:val="clear"/>
            <w:tcMar>
              <w:top w:type="dxa" w:w="120"/>
              <w:left w:type="dxa" w:w="160"/>
              <w:bottom w:type="dxa" w:w="120"/>
              <w:right w:type="dxa" w:w="160"/>
            </w:tcMar>
          </w:tcPr>
          <w:p>
            <w:pPr>
              <w:spacing w:after="40"/>
              <w:jc w:val="center"/>
            </w:pPr>
            <w:r>
              <w:rPr>
                <w:rFonts w:ascii="Calibri" w:cs="Calibri" w:eastAsia="Calibri" w:hAnsi="Calibri"/>
                <w:b/>
                <w:bCs/>
                <w:color w:val="1E6FD9"/>
                <w:sz w:val="52"/>
                <w:szCs w:val="52"/>
              </w:rPr>
              <w:t xml:space="preserve">4×</w:t>
            </w:r>
          </w:p>
          <w:p>
            <w:pPr>
              <w:spacing w:after="0"/>
              <w:jc w:val="center"/>
            </w:pPr>
            <w:r>
              <w:rPr>
                <w:rFonts w:ascii="Calibri" w:cs="Calibri" w:eastAsia="Calibri" w:hAnsi="Calibri"/>
                <w:color w:val="6B7280"/>
                <w:sz w:val="18"/>
                <w:szCs w:val="18"/>
              </w:rPr>
              <w:t xml:space="preserve">Faster repository onboarding</w:t>
            </w:r>
          </w:p>
        </w:tc>
        <w:tc>
          <w:tcPr>
            <w:tcW w:type="dxa" w:w="3120"/>
            <w:tcBorders>
              <w:top w:val="single" w:color="BFDBFE" w:sz="1"/>
              <w:left w:val="single" w:color="BFDBFE" w:sz="1"/>
              <w:bottom w:val="single" w:color="BFDBFE" w:sz="1"/>
              <w:right w:val="single" w:color="BFDBFE" w:sz="1"/>
            </w:tcBorders>
            <w:shd w:fill="EFF6FF" w:val="clear"/>
            <w:tcMar>
              <w:top w:type="dxa" w:w="120"/>
              <w:left w:type="dxa" w:w="160"/>
              <w:bottom w:type="dxa" w:w="120"/>
              <w:right w:type="dxa" w:w="160"/>
            </w:tcMar>
          </w:tcPr>
          <w:p>
            <w:pPr>
              <w:spacing w:after="40"/>
              <w:jc w:val="center"/>
            </w:pPr>
            <w:r>
              <w:rPr>
                <w:rFonts w:ascii="Calibri" w:cs="Calibri" w:eastAsia="Calibri" w:hAnsi="Calibri"/>
                <w:b/>
                <w:bCs/>
                <w:color w:val="1E6FD9"/>
                <w:sz w:val="52"/>
                <w:szCs w:val="52"/>
              </w:rPr>
              <w:t xml:space="preserve">$3.8M</w:t>
            </w:r>
          </w:p>
          <w:p>
            <w:pPr>
              <w:spacing w:after="0"/>
              <w:jc w:val="center"/>
            </w:pPr>
            <w:r>
              <w:rPr>
                <w:rFonts w:ascii="Calibri" w:cs="Calibri" w:eastAsia="Calibri" w:hAnsi="Calibri"/>
                <w:color w:val="6B7280"/>
                <w:sz w:val="18"/>
                <w:szCs w:val="18"/>
              </w:rPr>
              <w:t xml:space="preserve">Projected 3-year cost savings</w:t>
            </w:r>
          </w:p>
        </w:tc>
      </w:tr>
      <w:tr>
        <w:tc>
          <w:tcPr>
            <w:tcW w:type="dxa" w:w="3120"/>
            <w:tcBorders>
              <w:top w:val="single" w:color="BFDBFE" w:sz="1"/>
              <w:left w:val="single" w:color="BFDBFE" w:sz="1"/>
              <w:bottom w:val="single" w:color="BFDBFE" w:sz="1"/>
              <w:right w:val="single" w:color="BFDBFE" w:sz="1"/>
            </w:tcBorders>
            <w:shd w:fill="EFF6FF" w:val="clear"/>
            <w:tcMar>
              <w:top w:type="dxa" w:w="120"/>
              <w:left w:type="dxa" w:w="160"/>
              <w:bottom w:type="dxa" w:w="120"/>
              <w:right w:type="dxa" w:w="160"/>
            </w:tcMar>
          </w:tcPr>
          <w:p>
            <w:pPr>
              <w:spacing w:after="40"/>
              <w:jc w:val="center"/>
            </w:pPr>
            <w:r>
              <w:rPr>
                <w:rFonts w:ascii="Calibri" w:cs="Calibri" w:eastAsia="Calibri" w:hAnsi="Calibri"/>
                <w:b/>
                <w:bCs/>
                <w:color w:val="1E6FD9"/>
                <w:sz w:val="52"/>
                <w:szCs w:val="52"/>
              </w:rPr>
              <w:t xml:space="preserve">100%</w:t>
            </w:r>
          </w:p>
          <w:p>
            <w:pPr>
              <w:spacing w:after="0"/>
              <w:jc w:val="center"/>
            </w:pPr>
            <w:r>
              <w:rPr>
                <w:rFonts w:ascii="Calibri" w:cs="Calibri" w:eastAsia="Calibri" w:hAnsi="Calibri"/>
                <w:color w:val="6B7280"/>
                <w:sz w:val="18"/>
                <w:szCs w:val="18"/>
              </w:rPr>
              <w:t xml:space="preserve">SDLC automation coverage target</w:t>
            </w:r>
          </w:p>
        </w:tc>
        <w:tc>
          <w:tcPr>
            <w:tcW w:type="dxa" w:w="3120"/>
            <w:tcBorders>
              <w:top w:val="single" w:color="BFDBFE" w:sz="1"/>
              <w:left w:val="single" w:color="BFDBFE" w:sz="1"/>
              <w:bottom w:val="single" w:color="BFDBFE" w:sz="1"/>
              <w:right w:val="single" w:color="BFDBFE" w:sz="1"/>
            </w:tcBorders>
            <w:shd w:fill="EFF6FF" w:val="clear"/>
            <w:tcMar>
              <w:top w:type="dxa" w:w="120"/>
              <w:left w:type="dxa" w:w="160"/>
              <w:bottom w:type="dxa" w:w="120"/>
              <w:right w:type="dxa" w:w="160"/>
            </w:tcMar>
          </w:tcPr>
          <w:p>
            <w:pPr>
              <w:spacing w:after="40"/>
              <w:jc w:val="center"/>
            </w:pPr>
            <w:r>
              <w:rPr>
                <w:rFonts w:ascii="Calibri" w:cs="Calibri" w:eastAsia="Calibri" w:hAnsi="Calibri"/>
                <w:b/>
                <w:bCs/>
                <w:color w:val="1E6FD9"/>
                <w:sz w:val="52"/>
                <w:szCs w:val="52"/>
              </w:rPr>
              <w:t xml:space="preserve">1,000+</w:t>
            </w:r>
          </w:p>
          <w:p>
            <w:pPr>
              <w:spacing w:after="0"/>
              <w:jc w:val="center"/>
            </w:pPr>
            <w:r>
              <w:rPr>
                <w:rFonts w:ascii="Calibri" w:cs="Calibri" w:eastAsia="Calibri" w:hAnsi="Calibri"/>
                <w:color w:val="6B7280"/>
                <w:sz w:val="18"/>
                <w:szCs w:val="18"/>
              </w:rPr>
              <w:t xml:space="preserve">Target platform scale (repos)</w:t>
            </w:r>
          </w:p>
        </w:tc>
        <w:tc>
          <w:tcPr>
            <w:tcW w:type="dxa" w:w="3120"/>
            <w:tcBorders>
              <w:top w:val="single" w:color="BFDBFE" w:sz="1"/>
              <w:left w:val="single" w:color="BFDBFE" w:sz="1"/>
              <w:bottom w:val="single" w:color="BFDBFE" w:sz="1"/>
              <w:right w:val="single" w:color="BFDBFE" w:sz="1"/>
            </w:tcBorders>
            <w:shd w:fill="EFF6FF" w:val="clear"/>
            <w:tcMar>
              <w:top w:type="dxa" w:w="120"/>
              <w:left w:type="dxa" w:w="160"/>
              <w:bottom w:type="dxa" w:w="120"/>
              <w:right w:type="dxa" w:w="160"/>
            </w:tcMar>
          </w:tcPr>
          <w:p>
            <w:pPr>
              <w:spacing w:after="40"/>
              <w:jc w:val="center"/>
            </w:pPr>
            <w:r>
              <w:rPr>
                <w:rFonts w:ascii="Calibri" w:cs="Calibri" w:eastAsia="Calibri" w:hAnsi="Calibri"/>
                <w:b/>
                <w:bCs/>
                <w:color w:val="1E6FD9"/>
                <w:sz w:val="52"/>
                <w:szCs w:val="52"/>
              </w:rPr>
              <w:t xml:space="preserve">&lt; 2 wks</w:t>
            </w:r>
          </w:p>
          <w:p>
            <w:pPr>
              <w:spacing w:after="0"/>
              <w:jc w:val="center"/>
            </w:pPr>
            <w:r>
              <w:rPr>
                <w:rFonts w:ascii="Calibri" w:cs="Calibri" w:eastAsia="Calibri" w:hAnsi="Calibri"/>
                <w:color w:val="6B7280"/>
                <w:sz w:val="18"/>
                <w:szCs w:val="18"/>
              </w:rPr>
              <w:t xml:space="preserve">Time-to-standard for new teams</w:t>
            </w:r>
          </w:p>
        </w:tc>
      </w:tr>
    </w:tbl>
    <w:p>
      <w:pPr>
        <w:spacing w:after="160"/>
      </w:pPr>
    </w:p>
    <w:p>
      <w:pPr>
        <w:spacing w:after="120"/>
      </w:pPr>
      <w:r>
        <w:rPr>
          <w:rFonts w:ascii="Calibri" w:cs="Calibri" w:eastAsia="Calibri" w:hAnsi="Calibri"/>
          <w:color w:val="374151"/>
          <w:sz w:val="22"/>
          <w:szCs w:val="22"/>
        </w:rPr>
        <w:t xml:space="preserve">This proposal covers a four-phase journey from Test Engineering Platform through an AI Engineering Operating System, grounded in proven industry patterns from GitHub, Google, Microsoft, and ThoughtWorks.</w:t>
      </w:r>
    </w:p>
    <w:p>
      <w:pPr>
        <w:spacing w:after="0"/>
      </w:pPr>
      <w:r>
        <w:br w:type="page"/>
      </w:r>
    </w:p>
    <w:p>
      <w:pPr>
        <w:pStyle w:val="Heading1"/>
        <w:pBdr>
          <w:bottom w:val="single" w:color="1E6FD9" w:sz="6" w:space="4"/>
        </w:pBdr>
        <w:spacing w:after="180" w:before="360"/>
      </w:pPr>
      <w:r>
        <w:rPr>
          <w:rFonts w:ascii="Calibri" w:cs="Calibri" w:eastAsia="Calibri" w:hAnsi="Calibri"/>
          <w:b/>
          <w:bCs/>
          <w:color w:val="0D1B2A"/>
          <w:sz w:val="36"/>
          <w:szCs w:val="36"/>
        </w:rPr>
        <w:t xml:space="preserve">2. Current State Challenges</w:t>
      </w:r>
    </w:p>
    <w:p>
      <w:pPr>
        <w:pStyle w:val="Heading3"/>
        <w:spacing w:after="80" w:before="200"/>
      </w:pPr>
      <w:r>
        <w:rPr>
          <w:rFonts w:ascii="Calibri" w:cs="Calibri" w:eastAsia="Calibri" w:hAnsi="Calibri"/>
          <w:b/>
          <w:bCs/>
          <w:color w:val="1A2F45"/>
          <w:sz w:val="24"/>
          <w:szCs w:val="24"/>
        </w:rPr>
        <w:t xml:space="preserve">Problem: Fragmented Engineering Automation</w:t>
      </w:r>
    </w:p>
    <w:p>
      <w:pPr>
        <w:spacing w:after="120"/>
      </w:pPr>
      <w:r>
        <w:rPr>
          <w:rFonts w:ascii="Calibri" w:cs="Calibri" w:eastAsia="Calibri" w:hAnsi="Calibri"/>
          <w:color w:val="374151"/>
          <w:sz w:val="22"/>
          <w:szCs w:val="22"/>
        </w:rPr>
        <w:t xml:space="preserve">Every product team today builds and maintains its own engineering automation independently, including code scanning, test generation, regression execution, test uploads and qTest integration, security scanning, documentation generation, and architecture validation. Most of these automations are duplicated across repositories.</w:t>
      </w:r>
    </w:p>
    <w:p>
      <w:pPr>
        <w:spacing w:after="80"/>
      </w:pPr>
    </w:p>
    <w:p>
      <w:pPr>
        <w:spacing w:after="80" w:before="160"/>
      </w:pPr>
      <w:r>
        <w:rPr>
          <w:rFonts w:ascii="Calibri" w:cs="Calibri" w:eastAsia="Calibri" w:hAnsi="Calibri"/>
          <w:b/>
          <w:bCs/>
          <w:color w:val="1E6FD9"/>
          <w:sz w:val="20"/>
          <w:szCs w:val="20"/>
        </w:rPr>
        <w:t xml:space="preserve">CHALLENGE SUMMARY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1200"/>
      </w:tblGrid>
      <w:tr>
        <w:trPr>
          <w:tblHeader/>
        </w:trPr>
        <w:tc>
          <w:tcPr>
            <w:tcW w:type="dxa" w:w="200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Challenge</w:t>
            </w:r>
          </w:p>
        </w:tc>
        <w:tc>
          <w:tcPr>
            <w:tcW w:type="dxa" w:w="280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Current State</w:t>
            </w:r>
          </w:p>
        </w:tc>
        <w:tc>
          <w:tcPr>
            <w:tcW w:type="dxa" w:w="260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Business Impact</w:t>
            </w:r>
          </w:p>
        </w:tc>
        <w:tc>
          <w:tcPr>
            <w:tcW w:type="dxa" w:w="120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Severity</w:t>
            </w:r>
          </w:p>
        </w:tc>
      </w:tr>
      <w:tr>
        <w:tc>
          <w:tcPr>
            <w:tcW w:type="dxa" w:w="2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Duplicated Automation</w:t>
            </w:r>
          </w:p>
        </w:tc>
        <w:tc>
          <w:tcPr>
            <w:tcW w:type="dxa" w:w="2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Each repo builds own test, scan, upload scripts</w:t>
            </w:r>
          </w:p>
        </w:tc>
        <w:tc>
          <w:tcPr>
            <w:tcW w:type="dxa" w:w="26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35-45% wasted engineering hours</w:t>
            </w:r>
          </w:p>
        </w:tc>
        <w:tc>
          <w:tcPr>
            <w:tcW w:type="dxa" w:w="12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Critical</w:t>
            </w:r>
          </w:p>
        </w:tc>
      </w:tr>
      <w:tr>
        <w:tc>
          <w:tcPr>
            <w:tcW w:type="dxa" w:w="20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Inconsistent Practices</w:t>
            </w:r>
          </w:p>
        </w:tc>
        <w:tc>
          <w:tcPr>
            <w:tcW w:type="dxa" w:w="28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No standard for code quality, security, testing</w:t>
            </w:r>
          </w:p>
        </w:tc>
        <w:tc>
          <w:tcPr>
            <w:tcW w:type="dxa" w:w="26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Compliance risk, audit failures</w:t>
            </w:r>
          </w:p>
        </w:tc>
        <w:tc>
          <w:tcPr>
            <w:tcW w:type="dxa" w:w="12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Critical</w:t>
            </w:r>
          </w:p>
        </w:tc>
      </w:tr>
      <w:tr>
        <w:tc>
          <w:tcPr>
            <w:tcW w:type="dxa" w:w="2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Maintenance Overhead</w:t>
            </w:r>
          </w:p>
        </w:tc>
        <w:tc>
          <w:tcPr>
            <w:tcW w:type="dxa" w:w="2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N teams maintain N copies of the same tooling</w:t>
            </w:r>
          </w:p>
        </w:tc>
        <w:tc>
          <w:tcPr>
            <w:tcW w:type="dxa" w:w="26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Engineering time diverted from product</w:t>
            </w:r>
          </w:p>
        </w:tc>
        <w:tc>
          <w:tcPr>
            <w:tcW w:type="dxa" w:w="12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High</w:t>
            </w:r>
          </w:p>
        </w:tc>
      </w:tr>
      <w:tr>
        <w:tc>
          <w:tcPr>
            <w:tcW w:type="dxa" w:w="20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Slow Onboarding</w:t>
            </w:r>
          </w:p>
        </w:tc>
        <w:tc>
          <w:tcPr>
            <w:tcW w:type="dxa" w:w="28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New repos take weeks to stand up automation</w:t>
            </w:r>
          </w:p>
        </w:tc>
        <w:tc>
          <w:tcPr>
            <w:tcW w:type="dxa" w:w="26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Delayed delivery, frustrated developers</w:t>
            </w:r>
          </w:p>
        </w:tc>
        <w:tc>
          <w:tcPr>
            <w:tcW w:type="dxa" w:w="12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High</w:t>
            </w:r>
          </w:p>
        </w:tc>
      </w:tr>
      <w:tr>
        <w:tc>
          <w:tcPr>
            <w:tcW w:type="dxa" w:w="2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Governance Gap</w:t>
            </w:r>
          </w:p>
        </w:tc>
        <w:tc>
          <w:tcPr>
            <w:tcW w:type="dxa" w:w="2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No centralized visibility into engineering health</w:t>
            </w:r>
          </w:p>
        </w:tc>
        <w:tc>
          <w:tcPr>
            <w:tcW w:type="dxa" w:w="26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Executive blind spots; audit liability</w:t>
            </w:r>
          </w:p>
        </w:tc>
        <w:tc>
          <w:tcPr>
            <w:tcW w:type="dxa" w:w="12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High</w:t>
            </w:r>
          </w:p>
        </w:tc>
      </w:tr>
      <w:tr>
        <w:tc>
          <w:tcPr>
            <w:tcW w:type="dxa" w:w="20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AI Readiness</w:t>
            </w:r>
          </w:p>
        </w:tc>
        <w:tc>
          <w:tcPr>
            <w:tcW w:type="dxa" w:w="28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Copilot/Agents have no standard APIs to call</w:t>
            </w:r>
          </w:p>
        </w:tc>
        <w:tc>
          <w:tcPr>
            <w:tcW w:type="dxa" w:w="26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AI investment yields poor ROI</w:t>
            </w:r>
          </w:p>
        </w:tc>
        <w:tc>
          <w:tcPr>
            <w:tcW w:type="dxa" w:w="12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Medium</w:t>
            </w:r>
          </w:p>
        </w:tc>
      </w:tr>
    </w:tbl>
    <w:p>
      <w:pPr>
        <w:spacing w:after="160"/>
      </w:pPr>
    </w:p>
    <w:p>
      <w:pPr>
        <w:spacing w:after="0"/>
      </w:pPr>
      <w:r>
        <w:br w:type="page"/>
      </w:r>
    </w:p>
    <w:p>
      <w:pPr>
        <w:pStyle w:val="Heading1"/>
        <w:pBdr>
          <w:bottom w:val="single" w:color="1E6FD9" w:sz="6" w:space="4"/>
        </w:pBdr>
        <w:spacing w:after="180" w:before="360"/>
      </w:pPr>
      <w:r>
        <w:rPr>
          <w:rFonts w:ascii="Calibri" w:cs="Calibri" w:eastAsia="Calibri" w:hAnsi="Calibri"/>
          <w:b/>
          <w:bCs/>
          <w:color w:val="0D1B2A"/>
          <w:sz w:val="36"/>
          <w:szCs w:val="36"/>
        </w:rPr>
        <w:t xml:space="preserve">3. Strategic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FD9" w:sz="1"/>
              <w:left w:val="single" w:color="1E6FD9" w:sz="1"/>
              <w:bottom w:val="single" w:color="1E6FD9" w:sz="1"/>
              <w:right w:val="single" w:color="1E6FD9" w:sz="1"/>
            </w:tcBorders>
            <w:shd w:fill="EFF6FF" w:val="clear"/>
            <w:tcMar>
              <w:top w:type="dxa" w:w="120"/>
              <w:left w:type="dxa" w:w="180"/>
              <w:bottom w:type="dxa" w:w="120"/>
              <w:right w:type="dxa" w:w="180"/>
            </w:tcMar>
          </w:tcPr>
          <w:p>
            <w:pPr>
              <w:spacing w:after="60"/>
            </w:pPr>
            <w:r>
              <w:rPr>
                <w:rFonts w:ascii="Calibri" w:cs="Calibri" w:eastAsia="Calibri" w:hAnsi="Calibri"/>
                <w:b/>
                <w:bCs/>
                <w:caps/>
                <w:color w:val="1E6FD9"/>
                <w:sz w:val="20"/>
                <w:szCs w:val="20"/>
              </w:rPr>
              <w:t xml:space="preserve">Vision Statement</w:t>
            </w:r>
          </w:p>
          <w:p>
            <w:pPr>
              <w:spacing w:after="0"/>
            </w:pPr>
            <w:r>
              <w:rPr>
                <w:rFonts w:ascii="Calibri" w:cs="Calibri" w:eastAsia="Calibri" w:hAnsi="Calibri"/>
                <w:color w:val="374151"/>
                <w:sz w:val="22"/>
                <w:szCs w:val="22"/>
              </w:rPr>
              <w:t xml:space="preserve">Every engineering team across the organization invokes the same versioned, governed, tested skills — rather than re-implementing them. The Skills Repository becomes the engineering equivalent of an enterprise service bus: a reliable, observable, policy-enforced integration layer that every product team depends on and no single team owns alone.</w:t>
            </w:r>
          </w:p>
        </w:tc>
      </w:tr>
    </w:tbl>
    <w:p>
      <w:pPr>
        <w:spacing w:after="200"/>
      </w:pPr>
    </w:p>
    <w:p>
      <w:pPr>
        <w:pStyle w:val="Heading3"/>
        <w:spacing w:after="80" w:before="200"/>
      </w:pPr>
      <w:r>
        <w:rPr>
          <w:rFonts w:ascii="Calibri" w:cs="Calibri" w:eastAsia="Calibri" w:hAnsi="Calibri"/>
          <w:b/>
          <w:bCs/>
          <w:color w:val="1A2F45"/>
          <w:sz w:val="24"/>
          <w:szCs w:val="24"/>
        </w:rPr>
        <w:t xml:space="preserve">Core Principle: Separation of Concerns</w:t>
      </w:r>
    </w:p>
    <w:p>
      <w:pPr>
        <w:spacing w:after="120"/>
      </w:pPr>
      <w:r>
        <w:rPr>
          <w:rFonts w:ascii="Calibri" w:cs="Calibri" w:eastAsia="Calibri" w:hAnsi="Calibri"/>
          <w:color w:val="374151"/>
          <w:sz w:val="22"/>
          <w:szCs w:val="22"/>
        </w:rPr>
        <w:t xml:space="preserve">The platform enforces a clean boundary between business logic and engineering logic:</w:t>
      </w:r>
    </w:p>
    <w:p>
      <w:pPr>
        <w:pStyle w:val="ListParagraph"/>
        <w:numPr>
          <w:ilvl w:val="0"/>
          <w:numId w:val="2"/>
        </w:numPr>
        <w:spacing w:after="60"/>
      </w:pPr>
      <w:r>
        <w:rPr>
          <w:rFonts w:ascii="Calibri" w:cs="Calibri" w:eastAsia="Calibri" w:hAnsi="Calibri"/>
          <w:color w:val="374151"/>
          <w:sz w:val="22"/>
          <w:szCs w:val="22"/>
        </w:rPr>
        <w:t xml:space="preserve">Product Repository owns business logic: source code, business rules, deployment configuration</w:t>
      </w:r>
    </w:p>
    <w:p>
      <w:pPr>
        <w:pStyle w:val="ListParagraph"/>
        <w:numPr>
          <w:ilvl w:val="0"/>
          <w:numId w:val="2"/>
        </w:numPr>
        <w:spacing w:after="60"/>
      </w:pPr>
      <w:r>
        <w:rPr>
          <w:rFonts w:ascii="Calibri" w:cs="Calibri" w:eastAsia="Calibri" w:hAnsi="Calibri"/>
          <w:color w:val="374151"/>
          <w:sz w:val="22"/>
          <w:szCs w:val="22"/>
        </w:rPr>
        <w:t xml:space="preserve">Skills Repository owns engineering logic: all automation, scanning, testing, compliance, governance</w:t>
      </w:r>
    </w:p>
    <w:p>
      <w:pPr>
        <w:spacing w:after="80"/>
      </w:pPr>
    </w:p>
    <w:p>
      <w:pPr>
        <w:pStyle w:val="Heading3"/>
        <w:spacing w:after="80" w:before="200"/>
      </w:pPr>
      <w:r>
        <w:rPr>
          <w:rFonts w:ascii="Calibri" w:cs="Calibri" w:eastAsia="Calibri" w:hAnsi="Calibri"/>
          <w:b/>
          <w:bCs/>
          <w:color w:val="1A2F45"/>
          <w:sz w:val="24"/>
          <w:szCs w:val="24"/>
        </w:rPr>
        <w:t xml:space="preserve">Skills as Engineering Microservices</w:t>
      </w:r>
    </w:p>
    <w:p>
      <w:pPr>
        <w:spacing w:after="120"/>
      </w:pPr>
      <w:r>
        <w:rPr>
          <w:rFonts w:ascii="Calibri" w:cs="Calibri" w:eastAsia="Calibri" w:hAnsi="Calibri"/>
          <w:color w:val="374151"/>
          <w:sz w:val="22"/>
          <w:szCs w:val="22"/>
        </w:rPr>
        <w:t xml:space="preserve">Think of Skills as reusable engineering microservices. Every automation capability becomes a versioned API callable from GitHub Actions, GitHub Copilot, Claude Code, VS Code, MCP Servers, and any future AI consumer.</w:t>
      </w:r>
    </w:p>
    <w:p>
      <w:pPr>
        <w:spacing w:after="80"/>
      </w:pPr>
    </w:p>
    <w:p>
      <w:pPr>
        <w:spacing w:after="80" w:before="160"/>
      </w:pPr>
      <w:r>
        <w:rPr>
          <w:rFonts w:ascii="Calibri" w:cs="Calibri" w:eastAsia="Calibri" w:hAnsi="Calibri"/>
          <w:b/>
          <w:bCs/>
          <w:color w:val="1E6FD9"/>
          <w:sz w:val="20"/>
          <w:szCs w:val="20"/>
        </w:rPr>
        <w:t xml:space="preserve">CONSUMER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Consumer</w:t>
            </w:r>
          </w:p>
        </w:tc>
        <w:tc>
          <w:tcPr>
            <w:tcW w:type="dxa" w:w="420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Integration Method</w:t>
            </w:r>
          </w:p>
        </w:tc>
        <w:tc>
          <w:tcPr>
            <w:tcW w:type="dxa" w:w="256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Maturity Phase</w:t>
            </w:r>
          </w:p>
        </w:tc>
      </w:tr>
      <w:tr>
        <w:tc>
          <w:tcPr>
            <w:tcW w:type="dxa" w:w="26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GitHub Actions</w:t>
            </w:r>
          </w:p>
        </w:tc>
        <w:tc>
          <w:tcPr>
            <w:tcW w:type="dxa" w:w="42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Reusable Workflows (uses: org/engineering-skills/...)</w:t>
            </w:r>
          </w:p>
        </w:tc>
        <w:tc>
          <w:tcPr>
            <w:tcW w:type="dxa" w:w="25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Phase 1</w:t>
            </w:r>
          </w:p>
        </w:tc>
      </w:tr>
      <w:tr>
        <w:tc>
          <w:tcPr>
            <w:tcW w:type="dxa" w:w="26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GitHub Copilot</w:t>
            </w:r>
          </w:p>
        </w:tc>
        <w:tc>
          <w:tcPr>
            <w:tcW w:type="dxa" w:w="42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Agent skill invocation via @copilot directives</w:t>
            </w:r>
          </w:p>
        </w:tc>
        <w:tc>
          <w:tcPr>
            <w:tcW w:type="dxa" w:w="25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Phase 1</w:t>
            </w:r>
          </w:p>
        </w:tc>
      </w:tr>
      <w:tr>
        <w:tc>
          <w:tcPr>
            <w:tcW w:type="dxa" w:w="26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CLI</w:t>
            </w:r>
          </w:p>
        </w:tc>
        <w:tc>
          <w:tcPr>
            <w:tcW w:type="dxa" w:w="42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npx engineering-skills &lt;skill&gt;</w:t>
            </w:r>
          </w:p>
        </w:tc>
        <w:tc>
          <w:tcPr>
            <w:tcW w:type="dxa" w:w="25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Phase 1</w:t>
            </w:r>
          </w:p>
        </w:tc>
      </w:tr>
      <w:tr>
        <w:tc>
          <w:tcPr>
            <w:tcW w:type="dxa" w:w="26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REST API</w:t>
            </w:r>
          </w:p>
        </w:tc>
        <w:tc>
          <w:tcPr>
            <w:tcW w:type="dxa" w:w="42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HTTP endpoint per skill with OIDC auth</w:t>
            </w:r>
          </w:p>
        </w:tc>
        <w:tc>
          <w:tcPr>
            <w:tcW w:type="dxa" w:w="25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Phase 2</w:t>
            </w:r>
          </w:p>
        </w:tc>
      </w:tr>
      <w:tr>
        <w:tc>
          <w:tcPr>
            <w:tcW w:type="dxa" w:w="26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MCP Server</w:t>
            </w:r>
          </w:p>
        </w:tc>
        <w:tc>
          <w:tcPr>
            <w:tcW w:type="dxa" w:w="42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Tool protocol for AI agents</w:t>
            </w:r>
          </w:p>
        </w:tc>
        <w:tc>
          <w:tcPr>
            <w:tcW w:type="dxa" w:w="25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Phase 2</w:t>
            </w:r>
          </w:p>
        </w:tc>
      </w:tr>
      <w:tr>
        <w:tc>
          <w:tcPr>
            <w:tcW w:type="dxa" w:w="26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Claude Code / Cursor / Windsurf</w:t>
            </w:r>
          </w:p>
        </w:tc>
        <w:tc>
          <w:tcPr>
            <w:tcW w:type="dxa" w:w="42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MCP + CLI integration</w:t>
            </w:r>
          </w:p>
        </w:tc>
        <w:tc>
          <w:tcPr>
            <w:tcW w:type="dxa" w:w="25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Phase 2</w:t>
            </w:r>
          </w:p>
        </w:tc>
      </w:tr>
      <w:tr>
        <w:tc>
          <w:tcPr>
            <w:tcW w:type="dxa" w:w="26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Internal Developer Portal</w:t>
            </w:r>
          </w:p>
        </w:tc>
        <w:tc>
          <w:tcPr>
            <w:tcW w:type="dxa" w:w="42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Backstage plugin</w:t>
            </w:r>
          </w:p>
        </w:tc>
        <w:tc>
          <w:tcPr>
            <w:tcW w:type="dxa" w:w="25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Phase 3</w:t>
            </w:r>
          </w:p>
        </w:tc>
      </w:tr>
      <w:tr>
        <w:tc>
          <w:tcPr>
            <w:tcW w:type="dxa" w:w="26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AI Agents</w:t>
            </w:r>
          </w:p>
        </w:tc>
        <w:tc>
          <w:tcPr>
            <w:tcW w:type="dxa" w:w="42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Agent-callable tool API</w:t>
            </w:r>
          </w:p>
        </w:tc>
        <w:tc>
          <w:tcPr>
            <w:tcW w:type="dxa" w:w="25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Phase 3</w:t>
            </w:r>
          </w:p>
        </w:tc>
      </w:tr>
    </w:tbl>
    <w:p>
      <w:pPr>
        <w:spacing w:after="160"/>
      </w:pPr>
    </w:p>
    <w:p>
      <w:pPr>
        <w:spacing w:after="0"/>
      </w:pPr>
      <w:r>
        <w:br w:type="page"/>
      </w:r>
    </w:p>
    <w:p>
      <w:pPr>
        <w:pStyle w:val="Heading1"/>
        <w:pBdr>
          <w:bottom w:val="single" w:color="1E6FD9" w:sz="6" w:space="4"/>
        </w:pBdr>
        <w:spacing w:after="180" w:before="360"/>
      </w:pPr>
      <w:r>
        <w:rPr>
          <w:rFonts w:ascii="Calibri" w:cs="Calibri" w:eastAsia="Calibri" w:hAnsi="Calibri"/>
          <w:b/>
          <w:bCs/>
          <w:color w:val="0D1B2A"/>
          <w:sz w:val="36"/>
          <w:szCs w:val="36"/>
        </w:rPr>
        <w:t xml:space="preserve">4. Reference Architecture</w:t>
      </w:r>
    </w:p>
    <w:p>
      <w:pPr>
        <w:pStyle w:val="Heading3"/>
        <w:spacing w:after="80" w:before="200"/>
      </w:pPr>
      <w:r>
        <w:rPr>
          <w:rFonts w:ascii="Calibri" w:cs="Calibri" w:eastAsia="Calibri" w:hAnsi="Calibri"/>
          <w:b/>
          <w:bCs/>
          <w:color w:val="1A2F45"/>
          <w:sz w:val="24"/>
          <w:szCs w:val="24"/>
        </w:rPr>
        <w:t xml:space="preserve">Repository Architecture</w:t>
      </w:r>
    </w:p>
    <w:p>
      <w:pPr>
        <w:spacing w:after="120"/>
      </w:pPr>
      <w:r>
        <w:rPr>
          <w:rFonts w:ascii="Calibri" w:cs="Calibri" w:eastAsia="Calibri" w:hAnsi="Calibri"/>
          <w:color w:val="374151"/>
          <w:sz w:val="22"/>
          <w:szCs w:val="22"/>
        </w:rPr>
        <w:t xml:space="preserve">The platform enforces a strict two-repository model: product repositories contain only business logic and workflow invocations; the central skills repository contains all engineering automation.</w:t>
      </w:r>
    </w:p>
    <w:p>
      <w:pPr>
        <w:spacing w:after="80"/>
      </w:pPr>
    </w:p>
    <w:p>
      <w:pPr>
        <w:spacing w:after="80" w:before="160"/>
      </w:pPr>
      <w:r>
        <w:rPr>
          <w:rFonts w:ascii="Calibri" w:cs="Calibri" w:eastAsia="Calibri" w:hAnsi="Calibri"/>
          <w:b/>
          <w:bCs/>
          <w:color w:val="1E6FD9"/>
          <w:sz w:val="20"/>
          <w:szCs w:val="20"/>
        </w:rPr>
        <w:t xml:space="preserve">REPOSITORY STRUCTURE — CENTRAL SKILLS REPOSITORY</w:t>
      </w:r>
    </w:p>
    <w:p>
      <w:pPr>
        <w:shd w:fill="F1F5F9" w:val="clear"/>
        <w:spacing w:after="0" w:before="0"/>
        <w:ind w:left="360"/>
      </w:pPr>
      <w:r>
        <w:rPr>
          <w:rFonts w:ascii="Courier New" w:cs="Courier New" w:eastAsia="Courier New" w:hAnsi="Courier New"/>
          <w:color w:val="1E3A5F"/>
          <w:sz w:val="18"/>
          <w:szCs w:val="18"/>
        </w:rPr>
        <w:t xml:space="preserve">org/engineering-skills/</w:t>
      </w:r>
    </w:p>
    <w:p>
      <w:pPr>
        <w:shd w:fill="F1F5F9" w:val="clear"/>
        <w:spacing w:after="0" w:before="0"/>
        <w:ind w:left="360"/>
      </w:pPr>
      <w:r>
        <w:rPr>
          <w:rFonts w:ascii="Courier New" w:cs="Courier New" w:eastAsia="Courier New" w:hAnsi="Courier New"/>
          <w:color w:val="1E3A5F"/>
          <w:sz w:val="18"/>
          <w:szCs w:val="18"/>
        </w:rPr>
        <w:t xml:space="preserve">├── skills/</w:t>
      </w:r>
    </w:p>
    <w:p>
      <w:pPr>
        <w:shd w:fill="F1F5F9" w:val="clear"/>
        <w:spacing w:after="0" w:before="0"/>
        <w:ind w:left="360"/>
      </w:pPr>
      <w:r>
        <w:rPr>
          <w:rFonts w:ascii="Courier New" w:cs="Courier New" w:eastAsia="Courier New" w:hAnsi="Courier New"/>
          <w:color w:val="1E3A5F"/>
          <w:sz w:val="18"/>
          <w:szCs w:val="18"/>
        </w:rPr>
        <w:t xml:space="preserve">│   ├── code-scan/</w:t>
      </w:r>
    </w:p>
    <w:p>
      <w:pPr>
        <w:shd w:fill="F1F5F9" w:val="clear"/>
        <w:spacing w:after="0" w:before="0"/>
        <w:ind w:left="360"/>
      </w:pPr>
      <w:r>
        <w:rPr>
          <w:rFonts w:ascii="Courier New" w:cs="Courier New" w:eastAsia="Courier New" w:hAnsi="Courier New"/>
          <w:color w:val="1E3A5F"/>
          <w:sz w:val="18"/>
          <w:szCs w:val="18"/>
        </w:rPr>
        <w:t xml:space="preserve">│   │   ├── SKILL.md          ← Machine-readable contract</w:t>
      </w:r>
    </w:p>
    <w:p>
      <w:pPr>
        <w:shd w:fill="F1F5F9" w:val="clear"/>
        <w:spacing w:after="0" w:before="0"/>
        <w:ind w:left="360"/>
      </w:pPr>
      <w:r>
        <w:rPr>
          <w:rFonts w:ascii="Courier New" w:cs="Courier New" w:eastAsia="Courier New" w:hAnsi="Courier New"/>
          <w:color w:val="1E3A5F"/>
          <w:sz w:val="18"/>
          <w:szCs w:val="18"/>
        </w:rPr>
        <w:t xml:space="preserve">│   │   ├── scan.py           ← Execution logic</w:t>
      </w:r>
    </w:p>
    <w:p>
      <w:pPr>
        <w:shd w:fill="F1F5F9" w:val="clear"/>
        <w:spacing w:after="0" w:before="0"/>
        <w:ind w:left="360"/>
      </w:pPr>
      <w:r>
        <w:rPr>
          <w:rFonts w:ascii="Courier New" w:cs="Courier New" w:eastAsia="Courier New" w:hAnsi="Courier New"/>
          <w:color w:val="1E3A5F"/>
          <w:sz w:val="18"/>
          <w:szCs w:val="18"/>
        </w:rPr>
        <w:t xml:space="preserve">│   │   ├── prompts/          ← AI analysis prompts</w:t>
      </w:r>
    </w:p>
    <w:p>
      <w:pPr>
        <w:shd w:fill="F1F5F9" w:val="clear"/>
        <w:spacing w:after="0" w:before="0"/>
        <w:ind w:left="360"/>
      </w:pPr>
      <w:r>
        <w:rPr>
          <w:rFonts w:ascii="Courier New" w:cs="Courier New" w:eastAsia="Courier New" w:hAnsi="Courier New"/>
          <w:color w:val="1E3A5F"/>
          <w:sz w:val="18"/>
          <w:szCs w:val="18"/>
        </w:rPr>
        <w:t xml:space="preserve">│   │   ├── templates/        ← Output report templates</w:t>
      </w:r>
    </w:p>
    <w:p>
      <w:pPr>
        <w:shd w:fill="F1F5F9" w:val="clear"/>
        <w:spacing w:after="0" w:before="0"/>
        <w:ind w:left="360"/>
      </w:pPr>
      <w:r>
        <w:rPr>
          <w:rFonts w:ascii="Courier New" w:cs="Courier New" w:eastAsia="Courier New" w:hAnsi="Courier New"/>
          <w:color w:val="1E3A5F"/>
          <w:sz w:val="18"/>
          <w:szCs w:val="18"/>
        </w:rPr>
        <w:t xml:space="preserve">│   │   └── tests/            ← Unit + integration tests</w:t>
      </w:r>
    </w:p>
    <w:p>
      <w:pPr>
        <w:shd w:fill="F1F5F9" w:val="clear"/>
        <w:spacing w:after="0" w:before="0"/>
        <w:ind w:left="360"/>
      </w:pPr>
      <w:r>
        <w:rPr>
          <w:rFonts w:ascii="Courier New" w:cs="Courier New" w:eastAsia="Courier New" w:hAnsi="Courier New"/>
          <w:color w:val="1E3A5F"/>
          <w:sz w:val="18"/>
          <w:szCs w:val="18"/>
        </w:rPr>
        <w:t xml:space="preserve">│   ├── test-generation/</w:t>
      </w:r>
    </w:p>
    <w:p>
      <w:pPr>
        <w:shd w:fill="F1F5F9" w:val="clear"/>
        <w:spacing w:after="0" w:before="0"/>
        <w:ind w:left="360"/>
      </w:pPr>
      <w:r>
        <w:rPr>
          <w:rFonts w:ascii="Courier New" w:cs="Courier New" w:eastAsia="Courier New" w:hAnsi="Courier New"/>
          <w:color w:val="1E3A5F"/>
          <w:sz w:val="18"/>
          <w:szCs w:val="18"/>
        </w:rPr>
        <w:t xml:space="preserve">│   ├── regression/</w:t>
      </w:r>
    </w:p>
    <w:p>
      <w:pPr>
        <w:shd w:fill="F1F5F9" w:val="clear"/>
        <w:spacing w:after="0" w:before="0"/>
        <w:ind w:left="360"/>
      </w:pPr>
      <w:r>
        <w:rPr>
          <w:rFonts w:ascii="Courier New" w:cs="Courier New" w:eastAsia="Courier New" w:hAnsi="Courier New"/>
          <w:color w:val="1E3A5F"/>
          <w:sz w:val="18"/>
          <w:szCs w:val="18"/>
        </w:rPr>
        <w:t xml:space="preserve">│   ├── qtest-upload/</w:t>
      </w:r>
    </w:p>
    <w:p>
      <w:pPr>
        <w:shd w:fill="F1F5F9" w:val="clear"/>
        <w:spacing w:after="0" w:before="0"/>
        <w:ind w:left="360"/>
      </w:pPr>
      <w:r>
        <w:rPr>
          <w:rFonts w:ascii="Courier New" w:cs="Courier New" w:eastAsia="Courier New" w:hAnsi="Courier New"/>
          <w:color w:val="1E3A5F"/>
          <w:sz w:val="18"/>
          <w:szCs w:val="18"/>
        </w:rPr>
        <w:t xml:space="preserve">│   ├── security-review/</w:t>
      </w:r>
    </w:p>
    <w:p>
      <w:pPr>
        <w:shd w:fill="F1F5F9" w:val="clear"/>
        <w:spacing w:after="0" w:before="0"/>
        <w:ind w:left="360"/>
      </w:pPr>
      <w:r>
        <w:rPr>
          <w:rFonts w:ascii="Courier New" w:cs="Courier New" w:eastAsia="Courier New" w:hAnsi="Courier New"/>
          <w:color w:val="1E3A5F"/>
          <w:sz w:val="18"/>
          <w:szCs w:val="18"/>
        </w:rPr>
        <w:t xml:space="preserve">│   ├── architecture-review/</w:t>
      </w:r>
    </w:p>
    <w:p>
      <w:pPr>
        <w:shd w:fill="F1F5F9" w:val="clear"/>
        <w:spacing w:after="0" w:before="0"/>
        <w:ind w:left="360"/>
      </w:pPr>
      <w:r>
        <w:rPr>
          <w:rFonts w:ascii="Courier New" w:cs="Courier New" w:eastAsia="Courier New" w:hAnsi="Courier New"/>
          <w:color w:val="1E3A5F"/>
          <w:sz w:val="18"/>
          <w:szCs w:val="18"/>
        </w:rPr>
        <w:t xml:space="preserve">│   └── release-readiness/</w:t>
      </w:r>
    </w:p>
    <w:p>
      <w:pPr>
        <w:shd w:fill="F1F5F9" w:val="clear"/>
        <w:spacing w:after="0" w:before="0"/>
        <w:ind w:left="360"/>
      </w:pPr>
      <w:r>
        <w:rPr>
          <w:rFonts w:ascii="Courier New" w:cs="Courier New" w:eastAsia="Courier New" w:hAnsi="Courier New"/>
          <w:color w:val="1E3A5F"/>
          <w:sz w:val="18"/>
          <w:szCs w:val="18"/>
        </w:rPr>
        <w:t xml:space="preserve">├── .github/workflows/        ← Reusable GitHub Actions</w:t>
      </w:r>
    </w:p>
    <w:p>
      <w:pPr>
        <w:shd w:fill="F1F5F9" w:val="clear"/>
        <w:spacing w:after="0" w:before="0"/>
        <w:ind w:left="360"/>
      </w:pPr>
      <w:r>
        <w:rPr>
          <w:rFonts w:ascii="Courier New" w:cs="Courier New" w:eastAsia="Courier New" w:hAnsi="Courier New"/>
          <w:color w:val="1E3A5F"/>
          <w:sz w:val="18"/>
          <w:szCs w:val="18"/>
        </w:rPr>
        <w:t xml:space="preserve">├── docs/</w:t>
      </w:r>
    </w:p>
    <w:p>
      <w:pPr>
        <w:shd w:fill="F1F5F9" w:val="clear"/>
        <w:spacing w:after="0" w:before="0"/>
        <w:ind w:left="360"/>
      </w:pPr>
      <w:r>
        <w:rPr>
          <w:rFonts w:ascii="Courier New" w:cs="Courier New" w:eastAsia="Courier New" w:hAnsi="Courier New"/>
          <w:color w:val="1E3A5F"/>
          <w:sz w:val="18"/>
          <w:szCs w:val="18"/>
        </w:rPr>
        <w:t xml:space="preserve">└── tests/</w:t>
      </w:r>
    </w:p>
    <w:p>
      <w:pPr>
        <w:spacing w:after="200"/>
      </w:pPr>
    </w:p>
    <w:p>
      <w:pPr>
        <w:spacing w:after="80" w:before="160"/>
      </w:pPr>
      <w:r>
        <w:rPr>
          <w:rFonts w:ascii="Calibri" w:cs="Calibri" w:eastAsia="Calibri" w:hAnsi="Calibri"/>
          <w:b/>
          <w:bCs/>
          <w:color w:val="1E6FD9"/>
          <w:sz w:val="20"/>
          <w:szCs w:val="20"/>
        </w:rPr>
        <w:t xml:space="preserve">SKILL COMPONENT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Component</w:t>
            </w:r>
          </w:p>
        </w:tc>
        <w:tc>
          <w:tcPr>
            <w:tcW w:type="dxa" w:w="648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Purpose</w:t>
            </w:r>
          </w:p>
        </w:tc>
      </w:tr>
      <w:tr>
        <w:tc>
          <w:tcPr>
            <w:tcW w:type="dxa" w:w="28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SKILL.md</w:t>
            </w:r>
          </w:p>
        </w:tc>
        <w:tc>
          <w:tcPr>
            <w:tcW w:type="dxa" w:w="64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Machine-readable contract: inputs, outputs, SLA, version</w:t>
            </w:r>
          </w:p>
        </w:tc>
      </w:tr>
      <w:tr>
        <w:tc>
          <w:tcPr>
            <w:tcW w:type="dxa" w:w="288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Python / Shell scripts</w:t>
            </w:r>
          </w:p>
        </w:tc>
        <w:tc>
          <w:tcPr>
            <w:tcW w:type="dxa" w:w="648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Execution logic — the core implementation</w:t>
            </w:r>
          </w:p>
        </w:tc>
      </w:tr>
      <w:tr>
        <w:tc>
          <w:tcPr>
            <w:tcW w:type="dxa" w:w="28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Prompt files</w:t>
            </w:r>
          </w:p>
        </w:tc>
        <w:tc>
          <w:tcPr>
            <w:tcW w:type="dxa" w:w="64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AI-powered analysis prompts (for LLM-backed skills)</w:t>
            </w:r>
          </w:p>
        </w:tc>
      </w:tr>
      <w:tr>
        <w:tc>
          <w:tcPr>
            <w:tcW w:type="dxa" w:w="288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GitHub Actions workflow</w:t>
            </w:r>
          </w:p>
        </w:tc>
        <w:tc>
          <w:tcPr>
            <w:tcW w:type="dxa" w:w="648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Reusable .yml invocation pattern</w:t>
            </w:r>
          </w:p>
        </w:tc>
      </w:tr>
      <w:tr>
        <w:tc>
          <w:tcPr>
            <w:tcW w:type="dxa" w:w="28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Templates</w:t>
            </w:r>
          </w:p>
        </w:tc>
        <w:tc>
          <w:tcPr>
            <w:tcW w:type="dxa" w:w="64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Output report templates (Jinja2 / Mustache)</w:t>
            </w:r>
          </w:p>
        </w:tc>
      </w:tr>
      <w:tr>
        <w:tc>
          <w:tcPr>
            <w:tcW w:type="dxa" w:w="288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Tests</w:t>
            </w:r>
          </w:p>
        </w:tc>
        <w:tc>
          <w:tcPr>
            <w:tcW w:type="dxa" w:w="648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Unit + integration test suite (80% coverage minimum)</w:t>
            </w:r>
          </w:p>
        </w:tc>
      </w:tr>
      <w:tr>
        <w:tc>
          <w:tcPr>
            <w:tcW w:type="dxa" w:w="28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Documentation</w:t>
            </w:r>
          </w:p>
        </w:tc>
        <w:tc>
          <w:tcPr>
            <w:tcW w:type="dxa" w:w="64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Usage guide, examples, changelog</w:t>
            </w:r>
          </w:p>
        </w:tc>
      </w:tr>
    </w:tbl>
    <w:p>
      <w:pPr>
        <w:spacing w:after="160"/>
      </w:pPr>
    </w:p>
    <w:p>
      <w:pPr>
        <w:spacing w:after="0"/>
      </w:pPr>
      <w:r>
        <w:br w:type="page"/>
      </w:r>
    </w:p>
    <w:p>
      <w:pPr>
        <w:pStyle w:val="Heading1"/>
        <w:pBdr>
          <w:bottom w:val="single" w:color="1E6FD9" w:sz="6" w:space="4"/>
        </w:pBdr>
        <w:spacing w:after="180" w:before="360"/>
      </w:pPr>
      <w:r>
        <w:rPr>
          <w:rFonts w:ascii="Calibri" w:cs="Calibri" w:eastAsia="Calibri" w:hAnsi="Calibri"/>
          <w:b/>
          <w:bCs/>
          <w:color w:val="0D1B2A"/>
          <w:sz w:val="36"/>
          <w:szCs w:val="36"/>
        </w:rPr>
        <w:t xml:space="preserve">5. Phase 1 — Enterprise Test Engineering Platform</w:t>
      </w:r>
    </w:p>
    <w:p>
      <w:pPr>
        <w:spacing w:after="120"/>
      </w:pPr>
      <w:r>
        <w:rPr>
          <w:rFonts w:ascii="Calibri" w:cs="Calibri" w:eastAsia="Calibri" w:hAnsi="Calibri"/>
          <w:color w:val="374151"/>
          <w:sz w:val="22"/>
          <w:szCs w:val="22"/>
        </w:rPr>
        <w:t xml:space="preserve">Phase 1 establishes the foundation: a centralized set of test engineering skills invoked by every product repository via GitHub Actions. This delivers immediate value — eliminating test automation duplication and establishing a single pipeline from code commit to qTest.</w:t>
      </w:r>
    </w:p>
    <w:p>
      <w:pPr>
        <w:spacing w:after="80"/>
      </w:pPr>
    </w:p>
    <w:p>
      <w:pPr>
        <w:spacing w:after="80" w:before="160"/>
      </w:pPr>
      <w:r>
        <w:rPr>
          <w:rFonts w:ascii="Calibri" w:cs="Calibri" w:eastAsia="Calibri" w:hAnsi="Calibri"/>
          <w:b/>
          <w:bCs/>
          <w:color w:val="1E6FD9"/>
          <w:sz w:val="20"/>
          <w:szCs w:val="20"/>
        </w:rPr>
        <w:t xml:space="preserve">PHASE 1 SKILL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Skill</w:t>
            </w:r>
          </w:p>
        </w:tc>
        <w:tc>
          <w:tcPr>
            <w:tcW w:type="dxa" w:w="400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Purpose</w:t>
            </w:r>
          </w:p>
        </w:tc>
        <w:tc>
          <w:tcPr>
            <w:tcW w:type="dxa" w:w="316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Invocation</w:t>
            </w:r>
          </w:p>
        </w:tc>
      </w:tr>
      <w:tr>
        <w:tc>
          <w:tcPr>
            <w:tcW w:type="dxa" w:w="22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code-scan</w:t>
            </w:r>
          </w:p>
        </w:tc>
        <w:tc>
          <w:tcPr>
            <w:tcW w:type="dxa" w:w="4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Static analysis, linting, style enforcement</w:t>
            </w:r>
          </w:p>
        </w:tc>
        <w:tc>
          <w:tcPr>
            <w:tcW w:type="dxa" w:w="31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GitHub Actions, CLI</w:t>
            </w:r>
          </w:p>
        </w:tc>
      </w:tr>
      <w:tr>
        <w:tc>
          <w:tcPr>
            <w:tcW w:type="dxa" w:w="22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test-generation</w:t>
            </w:r>
          </w:p>
        </w:tc>
        <w:tc>
          <w:tcPr>
            <w:tcW w:type="dxa" w:w="40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AI-powered test case generation from source</w:t>
            </w:r>
          </w:p>
        </w:tc>
        <w:tc>
          <w:tcPr>
            <w:tcW w:type="dxa" w:w="31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Copilot, Actions, CLI</w:t>
            </w:r>
          </w:p>
        </w:tc>
      </w:tr>
      <w:tr>
        <w:tc>
          <w:tcPr>
            <w:tcW w:type="dxa" w:w="22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test-validation</w:t>
            </w:r>
          </w:p>
        </w:tc>
        <w:tc>
          <w:tcPr>
            <w:tcW w:type="dxa" w:w="4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Validate generated test quality and coverage</w:t>
            </w:r>
          </w:p>
        </w:tc>
        <w:tc>
          <w:tcPr>
            <w:tcW w:type="dxa" w:w="31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GitHub Actions</w:t>
            </w:r>
          </w:p>
        </w:tc>
      </w:tr>
      <w:tr>
        <w:tc>
          <w:tcPr>
            <w:tcW w:type="dxa" w:w="22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regression-execution</w:t>
            </w:r>
          </w:p>
        </w:tc>
        <w:tc>
          <w:tcPr>
            <w:tcW w:type="dxa" w:w="40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Execute full regression suite with parallelism</w:t>
            </w:r>
          </w:p>
        </w:tc>
        <w:tc>
          <w:tcPr>
            <w:tcW w:type="dxa" w:w="31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GitHub Actions, CLI</w:t>
            </w:r>
          </w:p>
        </w:tc>
      </w:tr>
      <w:tr>
        <w:tc>
          <w:tcPr>
            <w:tcW w:type="dxa" w:w="22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qtest-upload</w:t>
            </w:r>
          </w:p>
        </w:tc>
        <w:tc>
          <w:tcPr>
            <w:tcW w:type="dxa" w:w="4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Upload test results to qTest platform</w:t>
            </w:r>
          </w:p>
        </w:tc>
        <w:tc>
          <w:tcPr>
            <w:tcW w:type="dxa" w:w="31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GitHub Actions</w:t>
            </w:r>
          </w:p>
        </w:tc>
      </w:tr>
      <w:tr>
        <w:tc>
          <w:tcPr>
            <w:tcW w:type="dxa" w:w="22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reporting</w:t>
            </w:r>
          </w:p>
        </w:tc>
        <w:tc>
          <w:tcPr>
            <w:tcW w:type="dxa" w:w="40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Generate HTML/JSON test reports with trends</w:t>
            </w:r>
          </w:p>
        </w:tc>
        <w:tc>
          <w:tcPr>
            <w:tcW w:type="dxa" w:w="31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GitHub Actions</w:t>
            </w:r>
          </w:p>
        </w:tc>
      </w:tr>
      <w:tr>
        <w:tc>
          <w:tcPr>
            <w:tcW w:type="dxa" w:w="22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github-checks</w:t>
            </w:r>
          </w:p>
        </w:tc>
        <w:tc>
          <w:tcPr>
            <w:tcW w:type="dxa" w:w="4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Publish results to GitHub Checks API on PRs</w:t>
            </w:r>
          </w:p>
        </w:tc>
        <w:tc>
          <w:tcPr>
            <w:tcW w:type="dxa" w:w="31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GitHub Actions</w:t>
            </w:r>
          </w:p>
        </w:tc>
      </w:tr>
    </w:tbl>
    <w:p>
      <w:pPr>
        <w:spacing w:after="200"/>
      </w:pPr>
    </w:p>
    <w:p>
      <w:pPr>
        <w:spacing w:after="80" w:before="160"/>
      </w:pPr>
      <w:r>
        <w:rPr>
          <w:rFonts w:ascii="Calibri" w:cs="Calibri" w:eastAsia="Calibri" w:hAnsi="Calibri"/>
          <w:b/>
          <w:bCs/>
          <w:color w:val="1E6FD9"/>
          <w:sz w:val="20"/>
          <w:szCs w:val="20"/>
        </w:rPr>
        <w:t xml:space="preserve">GITHUB ACTIONS INTEGRATION PATTERN</w:t>
      </w:r>
    </w:p>
    <w:p>
      <w:pPr>
        <w:shd w:fill="F1F5F9" w:val="clear"/>
        <w:spacing w:after="0" w:before="0"/>
        <w:ind w:left="360"/>
      </w:pPr>
      <w:r>
        <w:rPr>
          <w:rFonts w:ascii="Courier New" w:cs="Courier New" w:eastAsia="Courier New" w:hAnsi="Courier New"/>
          <w:color w:val="1E3A5F"/>
          <w:sz w:val="18"/>
          <w:szCs w:val="18"/>
        </w:rPr>
        <w:t xml:space="preserve"># .github/workflows/ci.yml (product repository)</w:t>
      </w:r>
    </w:p>
    <w:p>
      <w:pPr>
        <w:shd w:fill="F1F5F9" w:val="clear"/>
        <w:spacing w:after="0" w:before="0"/>
        <w:ind w:left="360"/>
      </w:pPr>
      <w:r>
        <w:rPr>
          <w:rFonts w:ascii="Courier New" w:cs="Courier New" w:eastAsia="Courier New" w:hAnsi="Courier New"/>
          <w:color w:val="1E3A5F"/>
          <w:sz w:val="18"/>
          <w:szCs w:val="18"/>
        </w:rPr>
        <w:t xml:space="preserve">name: CI Pipeline</w:t>
      </w:r>
    </w:p>
    <w:p>
      <w:pPr>
        <w:shd w:fill="F1F5F9" w:val="clear"/>
        <w:spacing w:after="0" w:before="0"/>
        <w:ind w:left="360"/>
      </w:pPr>
      <w:r>
        <w:rPr>
          <w:rFonts w:ascii="Courier New" w:cs="Courier New" w:eastAsia="Courier New" w:hAnsi="Courier New"/>
          <w:color w:val="1E3A5F"/>
          <w:sz w:val="18"/>
          <w:szCs w:val="18"/>
        </w:rPr>
        <w:t xml:space="preserve">on: [push, pull_request]</w:t>
      </w:r>
    </w:p>
    <w:p>
      <w:pPr>
        <w:shd w:fill="F1F5F9" w:val="clear"/>
        <w:spacing w:after="0" w:before="0"/>
        <w:ind w:left="360"/>
      </w:pPr>
      <w:r>
        <w:rPr>
          <w:rFonts w:ascii="Courier New" w:cs="Courier New" w:eastAsia="Courier New" w:hAnsi="Courier New"/>
          <w:color w:val="1E3A5F"/>
          <w:sz w:val="18"/>
          <w:szCs w:val="18"/>
        </w:rPr>
        <w:t xml:space="preserve"/>
      </w:r>
    </w:p>
    <w:p>
      <w:pPr>
        <w:shd w:fill="F1F5F9" w:val="clear"/>
        <w:spacing w:after="0" w:before="0"/>
        <w:ind w:left="360"/>
      </w:pPr>
      <w:r>
        <w:rPr>
          <w:rFonts w:ascii="Courier New" w:cs="Courier New" w:eastAsia="Courier New" w:hAnsi="Courier New"/>
          <w:color w:val="1E3A5F"/>
          <w:sz w:val="18"/>
          <w:szCs w:val="18"/>
        </w:rPr>
        <w:t xml:space="preserve">jobs:</w:t>
      </w:r>
    </w:p>
    <w:p>
      <w:pPr>
        <w:shd w:fill="F1F5F9" w:val="clear"/>
        <w:spacing w:after="0" w:before="0"/>
        <w:ind w:left="360"/>
      </w:pPr>
      <w:r>
        <w:rPr>
          <w:rFonts w:ascii="Courier New" w:cs="Courier New" w:eastAsia="Courier New" w:hAnsi="Courier New"/>
          <w:color w:val="1E3A5F"/>
          <w:sz w:val="18"/>
          <w:szCs w:val="18"/>
        </w:rPr>
        <w:t xml:space="preserve">  code-scan:</w:t>
      </w:r>
    </w:p>
    <w:p>
      <w:pPr>
        <w:shd w:fill="F1F5F9" w:val="clear"/>
        <w:spacing w:after="0" w:before="0"/>
        <w:ind w:left="360"/>
      </w:pPr>
      <w:r>
        <w:rPr>
          <w:rFonts w:ascii="Courier New" w:cs="Courier New" w:eastAsia="Courier New" w:hAnsi="Courier New"/>
          <w:color w:val="1E3A5F"/>
          <w:sz w:val="18"/>
          <w:szCs w:val="18"/>
        </w:rPr>
        <w:t xml:space="preserve">    uses: org/engineering-skills/.github/workflows/code-scan.yml@v2</w:t>
      </w:r>
    </w:p>
    <w:p>
      <w:pPr>
        <w:shd w:fill="F1F5F9" w:val="clear"/>
        <w:spacing w:after="0" w:before="0"/>
        <w:ind w:left="360"/>
      </w:pPr>
      <w:r>
        <w:rPr>
          <w:rFonts w:ascii="Courier New" w:cs="Courier New" w:eastAsia="Courier New" w:hAnsi="Courier New"/>
          <w:color w:val="1E3A5F"/>
          <w:sz w:val="18"/>
          <w:szCs w:val="18"/>
        </w:rPr>
        <w:t xml:space="preserve">    with:</w:t>
      </w:r>
    </w:p>
    <w:p>
      <w:pPr>
        <w:shd w:fill="F1F5F9" w:val="clear"/>
        <w:spacing w:after="0" w:before="0"/>
        <w:ind w:left="360"/>
      </w:pPr>
      <w:r>
        <w:rPr>
          <w:rFonts w:ascii="Courier New" w:cs="Courier New" w:eastAsia="Courier New" w:hAnsi="Courier New"/>
          <w:color w:val="1E3A5F"/>
          <w:sz w:val="18"/>
          <w:szCs w:val="18"/>
        </w:rPr>
        <w:t xml:space="preserve">      language: python</w:t>
      </w:r>
    </w:p>
    <w:p>
      <w:pPr>
        <w:shd w:fill="F1F5F9" w:val="clear"/>
        <w:spacing w:after="0" w:before="0"/>
        <w:ind w:left="360"/>
      </w:pPr>
      <w:r>
        <w:rPr>
          <w:rFonts w:ascii="Courier New" w:cs="Courier New" w:eastAsia="Courier New" w:hAnsi="Courier New"/>
          <w:color w:val="1E3A5F"/>
          <w:sz w:val="18"/>
          <w:szCs w:val="18"/>
        </w:rPr>
        <w:t xml:space="preserve">      severity-threshold: high</w:t>
      </w:r>
    </w:p>
    <w:p>
      <w:pPr>
        <w:shd w:fill="F1F5F9" w:val="clear"/>
        <w:spacing w:after="0" w:before="0"/>
        <w:ind w:left="360"/>
      </w:pPr>
      <w:r>
        <w:rPr>
          <w:rFonts w:ascii="Courier New" w:cs="Courier New" w:eastAsia="Courier New" w:hAnsi="Courier New"/>
          <w:color w:val="1E3A5F"/>
          <w:sz w:val="18"/>
          <w:szCs w:val="18"/>
        </w:rPr>
        <w:t xml:space="preserve">    secrets: inherit</w:t>
      </w:r>
    </w:p>
    <w:p>
      <w:pPr>
        <w:shd w:fill="F1F5F9" w:val="clear"/>
        <w:spacing w:after="0" w:before="0"/>
        <w:ind w:left="360"/>
      </w:pPr>
      <w:r>
        <w:rPr>
          <w:rFonts w:ascii="Courier New" w:cs="Courier New" w:eastAsia="Courier New" w:hAnsi="Courier New"/>
          <w:color w:val="1E3A5F"/>
          <w:sz w:val="18"/>
          <w:szCs w:val="18"/>
        </w:rPr>
        <w:t xml:space="preserve"/>
      </w:r>
    </w:p>
    <w:p>
      <w:pPr>
        <w:shd w:fill="F1F5F9" w:val="clear"/>
        <w:spacing w:after="0" w:before="0"/>
        <w:ind w:left="360"/>
      </w:pPr>
      <w:r>
        <w:rPr>
          <w:rFonts w:ascii="Courier New" w:cs="Courier New" w:eastAsia="Courier New" w:hAnsi="Courier New"/>
          <w:color w:val="1E3A5F"/>
          <w:sz w:val="18"/>
          <w:szCs w:val="18"/>
        </w:rPr>
        <w:t xml:space="preserve">  test-generation:</w:t>
      </w:r>
    </w:p>
    <w:p>
      <w:pPr>
        <w:shd w:fill="F1F5F9" w:val="clear"/>
        <w:spacing w:after="0" w:before="0"/>
        <w:ind w:left="360"/>
      </w:pPr>
      <w:r>
        <w:rPr>
          <w:rFonts w:ascii="Courier New" w:cs="Courier New" w:eastAsia="Courier New" w:hAnsi="Courier New"/>
          <w:color w:val="1E3A5F"/>
          <w:sz w:val="18"/>
          <w:szCs w:val="18"/>
        </w:rPr>
        <w:t xml:space="preserve">    needs: code-scan</w:t>
      </w:r>
    </w:p>
    <w:p>
      <w:pPr>
        <w:shd w:fill="F1F5F9" w:val="clear"/>
        <w:spacing w:after="0" w:before="0"/>
        <w:ind w:left="360"/>
      </w:pPr>
      <w:r>
        <w:rPr>
          <w:rFonts w:ascii="Courier New" w:cs="Courier New" w:eastAsia="Courier New" w:hAnsi="Courier New"/>
          <w:color w:val="1E3A5F"/>
          <w:sz w:val="18"/>
          <w:szCs w:val="18"/>
        </w:rPr>
        <w:t xml:space="preserve">    uses: org/engineering-skills/.github/workflows/test-generation.yml@v2</w:t>
      </w:r>
    </w:p>
    <w:p>
      <w:pPr>
        <w:shd w:fill="F1F5F9" w:val="clear"/>
        <w:spacing w:after="0" w:before="0"/>
        <w:ind w:left="360"/>
      </w:pPr>
      <w:r>
        <w:rPr>
          <w:rFonts w:ascii="Courier New" w:cs="Courier New" w:eastAsia="Courier New" w:hAnsi="Courier New"/>
          <w:color w:val="1E3A5F"/>
          <w:sz w:val="18"/>
          <w:szCs w:val="18"/>
        </w:rPr>
        <w:t xml:space="preserve">    with:</w:t>
      </w:r>
    </w:p>
    <w:p>
      <w:pPr>
        <w:shd w:fill="F1F5F9" w:val="clear"/>
        <w:spacing w:after="0" w:before="0"/>
        <w:ind w:left="360"/>
      </w:pPr>
      <w:r>
        <w:rPr>
          <w:rFonts w:ascii="Courier New" w:cs="Courier New" w:eastAsia="Courier New" w:hAnsi="Courier New"/>
          <w:color w:val="1E3A5F"/>
          <w:sz w:val="18"/>
          <w:szCs w:val="18"/>
        </w:rPr>
        <w:t xml:space="preserve">      framework: pytest</w:t>
      </w:r>
    </w:p>
    <w:p>
      <w:pPr>
        <w:shd w:fill="F1F5F9" w:val="clear"/>
        <w:spacing w:after="0" w:before="0"/>
        <w:ind w:left="360"/>
      </w:pPr>
      <w:r>
        <w:rPr>
          <w:rFonts w:ascii="Courier New" w:cs="Courier New" w:eastAsia="Courier New" w:hAnsi="Courier New"/>
          <w:color w:val="1E3A5F"/>
          <w:sz w:val="18"/>
          <w:szCs w:val="18"/>
        </w:rPr>
        <w:t xml:space="preserve">      coverage-target: 80</w:t>
      </w:r>
    </w:p>
    <w:p>
      <w:pPr>
        <w:shd w:fill="F1F5F9" w:val="clear"/>
        <w:spacing w:after="0" w:before="0"/>
        <w:ind w:left="360"/>
      </w:pPr>
      <w:r>
        <w:rPr>
          <w:rFonts w:ascii="Courier New" w:cs="Courier New" w:eastAsia="Courier New" w:hAnsi="Courier New"/>
          <w:color w:val="1E3A5F"/>
          <w:sz w:val="18"/>
          <w:szCs w:val="18"/>
        </w:rPr>
        <w:t xml:space="preserve"/>
      </w:r>
    </w:p>
    <w:p>
      <w:pPr>
        <w:shd w:fill="F1F5F9" w:val="clear"/>
        <w:spacing w:after="0" w:before="0"/>
        <w:ind w:left="360"/>
      </w:pPr>
      <w:r>
        <w:rPr>
          <w:rFonts w:ascii="Courier New" w:cs="Courier New" w:eastAsia="Courier New" w:hAnsi="Courier New"/>
          <w:color w:val="1E3A5F"/>
          <w:sz w:val="18"/>
          <w:szCs w:val="18"/>
        </w:rPr>
        <w:t xml:space="preserve">  qtest-upload:</w:t>
      </w:r>
    </w:p>
    <w:p>
      <w:pPr>
        <w:shd w:fill="F1F5F9" w:val="clear"/>
        <w:spacing w:after="0" w:before="0"/>
        <w:ind w:left="360"/>
      </w:pPr>
      <w:r>
        <w:rPr>
          <w:rFonts w:ascii="Courier New" w:cs="Courier New" w:eastAsia="Courier New" w:hAnsi="Courier New"/>
          <w:color w:val="1E3A5F"/>
          <w:sz w:val="18"/>
          <w:szCs w:val="18"/>
        </w:rPr>
        <w:t xml:space="preserve">    needs: regression</w:t>
      </w:r>
    </w:p>
    <w:p>
      <w:pPr>
        <w:shd w:fill="F1F5F9" w:val="clear"/>
        <w:spacing w:after="0" w:before="0"/>
        <w:ind w:left="360"/>
      </w:pPr>
      <w:r>
        <w:rPr>
          <w:rFonts w:ascii="Courier New" w:cs="Courier New" w:eastAsia="Courier New" w:hAnsi="Courier New"/>
          <w:color w:val="1E3A5F"/>
          <w:sz w:val="18"/>
          <w:szCs w:val="18"/>
        </w:rPr>
        <w:t xml:space="preserve">    uses: org/engineering-skills/.github/workflows/qtest-upload.yml@v2</w:t>
      </w:r>
    </w:p>
    <w:p>
      <w:pPr>
        <w:shd w:fill="F1F5F9" w:val="clear"/>
        <w:spacing w:after="0" w:before="0"/>
        <w:ind w:left="360"/>
      </w:pPr>
      <w:r>
        <w:rPr>
          <w:rFonts w:ascii="Courier New" w:cs="Courier New" w:eastAsia="Courier New" w:hAnsi="Courier New"/>
          <w:color w:val="1E3A5F"/>
          <w:sz w:val="18"/>
          <w:szCs w:val="18"/>
        </w:rPr>
        <w:t xml:space="preserve">    secrets:</w:t>
      </w:r>
    </w:p>
    <w:p>
      <w:pPr>
        <w:shd w:fill="F1F5F9" w:val="clear"/>
        <w:spacing w:after="0" w:before="0"/>
        <w:ind w:left="360"/>
      </w:pPr>
      <w:r>
        <w:rPr>
          <w:rFonts w:ascii="Courier New" w:cs="Courier New" w:eastAsia="Courier New" w:hAnsi="Courier New"/>
          <w:color w:val="1E3A5F"/>
          <w:sz w:val="18"/>
          <w:szCs w:val="18"/>
        </w:rPr>
        <w:t xml:space="preserve">      QTEST_TOKEN: ${{ secrets.QTEST_TOKEN }}</w:t>
      </w:r>
    </w:p>
    <w:p>
      <w:pPr>
        <w:spacing w:after="160"/>
      </w:pPr>
    </w:p>
    <w:p>
      <w:pPr>
        <w:spacing w:after="0"/>
      </w:pPr>
      <w:r>
        <w:br w:type="page"/>
      </w:r>
    </w:p>
    <w:p>
      <w:pPr>
        <w:pStyle w:val="Heading1"/>
        <w:pBdr>
          <w:bottom w:val="single" w:color="1E6FD9" w:sz="6" w:space="4"/>
        </w:pBdr>
        <w:spacing w:after="180" w:before="360"/>
      </w:pPr>
      <w:r>
        <w:rPr>
          <w:rFonts w:ascii="Calibri" w:cs="Calibri" w:eastAsia="Calibri" w:hAnsi="Calibri"/>
          <w:b/>
          <w:bCs/>
          <w:color w:val="0D1B2A"/>
          <w:sz w:val="36"/>
          <w:szCs w:val="36"/>
        </w:rPr>
        <w:t xml:space="preserve">6. Phase 2 — Enterprise Engineering Skills Platform</w:t>
      </w:r>
    </w:p>
    <w:p>
      <w:pPr>
        <w:spacing w:after="120"/>
      </w:pPr>
      <w:r>
        <w:rPr>
          <w:rFonts w:ascii="Calibri" w:cs="Calibri" w:eastAsia="Calibri" w:hAnsi="Calibri"/>
          <w:color w:val="374151"/>
          <w:sz w:val="22"/>
          <w:szCs w:val="22"/>
        </w:rPr>
        <w:t xml:space="preserve">Phase 2 extends the platform across the full SDLC. Every engineering practice — security, architecture, compliance, observability, release readiness — becomes a reusable, versioned skill.</w:t>
      </w:r>
    </w:p>
    <w:p>
      <w:pPr>
        <w:spacing w:after="80"/>
      </w:pPr>
    </w:p>
    <w:p>
      <w:pPr>
        <w:spacing w:after="80" w:before="160"/>
      </w:pPr>
      <w:r>
        <w:rPr>
          <w:rFonts w:ascii="Calibri" w:cs="Calibri" w:eastAsia="Calibri" w:hAnsi="Calibri"/>
          <w:b/>
          <w:bCs/>
          <w:color w:val="1E6FD9"/>
          <w:sz w:val="20"/>
          <w:szCs w:val="20"/>
        </w:rPr>
        <w:t xml:space="preserve">SDLC SKILLS COVERAGE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SDLC Phase</w:t>
            </w:r>
          </w:p>
        </w:tc>
        <w:tc>
          <w:tcPr>
            <w:tcW w:type="dxa" w:w="280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Skill</w:t>
            </w:r>
          </w:p>
        </w:tc>
        <w:tc>
          <w:tcPr>
            <w:tcW w:type="dxa" w:w="476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Standards Alignment</w:t>
            </w:r>
          </w:p>
        </w:tc>
      </w:tr>
      <w:tr>
        <w:tc>
          <w:tcPr>
            <w:tcW w:type="dxa" w:w="1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Design</w:t>
            </w:r>
          </w:p>
        </w:tc>
        <w:tc>
          <w:tcPr>
            <w:tcW w:type="dxa" w:w="2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architecture-review</w:t>
            </w:r>
          </w:p>
        </w:tc>
        <w:tc>
          <w:tcPr>
            <w:tcW w:type="dxa" w:w="47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TOGAF, C4 model, ADR</w:t>
            </w:r>
          </w:p>
        </w:tc>
      </w:tr>
      <w:tr>
        <w:tc>
          <w:tcPr>
            <w:tcW w:type="dxa" w:w="18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Design</w:t>
            </w:r>
          </w:p>
        </w:tc>
        <w:tc>
          <w:tcPr>
            <w:tcW w:type="dxa" w:w="28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threat-model</w:t>
            </w:r>
          </w:p>
        </w:tc>
        <w:tc>
          <w:tcPr>
            <w:tcW w:type="dxa" w:w="47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OWASP Threat Dragon, STRIDE</w:t>
            </w:r>
          </w:p>
        </w:tc>
      </w:tr>
      <w:tr>
        <w:tc>
          <w:tcPr>
            <w:tcW w:type="dxa" w:w="1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Design</w:t>
            </w:r>
          </w:p>
        </w:tc>
        <w:tc>
          <w:tcPr>
            <w:tcW w:type="dxa" w:w="2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api-governance</w:t>
            </w:r>
          </w:p>
        </w:tc>
        <w:tc>
          <w:tcPr>
            <w:tcW w:type="dxa" w:w="47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OpenAPI 3.x, REST standards</w:t>
            </w:r>
          </w:p>
        </w:tc>
      </w:tr>
      <w:tr>
        <w:tc>
          <w:tcPr>
            <w:tcW w:type="dxa" w:w="18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Design</w:t>
            </w:r>
          </w:p>
        </w:tc>
        <w:tc>
          <w:tcPr>
            <w:tcW w:type="dxa" w:w="28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documentation</w:t>
            </w:r>
          </w:p>
        </w:tc>
        <w:tc>
          <w:tcPr>
            <w:tcW w:type="dxa" w:w="47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Docs-as-code, AsciiDoc</w:t>
            </w:r>
          </w:p>
        </w:tc>
      </w:tr>
      <w:tr>
        <w:tc>
          <w:tcPr>
            <w:tcW w:type="dxa" w:w="1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Develop</w:t>
            </w:r>
          </w:p>
        </w:tc>
        <w:tc>
          <w:tcPr>
            <w:tcW w:type="dxa" w:w="2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ai-code-review</w:t>
            </w:r>
          </w:p>
        </w:tc>
        <w:tc>
          <w:tcPr>
            <w:tcW w:type="dxa" w:w="47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Google Engineering practices</w:t>
            </w:r>
          </w:p>
        </w:tc>
      </w:tr>
      <w:tr>
        <w:tc>
          <w:tcPr>
            <w:tcW w:type="dxa" w:w="18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Develop</w:t>
            </w:r>
          </w:p>
        </w:tc>
        <w:tc>
          <w:tcPr>
            <w:tcW w:type="dxa" w:w="28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dependency-analysis</w:t>
            </w:r>
          </w:p>
        </w:tc>
        <w:tc>
          <w:tcPr>
            <w:tcW w:type="dxa" w:w="47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OWASP Dependency-Check, Snyk</w:t>
            </w:r>
          </w:p>
        </w:tc>
      </w:tr>
      <w:tr>
        <w:tc>
          <w:tcPr>
            <w:tcW w:type="dxa" w:w="1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Develop</w:t>
            </w:r>
          </w:p>
        </w:tc>
        <w:tc>
          <w:tcPr>
            <w:tcW w:type="dxa" w:w="2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terraform-validation</w:t>
            </w:r>
          </w:p>
        </w:tc>
        <w:tc>
          <w:tcPr>
            <w:tcW w:type="dxa" w:w="47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HashiCorp Sentinel, Checkov</w:t>
            </w:r>
          </w:p>
        </w:tc>
      </w:tr>
      <w:tr>
        <w:tc>
          <w:tcPr>
            <w:tcW w:type="dxa" w:w="18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Develop</w:t>
            </w:r>
          </w:p>
        </w:tc>
        <w:tc>
          <w:tcPr>
            <w:tcW w:type="dxa" w:w="28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kubernetes-validation</w:t>
            </w:r>
          </w:p>
        </w:tc>
        <w:tc>
          <w:tcPr>
            <w:tcW w:type="dxa" w:w="47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OPA/Kyverno policies</w:t>
            </w:r>
          </w:p>
        </w:tc>
      </w:tr>
      <w:tr>
        <w:tc>
          <w:tcPr>
            <w:tcW w:type="dxa" w:w="1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Test</w:t>
            </w:r>
          </w:p>
        </w:tc>
        <w:tc>
          <w:tcPr>
            <w:tcW w:type="dxa" w:w="2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test-generation</w:t>
            </w:r>
          </w:p>
        </w:tc>
        <w:tc>
          <w:tcPr>
            <w:tcW w:type="dxa" w:w="47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BDD, TDD, Playwright, pytest</w:t>
            </w:r>
          </w:p>
        </w:tc>
      </w:tr>
      <w:tr>
        <w:tc>
          <w:tcPr>
            <w:tcW w:type="dxa" w:w="18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Test</w:t>
            </w:r>
          </w:p>
        </w:tc>
        <w:tc>
          <w:tcPr>
            <w:tcW w:type="dxa" w:w="28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regression-execution</w:t>
            </w:r>
          </w:p>
        </w:tc>
        <w:tc>
          <w:tcPr>
            <w:tcW w:type="dxa" w:w="47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Playwright, pytest, JUnit</w:t>
            </w:r>
          </w:p>
        </w:tc>
      </w:tr>
      <w:tr>
        <w:tc>
          <w:tcPr>
            <w:tcW w:type="dxa" w:w="1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Test</w:t>
            </w:r>
          </w:p>
        </w:tc>
        <w:tc>
          <w:tcPr>
            <w:tcW w:type="dxa" w:w="2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performance-analysis</w:t>
            </w:r>
          </w:p>
        </w:tc>
        <w:tc>
          <w:tcPr>
            <w:tcW w:type="dxa" w:w="47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k6, JMeter, p95/p99 SLOs</w:t>
            </w:r>
          </w:p>
        </w:tc>
      </w:tr>
      <w:tr>
        <w:tc>
          <w:tcPr>
            <w:tcW w:type="dxa" w:w="18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Secure</w:t>
            </w:r>
          </w:p>
        </w:tc>
        <w:tc>
          <w:tcPr>
            <w:tcW w:type="dxa" w:w="28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secure-code-review</w:t>
            </w:r>
          </w:p>
        </w:tc>
        <w:tc>
          <w:tcPr>
            <w:tcW w:type="dxa" w:w="47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OWASP SAMM, CodeQL, SAST</w:t>
            </w:r>
          </w:p>
        </w:tc>
      </w:tr>
      <w:tr>
        <w:tc>
          <w:tcPr>
            <w:tcW w:type="dxa" w:w="1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Secure</w:t>
            </w:r>
          </w:p>
        </w:tc>
        <w:tc>
          <w:tcPr>
            <w:tcW w:type="dxa" w:w="2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security-hardening</w:t>
            </w:r>
          </w:p>
        </w:tc>
        <w:tc>
          <w:tcPr>
            <w:tcW w:type="dxa" w:w="47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CIS Benchmarks, DAST</w:t>
            </w:r>
          </w:p>
        </w:tc>
      </w:tr>
      <w:tr>
        <w:tc>
          <w:tcPr>
            <w:tcW w:type="dxa" w:w="18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Secure</w:t>
            </w:r>
          </w:p>
        </w:tc>
        <w:tc>
          <w:tcPr>
            <w:tcW w:type="dxa" w:w="28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compliance-validation</w:t>
            </w:r>
          </w:p>
        </w:tc>
        <w:tc>
          <w:tcPr>
            <w:tcW w:type="dxa" w:w="47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SOC2, ISO27001, PCI-DSS</w:t>
            </w:r>
          </w:p>
        </w:tc>
      </w:tr>
      <w:tr>
        <w:tc>
          <w:tcPr>
            <w:tcW w:type="dxa" w:w="1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Secure</w:t>
            </w:r>
          </w:p>
        </w:tc>
        <w:tc>
          <w:tcPr>
            <w:tcW w:type="dxa" w:w="2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sbom-generation</w:t>
            </w:r>
          </w:p>
        </w:tc>
        <w:tc>
          <w:tcPr>
            <w:tcW w:type="dxa" w:w="47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SPDX, CycloneDX</w:t>
            </w:r>
          </w:p>
        </w:tc>
      </w:tr>
      <w:tr>
        <w:tc>
          <w:tcPr>
            <w:tcW w:type="dxa" w:w="18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Release</w:t>
            </w:r>
          </w:p>
        </w:tc>
        <w:tc>
          <w:tcPr>
            <w:tcW w:type="dxa" w:w="28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release-readiness</w:t>
            </w:r>
          </w:p>
        </w:tc>
        <w:tc>
          <w:tcPr>
            <w:tcW w:type="dxa" w:w="47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Change management, CAB gates</w:t>
            </w:r>
          </w:p>
        </w:tc>
      </w:tr>
      <w:tr>
        <w:tc>
          <w:tcPr>
            <w:tcW w:type="dxa" w:w="1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Release</w:t>
            </w:r>
          </w:p>
        </w:tc>
        <w:tc>
          <w:tcPr>
            <w:tcW w:type="dxa" w:w="2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cloud-best-practices</w:t>
            </w:r>
          </w:p>
        </w:tc>
        <w:tc>
          <w:tcPr>
            <w:tcW w:type="dxa" w:w="47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AWS/Azure Well-Architected</w:t>
            </w:r>
          </w:p>
        </w:tc>
      </w:tr>
      <w:tr>
        <w:tc>
          <w:tcPr>
            <w:tcW w:type="dxa" w:w="18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Operate</w:t>
            </w:r>
          </w:p>
        </w:tc>
        <w:tc>
          <w:tcPr>
            <w:tcW w:type="dxa" w:w="28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observability-validation</w:t>
            </w:r>
          </w:p>
        </w:tc>
        <w:tc>
          <w:tcPr>
            <w:tcW w:type="dxa" w:w="47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OpenTelemetry, DORA metrics</w:t>
            </w:r>
          </w:p>
        </w:tc>
      </w:tr>
      <w:tr>
        <w:tc>
          <w:tcPr>
            <w:tcW w:type="dxa" w:w="1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Operate</w:t>
            </w:r>
          </w:p>
        </w:tc>
        <w:tc>
          <w:tcPr>
            <w:tcW w:type="dxa" w:w="2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platform-governance</w:t>
            </w:r>
          </w:p>
        </w:tc>
        <w:tc>
          <w:tcPr>
            <w:tcW w:type="dxa" w:w="47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Engineering health dashboard</w:t>
            </w:r>
          </w:p>
        </w:tc>
      </w:tr>
    </w:tbl>
    <w:p>
      <w:pPr>
        <w:spacing w:after="160"/>
      </w:pPr>
    </w:p>
    <w:p>
      <w:pPr>
        <w:spacing w:after="0"/>
      </w:pPr>
      <w:r>
        <w:br w:type="page"/>
      </w:r>
    </w:p>
    <w:p>
      <w:pPr>
        <w:pStyle w:val="Heading1"/>
        <w:pBdr>
          <w:bottom w:val="single" w:color="1E6FD9" w:sz="6" w:space="4"/>
        </w:pBdr>
        <w:spacing w:after="180" w:before="360"/>
      </w:pPr>
      <w:r>
        <w:rPr>
          <w:rFonts w:ascii="Calibri" w:cs="Calibri" w:eastAsia="Calibri" w:hAnsi="Calibri"/>
          <w:b/>
          <w:bCs/>
          <w:color w:val="0D1B2A"/>
          <w:sz w:val="36"/>
          <w:szCs w:val="36"/>
        </w:rPr>
        <w:t xml:space="preserve">7. GitHub Copilot &amp; AI Integration</w:t>
      </w:r>
    </w:p>
    <w:p>
      <w:pPr>
        <w:spacing w:after="120"/>
      </w:pPr>
      <w:r>
        <w:rPr>
          <w:rFonts w:ascii="Calibri" w:cs="Calibri" w:eastAsia="Calibri" w:hAnsi="Calibri"/>
          <w:color w:val="374151"/>
          <w:sz w:val="22"/>
          <w:szCs w:val="22"/>
        </w:rPr>
        <w:t xml:space="preserve">GitHub Copilot, Claude Code, and other AI consumers are first-class clients of the Skills Repository. They invoke skills through the same interfaces as GitHub Actions — making AI a force multiplier that amplifies standardized engineering practices rather than bypassing them.</w:t>
      </w:r>
    </w:p>
    <w:p>
      <w:pPr>
        <w:spacing w:after="80"/>
      </w:pPr>
    </w:p>
    <w:p>
      <w:pPr>
        <w:spacing w:after="80" w:before="160"/>
      </w:pPr>
      <w:r>
        <w:rPr>
          <w:rFonts w:ascii="Calibri" w:cs="Calibri" w:eastAsia="Calibri" w:hAnsi="Calibri"/>
          <w:b/>
          <w:bCs/>
          <w:color w:val="1E6FD9"/>
          <w:sz w:val="20"/>
          <w:szCs w:val="20"/>
        </w:rPr>
        <w:t xml:space="preserve">COPILOT SKILL INVOCATION EXAMPLES</w:t>
      </w:r>
    </w:p>
    <w:p>
      <w:pPr>
        <w:shd w:fill="F1F5F9" w:val="clear"/>
        <w:spacing w:after="0" w:before="0"/>
        <w:ind w:left="360"/>
      </w:pPr>
      <w:r>
        <w:rPr>
          <w:rFonts w:ascii="Courier New" w:cs="Courier New" w:eastAsia="Courier New" w:hAnsi="Courier New"/>
          <w:color w:val="1E3A5F"/>
          <w:sz w:val="18"/>
          <w:szCs w:val="18"/>
        </w:rPr>
        <w:t xml:space="preserve"># Architecture Review</w:t>
      </w:r>
    </w:p>
    <w:p>
      <w:pPr>
        <w:shd w:fill="F1F5F9" w:val="clear"/>
        <w:spacing w:after="0" w:before="0"/>
        <w:ind w:left="360"/>
      </w:pPr>
      <w:r>
        <w:rPr>
          <w:rFonts w:ascii="Courier New" w:cs="Courier New" w:eastAsia="Courier New" w:hAnsi="Courier New"/>
          <w:color w:val="1E3A5F"/>
          <w:sz w:val="18"/>
          <w:szCs w:val="18"/>
        </w:rPr>
        <w:t xml:space="preserve">@copilot use architecture-review skill on src/payment-service/</w:t>
      </w:r>
    </w:p>
    <w:p>
      <w:pPr>
        <w:shd w:fill="F1F5F9" w:val="clear"/>
        <w:spacing w:after="0" w:before="0"/>
        <w:ind w:left="360"/>
      </w:pPr>
      <w:r>
        <w:rPr>
          <w:rFonts w:ascii="Courier New" w:cs="Courier New" w:eastAsia="Courier New" w:hAnsi="Courier New"/>
          <w:color w:val="1E3A5F"/>
          <w:sz w:val="18"/>
          <w:szCs w:val="18"/>
        </w:rPr>
        <w:t xml:space="preserve"/>
      </w:r>
    </w:p>
    <w:p>
      <w:pPr>
        <w:shd w:fill="F1F5F9" w:val="clear"/>
        <w:spacing w:after="0" w:before="0"/>
        <w:ind w:left="360"/>
      </w:pPr>
      <w:r>
        <w:rPr>
          <w:rFonts w:ascii="Courier New" w:cs="Courier New" w:eastAsia="Courier New" w:hAnsi="Courier New"/>
          <w:color w:val="1E3A5F"/>
          <w:sz w:val="18"/>
          <w:szCs w:val="18"/>
        </w:rPr>
        <w:t xml:space="preserve"># Threat Modeling</w:t>
      </w:r>
    </w:p>
    <w:p>
      <w:pPr>
        <w:shd w:fill="F1F5F9" w:val="clear"/>
        <w:spacing w:after="0" w:before="0"/>
        <w:ind w:left="360"/>
      </w:pPr>
      <w:r>
        <w:rPr>
          <w:rFonts w:ascii="Courier New" w:cs="Courier New" w:eastAsia="Courier New" w:hAnsi="Courier New"/>
          <w:color w:val="1E3A5F"/>
          <w:sz w:val="18"/>
          <w:szCs w:val="18"/>
        </w:rPr>
        <w:t xml:space="preserve">@copilot run threat-model skill for the new OAuth2 integration</w:t>
      </w:r>
    </w:p>
    <w:p>
      <w:pPr>
        <w:shd w:fill="F1F5F9" w:val="clear"/>
        <w:spacing w:after="0" w:before="0"/>
        <w:ind w:left="360"/>
      </w:pPr>
      <w:r>
        <w:rPr>
          <w:rFonts w:ascii="Courier New" w:cs="Courier New" w:eastAsia="Courier New" w:hAnsi="Courier New"/>
          <w:color w:val="1E3A5F"/>
          <w:sz w:val="18"/>
          <w:szCs w:val="18"/>
        </w:rPr>
        <w:t xml:space="preserve"/>
      </w:r>
    </w:p>
    <w:p>
      <w:pPr>
        <w:shd w:fill="F1F5F9" w:val="clear"/>
        <w:spacing w:after="0" w:before="0"/>
        <w:ind w:left="360"/>
      </w:pPr>
      <w:r>
        <w:rPr>
          <w:rFonts w:ascii="Courier New" w:cs="Courier New" w:eastAsia="Courier New" w:hAnsi="Courier New"/>
          <w:color w:val="1E3A5F"/>
          <w:sz w:val="18"/>
          <w:szCs w:val="18"/>
        </w:rPr>
        <w:t xml:space="preserve"># Test Generation with framework specification</w:t>
      </w:r>
    </w:p>
    <w:p>
      <w:pPr>
        <w:shd w:fill="F1F5F9" w:val="clear"/>
        <w:spacing w:after="0" w:before="0"/>
        <w:ind w:left="360"/>
      </w:pPr>
      <w:r>
        <w:rPr>
          <w:rFonts w:ascii="Courier New" w:cs="Courier New" w:eastAsia="Courier New" w:hAnsi="Courier New"/>
          <w:color w:val="1E3A5F"/>
          <w:sz w:val="18"/>
          <w:szCs w:val="18"/>
        </w:rPr>
        <w:t xml:space="preserve">@copilot use test-generation skill on UserController.py --framework pytest</w:t>
      </w:r>
    </w:p>
    <w:p>
      <w:pPr>
        <w:shd w:fill="F1F5F9" w:val="clear"/>
        <w:spacing w:after="0" w:before="0"/>
        <w:ind w:left="360"/>
      </w:pPr>
      <w:r>
        <w:rPr>
          <w:rFonts w:ascii="Courier New" w:cs="Courier New" w:eastAsia="Courier New" w:hAnsi="Courier New"/>
          <w:color w:val="1E3A5F"/>
          <w:sz w:val="18"/>
          <w:szCs w:val="18"/>
        </w:rPr>
        <w:t xml:space="preserve"/>
      </w:r>
    </w:p>
    <w:p>
      <w:pPr>
        <w:shd w:fill="F1F5F9" w:val="clear"/>
        <w:spacing w:after="0" w:before="0"/>
        <w:ind w:left="360"/>
      </w:pPr>
      <w:r>
        <w:rPr>
          <w:rFonts w:ascii="Courier New" w:cs="Courier New" w:eastAsia="Courier New" w:hAnsi="Courier New"/>
          <w:color w:val="1E3A5F"/>
          <w:sz w:val="18"/>
          <w:szCs w:val="18"/>
        </w:rPr>
        <w:t xml:space="preserve"># Release Readiness Check before deployment</w:t>
      </w:r>
    </w:p>
    <w:p>
      <w:pPr>
        <w:shd w:fill="F1F5F9" w:val="clear"/>
        <w:spacing w:after="0" w:before="0"/>
        <w:ind w:left="360"/>
      </w:pPr>
      <w:r>
        <w:rPr>
          <w:rFonts w:ascii="Courier New" w:cs="Courier New" w:eastAsia="Courier New" w:hAnsi="Courier New"/>
          <w:color w:val="1E3A5F"/>
          <w:sz w:val="18"/>
          <w:szCs w:val="18"/>
        </w:rPr>
        <w:t xml:space="preserve">@copilot run release-readiness skill before v2.4.0 deployment</w:t>
      </w:r>
    </w:p>
    <w:p>
      <w:pPr>
        <w:spacing w:after="200"/>
      </w:pPr>
    </w:p>
    <w:p>
      <w:pPr>
        <w:spacing w:after="80" w:before="160"/>
      </w:pPr>
      <w:r>
        <w:rPr>
          <w:rFonts w:ascii="Calibri" w:cs="Calibri" w:eastAsia="Calibri" w:hAnsi="Calibri"/>
          <w:b/>
          <w:bCs/>
          <w:color w:val="1E6FD9"/>
          <w:sz w:val="20"/>
          <w:szCs w:val="20"/>
        </w:rPr>
        <w:t xml:space="preserve">MCP SERVER CONFIGURATION</w:t>
      </w:r>
    </w:p>
    <w:p>
      <w:pPr>
        <w:shd w:fill="F1F5F9" w:val="clear"/>
        <w:spacing w:after="0" w:before="0"/>
        <w:ind w:left="360"/>
      </w:pPr>
      <w:r>
        <w:rPr>
          <w:rFonts w:ascii="Courier New" w:cs="Courier New" w:eastAsia="Courier New" w:hAnsi="Courier New"/>
          <w:color w:val="1E3A5F"/>
          <w:sz w:val="18"/>
          <w:szCs w:val="18"/>
        </w:rPr>
        <w:t xml:space="preserve">{</w:t>
      </w:r>
    </w:p>
    <w:p>
      <w:pPr>
        <w:shd w:fill="F1F5F9" w:val="clear"/>
        <w:spacing w:after="0" w:before="0"/>
        <w:ind w:left="360"/>
      </w:pPr>
      <w:r>
        <w:rPr>
          <w:rFonts w:ascii="Courier New" w:cs="Courier New" w:eastAsia="Courier New" w:hAnsi="Courier New"/>
          <w:color w:val="1E3A5F"/>
          <w:sz w:val="18"/>
          <w:szCs w:val="18"/>
        </w:rPr>
        <w:t xml:space="preserve">  "mcpServers": {</w:t>
      </w:r>
    </w:p>
    <w:p>
      <w:pPr>
        <w:shd w:fill="F1F5F9" w:val="clear"/>
        <w:spacing w:after="0" w:before="0"/>
        <w:ind w:left="360"/>
      </w:pPr>
      <w:r>
        <w:rPr>
          <w:rFonts w:ascii="Courier New" w:cs="Courier New" w:eastAsia="Courier New" w:hAnsi="Courier New"/>
          <w:color w:val="1E3A5F"/>
          <w:sz w:val="18"/>
          <w:szCs w:val="18"/>
        </w:rPr>
        <w:t xml:space="preserve">    "engineering-skills": {</w:t>
      </w:r>
    </w:p>
    <w:p>
      <w:pPr>
        <w:shd w:fill="F1F5F9" w:val="clear"/>
        <w:spacing w:after="0" w:before="0"/>
        <w:ind w:left="360"/>
      </w:pPr>
      <w:r>
        <w:rPr>
          <w:rFonts w:ascii="Courier New" w:cs="Courier New" w:eastAsia="Courier New" w:hAnsi="Courier New"/>
          <w:color w:val="1E3A5F"/>
          <w:sz w:val="18"/>
          <w:szCs w:val="18"/>
        </w:rPr>
        <w:t xml:space="preserve">      "url": "https://skills.internal.org/mcp",</w:t>
      </w:r>
    </w:p>
    <w:p>
      <w:pPr>
        <w:shd w:fill="F1F5F9" w:val="clear"/>
        <w:spacing w:after="0" w:before="0"/>
        <w:ind w:left="360"/>
      </w:pPr>
      <w:r>
        <w:rPr>
          <w:rFonts w:ascii="Courier New" w:cs="Courier New" w:eastAsia="Courier New" w:hAnsi="Courier New"/>
          <w:color w:val="1E3A5F"/>
          <w:sz w:val="18"/>
          <w:szCs w:val="18"/>
        </w:rPr>
        <w:t xml:space="preserve">      "tools": ["code-scan", "test-generation", "architecture-review",</w:t>
      </w:r>
    </w:p>
    <w:p>
      <w:pPr>
        <w:shd w:fill="F1F5F9" w:val="clear"/>
        <w:spacing w:after="0" w:before="0"/>
        <w:ind w:left="360"/>
      </w:pPr>
      <w:r>
        <w:rPr>
          <w:rFonts w:ascii="Courier New" w:cs="Courier New" w:eastAsia="Courier New" w:hAnsi="Courier New"/>
          <w:color w:val="1E3A5F"/>
          <w:sz w:val="18"/>
          <w:szCs w:val="18"/>
        </w:rPr>
        <w:t xml:space="preserve">                "release-readiness", "security-review"]</w:t>
      </w:r>
    </w:p>
    <w:p>
      <w:pPr>
        <w:shd w:fill="F1F5F9" w:val="clear"/>
        <w:spacing w:after="0" w:before="0"/>
        <w:ind w:left="360"/>
      </w:pPr>
      <w:r>
        <w:rPr>
          <w:rFonts w:ascii="Courier New" w:cs="Courier New" w:eastAsia="Courier New" w:hAnsi="Courier New"/>
          <w:color w:val="1E3A5F"/>
          <w:sz w:val="18"/>
          <w:szCs w:val="18"/>
        </w:rPr>
        <w:t xml:space="preserve">    }</w:t>
      </w:r>
    </w:p>
    <w:p>
      <w:pPr>
        <w:shd w:fill="F1F5F9" w:val="clear"/>
        <w:spacing w:after="0" w:before="0"/>
        <w:ind w:left="360"/>
      </w:pPr>
      <w:r>
        <w:rPr>
          <w:rFonts w:ascii="Courier New" w:cs="Courier New" w:eastAsia="Courier New" w:hAnsi="Courier New"/>
          <w:color w:val="1E3A5F"/>
          <w:sz w:val="18"/>
          <w:szCs w:val="18"/>
        </w:rPr>
        <w:t xml:space="preserve">  }</w:t>
      </w:r>
    </w:p>
    <w:p>
      <w:pPr>
        <w:shd w:fill="F1F5F9" w:val="clear"/>
        <w:spacing w:after="0" w:before="0"/>
        <w:ind w:left="360"/>
      </w:pPr>
      <w:r>
        <w:rPr>
          <w:rFonts w:ascii="Courier New" w:cs="Courier New" w:eastAsia="Courier New" w:hAnsi="Courier New"/>
          <w:color w:val="1E3A5F"/>
          <w:sz w:val="18"/>
          <w:szCs w:val="18"/>
        </w:rPr>
        <w:t xml:space="preserve">}</w:t>
      </w:r>
    </w:p>
    <w:p>
      <w:pPr>
        <w:spacing w:after="160"/>
      </w:pPr>
    </w:p>
    <w:p>
      <w:pPr>
        <w:spacing w:after="120"/>
      </w:pPr>
      <w:r>
        <w:rPr>
          <w:rFonts w:ascii="Calibri" w:cs="Calibri" w:eastAsia="Calibri" w:hAnsi="Calibri"/>
          <w:color w:val="374151"/>
          <w:sz w:val="22"/>
          <w:szCs w:val="22"/>
        </w:rPr>
        <w:t xml:space="preserve">Copilot is simply another client of the centralized Skills Repository. The same versioned, governed, tested skills available to GitHub Actions are equally available to AI consumers — ensuring AI-generated outputs meet the same engineering standards as human-initiated pipelines.</w:t>
      </w:r>
    </w:p>
    <w:p>
      <w:pPr>
        <w:spacing w:after="160"/>
      </w:pPr>
    </w:p>
    <w:p>
      <w:pPr>
        <w:spacing w:after="0"/>
      </w:pPr>
      <w:r>
        <w:br w:type="page"/>
      </w:r>
    </w:p>
    <w:p>
      <w:pPr>
        <w:pStyle w:val="Heading1"/>
        <w:pBdr>
          <w:bottom w:val="single" w:color="1E6FD9" w:sz="6" w:space="4"/>
        </w:pBdr>
        <w:spacing w:after="180" w:before="360"/>
      </w:pPr>
      <w:r>
        <w:rPr>
          <w:rFonts w:ascii="Calibri" w:cs="Calibri" w:eastAsia="Calibri" w:hAnsi="Calibri"/>
          <w:b/>
          <w:bCs/>
          <w:color w:val="0D1B2A"/>
          <w:sz w:val="36"/>
          <w:szCs w:val="36"/>
        </w:rPr>
        <w:t xml:space="preserve">8. Security Architecture</w:t>
      </w:r>
    </w:p>
    <w:p>
      <w:pPr>
        <w:spacing w:after="120"/>
      </w:pPr>
      <w:r>
        <w:rPr>
          <w:rFonts w:ascii="Calibri" w:cs="Calibri" w:eastAsia="Calibri" w:hAnsi="Calibri"/>
          <w:color w:val="374151"/>
          <w:sz w:val="22"/>
          <w:szCs w:val="22"/>
        </w:rPr>
        <w:t xml:space="preserve">The platform is designed to SLSA Level 3 standards with zero-trust skill execution. Every skill invocation is authenticated, authorized, logged, and its artifacts are signed.</w:t>
      </w:r>
    </w:p>
    <w:p>
      <w:pPr>
        <w:spacing w:after="80"/>
      </w:pPr>
    </w:p>
    <w:p>
      <w:pPr>
        <w:spacing w:after="80" w:before="160"/>
      </w:pPr>
      <w:r>
        <w:rPr>
          <w:rFonts w:ascii="Calibri" w:cs="Calibri" w:eastAsia="Calibri" w:hAnsi="Calibri"/>
          <w:b/>
          <w:bCs/>
          <w:color w:val="1E6FD9"/>
          <w:sz w:val="20"/>
          <w:szCs w:val="20"/>
        </w:rPr>
        <w:t xml:space="preserve">SECURITY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Layer</w:t>
            </w:r>
          </w:p>
        </w:tc>
        <w:tc>
          <w:tcPr>
            <w:tcW w:type="dxa" w:w="500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Controls</w:t>
            </w:r>
          </w:p>
        </w:tc>
        <w:tc>
          <w:tcPr>
            <w:tcW w:type="dxa" w:w="216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Standards</w:t>
            </w:r>
          </w:p>
        </w:tc>
      </w:tr>
      <w:tr>
        <w:tc>
          <w:tcPr>
            <w:tcW w:type="dxa" w:w="22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Access Control</w:t>
            </w:r>
          </w:p>
        </w:tc>
        <w:tc>
          <w:tcPr>
            <w:tcW w:type="dxa" w:w="5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GitHub OIDC, RBAC per skill, federated identity, no long-lived credentials, Secrets Manager</w:t>
            </w:r>
          </w:p>
        </w:tc>
        <w:tc>
          <w:tcPr>
            <w:tcW w:type="dxa" w:w="21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NIST SSDF</w:t>
            </w:r>
          </w:p>
        </w:tc>
      </w:tr>
      <w:tr>
        <w:tc>
          <w:tcPr>
            <w:tcW w:type="dxa" w:w="22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Artifact Integrity</w:t>
            </w:r>
          </w:p>
        </w:tc>
        <w:tc>
          <w:tcPr>
            <w:tcW w:type="dxa" w:w="50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Sigstore signing, SBOM per release, provenance attestation, immutable tags, dependency pinning</w:t>
            </w:r>
          </w:p>
        </w:tc>
        <w:tc>
          <w:tcPr>
            <w:tcW w:type="dxa" w:w="21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SLSA Level 3</w:t>
            </w:r>
          </w:p>
        </w:tc>
      </w:tr>
      <w:tr>
        <w:tc>
          <w:tcPr>
            <w:tcW w:type="dxa" w:w="22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Audit &amp; Visibility</w:t>
            </w:r>
          </w:p>
        </w:tc>
        <w:tc>
          <w:tcPr>
            <w:tcW w:type="dxa" w:w="5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Immutable execution logs, skill invocation audit trail, compliance reports, retention policies</w:t>
            </w:r>
          </w:p>
        </w:tc>
        <w:tc>
          <w:tcPr>
            <w:tcW w:type="dxa" w:w="21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SOC2, ISO27001</w:t>
            </w:r>
          </w:p>
        </w:tc>
      </w:tr>
      <w:tr>
        <w:tc>
          <w:tcPr>
            <w:tcW w:type="dxa" w:w="22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Vulnerability Management</w:t>
            </w:r>
          </w:p>
        </w:tc>
        <w:tc>
          <w:tcPr>
            <w:tcW w:type="dxa" w:w="50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Dependabot, CodeQL, CVE alerting, SAST/DAST scanning, secret scanning in repos</w:t>
            </w:r>
          </w:p>
        </w:tc>
        <w:tc>
          <w:tcPr>
            <w:tcW w:type="dxa" w:w="21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OWASP SAMM</w:t>
            </w:r>
          </w:p>
        </w:tc>
      </w:tr>
      <w:tr>
        <w:tc>
          <w:tcPr>
            <w:tcW w:type="dxa" w:w="22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Policy Engine</w:t>
            </w:r>
          </w:p>
        </w:tc>
        <w:tc>
          <w:tcPr>
            <w:tcW w:type="dxa" w:w="5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OPA/Rego policies, policy-as-code, automatic blocking on policy violation, exception workflow</w:t>
            </w:r>
          </w:p>
        </w:tc>
        <w:tc>
          <w:tcPr>
            <w:tcW w:type="dxa" w:w="21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CIS Benchmarks</w:t>
            </w:r>
          </w:p>
        </w:tc>
      </w:tr>
    </w:tbl>
    <w:p>
      <w:pPr>
        <w:spacing w:after="160"/>
      </w:pPr>
    </w:p>
    <w:p>
      <w:pPr>
        <w:spacing w:after="0"/>
      </w:pPr>
      <w:r>
        <w:br w:type="page"/>
      </w:r>
    </w:p>
    <w:p>
      <w:pPr>
        <w:pStyle w:val="Heading1"/>
        <w:pBdr>
          <w:bottom w:val="single" w:color="1E6FD9" w:sz="6" w:space="4"/>
        </w:pBdr>
        <w:spacing w:after="180" w:before="360"/>
      </w:pPr>
      <w:r>
        <w:rPr>
          <w:rFonts w:ascii="Calibri" w:cs="Calibri" w:eastAsia="Calibri" w:hAnsi="Calibri"/>
          <w:b/>
          <w:bCs/>
          <w:color w:val="0D1B2A"/>
          <w:sz w:val="36"/>
          <w:szCs w:val="36"/>
        </w:rPr>
        <w:t xml:space="preserve">9. Governance Model</w:t>
      </w:r>
    </w:p>
    <w:p>
      <w:pPr>
        <w:pStyle w:val="Heading3"/>
        <w:spacing w:after="80" w:before="200"/>
      </w:pPr>
      <w:r>
        <w:rPr>
          <w:rFonts w:ascii="Calibri" w:cs="Calibri" w:eastAsia="Calibri" w:hAnsi="Calibri"/>
          <w:b/>
          <w:bCs/>
          <w:color w:val="1A2F45"/>
          <w:sz w:val="24"/>
          <w:szCs w:val="24"/>
        </w:rPr>
        <w:t xml:space="preserve">Skill Lifecycle</w:t>
      </w:r>
    </w:p>
    <w:p>
      <w:pPr>
        <w:spacing w:after="120"/>
      </w:pPr>
      <w:r>
        <w:rPr>
          <w:rFonts w:ascii="Calibri" w:cs="Calibri" w:eastAsia="Calibri" w:hAnsi="Calibri"/>
          <w:color w:val="374151"/>
          <w:sz w:val="22"/>
          <w:szCs w:val="22"/>
        </w:rPr>
        <w:t xml:space="preserve">Every skill follows a governed lifecycle from proposal through deprecation, ensuring quality, backward compatibility, and enterprise approval at each stage.</w:t>
      </w:r>
    </w:p>
    <w:p>
      <w:pPr>
        <w:spacing w:after="80"/>
      </w:pPr>
    </w:p>
    <w:p>
      <w:pPr>
        <w:spacing w:after="80" w:before="160"/>
      </w:pPr>
      <w:r>
        <w:rPr>
          <w:rFonts w:ascii="Calibri" w:cs="Calibri" w:eastAsia="Calibri" w:hAnsi="Calibri"/>
          <w:b/>
          <w:bCs/>
          <w:color w:val="1E6FD9"/>
          <w:sz w:val="20"/>
          <w:szCs w:val="20"/>
        </w:rPr>
        <w:t xml:space="preserve">LIFECYCLE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rPr>
          <w:tblHeader/>
        </w:trPr>
        <w:tc>
          <w:tcPr>
            <w:tcW w:type="dxa" w:w="200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Stage</w:t>
            </w:r>
          </w:p>
        </w:tc>
        <w:tc>
          <w:tcPr>
            <w:tcW w:type="dxa" w:w="480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Criteria</w:t>
            </w:r>
          </w:p>
        </w:tc>
        <w:tc>
          <w:tcPr>
            <w:tcW w:type="dxa" w:w="256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Gate Owner</w:t>
            </w:r>
          </w:p>
        </w:tc>
      </w:tr>
      <w:tr>
        <w:tc>
          <w:tcPr>
            <w:tcW w:type="dxa" w:w="2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Propose</w:t>
            </w:r>
          </w:p>
        </w:tc>
        <w:tc>
          <w:tcPr>
            <w:tcW w:type="dxa" w:w="4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RFC submitted; problem statement; ADR drafted; business case approved</w:t>
            </w:r>
          </w:p>
        </w:tc>
        <w:tc>
          <w:tcPr>
            <w:tcW w:type="dxa" w:w="25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Engineering Manager</w:t>
            </w:r>
          </w:p>
        </w:tc>
      </w:tr>
      <w:tr>
        <w:tc>
          <w:tcPr>
            <w:tcW w:type="dxa" w:w="20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Develop</w:t>
            </w:r>
          </w:p>
        </w:tc>
        <w:tc>
          <w:tcPr>
            <w:tcW w:type="dxa" w:w="48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TDD methodology; minimum 80% test coverage; SKILL.md contract complete</w:t>
            </w:r>
          </w:p>
        </w:tc>
        <w:tc>
          <w:tcPr>
            <w:tcW w:type="dxa" w:w="25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Platform Engineering</w:t>
            </w:r>
          </w:p>
        </w:tc>
      </w:tr>
      <w:tr>
        <w:tc>
          <w:tcPr>
            <w:tcW w:type="dxa" w:w="2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EA Review</w:t>
            </w:r>
          </w:p>
        </w:tc>
        <w:tc>
          <w:tcPr>
            <w:tcW w:type="dxa" w:w="4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Architecture Review Board review; security sign-off; compliance check</w:t>
            </w:r>
          </w:p>
        </w:tc>
        <w:tc>
          <w:tcPr>
            <w:tcW w:type="dxa" w:w="25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Enterprise Architecture</w:t>
            </w:r>
          </w:p>
        </w:tc>
      </w:tr>
      <w:tr>
        <w:tc>
          <w:tcPr>
            <w:tcW w:type="dxa" w:w="20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Publish v1.x</w:t>
            </w:r>
          </w:p>
        </w:tc>
        <w:tc>
          <w:tcPr>
            <w:tcW w:type="dxa" w:w="48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Semantic version tag; changelog; migration guide; SBOM generated</w:t>
            </w:r>
          </w:p>
        </w:tc>
        <w:tc>
          <w:tcPr>
            <w:tcW w:type="dxa" w:w="25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Platform Engineering</w:t>
            </w:r>
          </w:p>
        </w:tc>
      </w:tr>
      <w:tr>
        <w:tc>
          <w:tcPr>
            <w:tcW w:type="dxa" w:w="2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Operate</w:t>
            </w:r>
          </w:p>
        </w:tc>
        <w:tc>
          <w:tcPr>
            <w:tcW w:type="dxa" w:w="4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SLA monitoring active; runbook published; on-call defined</w:t>
            </w:r>
          </w:p>
        </w:tc>
        <w:tc>
          <w:tcPr>
            <w:tcW w:type="dxa" w:w="25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DevOps / SRE</w:t>
            </w:r>
          </w:p>
        </w:tc>
      </w:tr>
      <w:tr>
        <w:tc>
          <w:tcPr>
            <w:tcW w:type="dxa" w:w="20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Deprecate</w:t>
            </w:r>
          </w:p>
        </w:tc>
        <w:tc>
          <w:tcPr>
            <w:tcW w:type="dxa" w:w="48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90-day notice; migration guide; replacement skill documented</w:t>
            </w:r>
          </w:p>
        </w:tc>
        <w:tc>
          <w:tcPr>
            <w:tcW w:type="dxa" w:w="25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Platform Engineering</w:t>
            </w:r>
          </w:p>
        </w:tc>
      </w:tr>
    </w:tbl>
    <w:p>
      <w:pPr>
        <w:spacing w:after="200"/>
      </w:pPr>
    </w:p>
    <w:p>
      <w:pPr>
        <w:spacing w:after="80" w:before="160"/>
      </w:pPr>
      <w:r>
        <w:rPr>
          <w:rFonts w:ascii="Calibri" w:cs="Calibri" w:eastAsia="Calibri" w:hAnsi="Calibri"/>
          <w:b/>
          <w:bCs/>
          <w:color w:val="1E6FD9"/>
          <w:sz w:val="20"/>
          <w:szCs w:val="20"/>
        </w:rPr>
        <w:t xml:space="preserve">GOVERNANCE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Domain</w:t>
            </w:r>
          </w:p>
        </w:tc>
        <w:tc>
          <w:tcPr>
            <w:tcW w:type="dxa" w:w="500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Policy</w:t>
            </w:r>
          </w:p>
        </w:tc>
        <w:tc>
          <w:tcPr>
            <w:tcW w:type="dxa" w:w="216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Owner</w:t>
            </w:r>
          </w:p>
        </w:tc>
      </w:tr>
      <w:tr>
        <w:tc>
          <w:tcPr>
            <w:tcW w:type="dxa" w:w="22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Versioning</w:t>
            </w:r>
          </w:p>
        </w:tc>
        <w:tc>
          <w:tcPr>
            <w:tcW w:type="dxa" w:w="5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Semantic versioning (MAJOR.MINOR.PATCH); breaking changes require MAJOR bump with 6-month migration window</w:t>
            </w:r>
          </w:p>
        </w:tc>
        <w:tc>
          <w:tcPr>
            <w:tcW w:type="dxa" w:w="21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Platform Eng</w:t>
            </w:r>
          </w:p>
        </w:tc>
      </w:tr>
      <w:tr>
        <w:tc>
          <w:tcPr>
            <w:tcW w:type="dxa" w:w="22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EA Approval</w:t>
            </w:r>
          </w:p>
        </w:tc>
        <w:tc>
          <w:tcPr>
            <w:tcW w:type="dxa" w:w="50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All new skills require Architecture Review Board sign-off before publish</w:t>
            </w:r>
          </w:p>
        </w:tc>
        <w:tc>
          <w:tcPr>
            <w:tcW w:type="dxa" w:w="21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EA Board</w:t>
            </w:r>
          </w:p>
        </w:tc>
      </w:tr>
      <w:tr>
        <w:tc>
          <w:tcPr>
            <w:tcW w:type="dxa" w:w="22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Testing</w:t>
            </w:r>
          </w:p>
        </w:tc>
        <w:tc>
          <w:tcPr>
            <w:tcW w:type="dxa" w:w="5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Minimum 80% unit test coverage; integration tests mandatory before v1.0</w:t>
            </w:r>
          </w:p>
        </w:tc>
        <w:tc>
          <w:tcPr>
            <w:tcW w:type="dxa" w:w="21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QA Lead</w:t>
            </w:r>
          </w:p>
        </w:tc>
      </w:tr>
      <w:tr>
        <w:tc>
          <w:tcPr>
            <w:tcW w:type="dxa" w:w="22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Backward Compat</w:t>
            </w:r>
          </w:p>
        </w:tc>
        <w:tc>
          <w:tcPr>
            <w:tcW w:type="dxa" w:w="50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Minor/patch releases must be backward compatible; 90-day deprecation notice required</w:t>
            </w:r>
          </w:p>
        </w:tc>
        <w:tc>
          <w:tcPr>
            <w:tcW w:type="dxa" w:w="21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Platform Eng</w:t>
            </w:r>
          </w:p>
        </w:tc>
      </w:tr>
      <w:tr>
        <w:tc>
          <w:tcPr>
            <w:tcW w:type="dxa" w:w="22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Change Mgmt</w:t>
            </w:r>
          </w:p>
        </w:tc>
        <w:tc>
          <w:tcPr>
            <w:tcW w:type="dxa" w:w="5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All changes via Pull Request; two required reviewers (one EA, one Security)</w:t>
            </w:r>
          </w:p>
        </w:tc>
        <w:tc>
          <w:tcPr>
            <w:tcW w:type="dxa" w:w="21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Eng Managers</w:t>
            </w:r>
          </w:p>
        </w:tc>
      </w:tr>
      <w:tr>
        <w:tc>
          <w:tcPr>
            <w:tcW w:type="dxa" w:w="22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SLA</w:t>
            </w:r>
          </w:p>
        </w:tc>
        <w:tc>
          <w:tcPr>
            <w:tcW w:type="dxa" w:w="50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99.5% availability; p95 execution time published monthly to executive dashboard</w:t>
            </w:r>
          </w:p>
        </w:tc>
        <w:tc>
          <w:tcPr>
            <w:tcW w:type="dxa" w:w="21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DevOps / SRE</w:t>
            </w:r>
          </w:p>
        </w:tc>
      </w:tr>
    </w:tbl>
    <w:p>
      <w:pPr>
        <w:spacing w:after="160"/>
      </w:pPr>
    </w:p>
    <w:p>
      <w:pPr>
        <w:spacing w:after="0"/>
      </w:pPr>
      <w:r>
        <w:br w:type="page"/>
      </w:r>
    </w:p>
    <w:p>
      <w:pPr>
        <w:pStyle w:val="Heading1"/>
        <w:pBdr>
          <w:bottom w:val="single" w:color="1E6FD9" w:sz="6" w:space="4"/>
        </w:pBdr>
        <w:spacing w:after="180" w:before="360"/>
      </w:pPr>
      <w:r>
        <w:rPr>
          <w:rFonts w:ascii="Calibri" w:cs="Calibri" w:eastAsia="Calibri" w:hAnsi="Calibri"/>
          <w:b/>
          <w:bCs/>
          <w:color w:val="0D1B2A"/>
          <w:sz w:val="36"/>
          <w:szCs w:val="36"/>
        </w:rPr>
        <w:t xml:space="preserve">10. Scalability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600"/>
        <w:gridCol w:w="2360"/>
      </w:tblGrid>
      <w:tr>
        <w:trPr>
          <w:tblHeader/>
        </w:trPr>
        <w:tc>
          <w:tcPr>
            <w:tcW w:type="dxa" w:w="160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Scale Tier</w:t>
            </w:r>
          </w:p>
        </w:tc>
        <w:tc>
          <w:tcPr>
            <w:tcW w:type="dxa" w:w="180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Repositories</w:t>
            </w:r>
          </w:p>
        </w:tc>
        <w:tc>
          <w:tcPr>
            <w:tcW w:type="dxa" w:w="360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Architecture Pattern</w:t>
            </w:r>
          </w:p>
        </w:tc>
        <w:tc>
          <w:tcPr>
            <w:tcW w:type="dxa" w:w="236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Key Concern</w:t>
            </w:r>
          </w:p>
        </w:tc>
      </w:tr>
      <w:tr>
        <w:tc>
          <w:tcPr>
            <w:tcW w:type="dxa" w:w="16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Pilot</w:t>
            </w:r>
          </w:p>
        </w:tc>
        <w:tc>
          <w:tcPr>
            <w:tcW w:type="dxa" w:w="1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10</w:t>
            </w:r>
          </w:p>
        </w:tc>
        <w:tc>
          <w:tcPr>
            <w:tcW w:type="dxa" w:w="36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Single centralized repo; flat skill namespace</w:t>
            </w:r>
          </w:p>
        </w:tc>
        <w:tc>
          <w:tcPr>
            <w:tcW w:type="dxa" w:w="23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Developer adoption, feedback loops</w:t>
            </w:r>
          </w:p>
        </w:tc>
      </w:tr>
      <w:tr>
        <w:tc>
          <w:tcPr>
            <w:tcW w:type="dxa" w:w="16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Growth</w:t>
            </w:r>
          </w:p>
        </w:tc>
        <w:tc>
          <w:tcPr>
            <w:tcW w:type="dxa" w:w="18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100</w:t>
            </w:r>
          </w:p>
        </w:tc>
        <w:tc>
          <w:tcPr>
            <w:tcW w:type="dxa" w:w="36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Domain namespacing; caching layer; metrics pipeline</w:t>
            </w:r>
          </w:p>
        </w:tc>
        <w:tc>
          <w:tcPr>
            <w:tcW w:type="dxa" w:w="23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Concurrent invocations, version drift</w:t>
            </w:r>
          </w:p>
        </w:tc>
      </w:tr>
      <w:tr>
        <w:tc>
          <w:tcPr>
            <w:tcW w:type="dxa" w:w="16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Enterprise</w:t>
            </w:r>
          </w:p>
        </w:tc>
        <w:tc>
          <w:tcPr>
            <w:tcW w:type="dxa" w:w="1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1,000+</w:t>
            </w:r>
          </w:p>
        </w:tc>
        <w:tc>
          <w:tcPr>
            <w:tcW w:type="dxa" w:w="36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Multi-BU namespaces; federation; rate limiting; internal registry mirror</w:t>
            </w:r>
          </w:p>
        </w:tc>
        <w:tc>
          <w:tcPr>
            <w:tcW w:type="dxa" w:w="23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Governance at scale, multi-cloud</w:t>
            </w:r>
          </w:p>
        </w:tc>
      </w:tr>
      <w:tr>
        <w:tc>
          <w:tcPr>
            <w:tcW w:type="dxa" w:w="16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Global</w:t>
            </w:r>
          </w:p>
        </w:tc>
        <w:tc>
          <w:tcPr>
            <w:tcW w:type="dxa" w:w="18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Unlimited</w:t>
            </w:r>
          </w:p>
        </w:tc>
        <w:tc>
          <w:tcPr>
            <w:tcW w:type="dxa" w:w="36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Backstage-integrated IDP; MCP server mesh; AI agent skill routing</w:t>
            </w:r>
          </w:p>
        </w:tc>
        <w:tc>
          <w:tcPr>
            <w:tcW w:type="dxa" w:w="23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AI governance, cross-region compliance</w:t>
            </w:r>
          </w:p>
        </w:tc>
      </w:tr>
    </w:tbl>
    <w:p>
      <w:pPr>
        <w:spacing w:after="200"/>
      </w:pPr>
    </w:p>
    <w:p>
      <w:pPr>
        <w:pStyle w:val="Heading3"/>
        <w:spacing w:after="80" w:before="200"/>
      </w:pPr>
      <w:r>
        <w:rPr>
          <w:rFonts w:ascii="Calibri" w:cs="Calibri" w:eastAsia="Calibri" w:hAnsi="Calibri"/>
          <w:b/>
          <w:bCs/>
          <w:color w:val="1A2F45"/>
          <w:sz w:val="24"/>
          <w:szCs w:val="24"/>
        </w:rPr>
        <w:t xml:space="preserve">Multi-Language &amp; Multi-Cloud Support</w:t>
      </w:r>
    </w:p>
    <w:p>
      <w:pPr>
        <w:spacing w:after="120"/>
      </w:pPr>
      <w:r>
        <w:rPr>
          <w:rFonts w:ascii="Calibri" w:cs="Calibri" w:eastAsia="Calibri" w:hAnsi="Calibri"/>
          <w:color w:val="374151"/>
          <w:sz w:val="22"/>
          <w:szCs w:val="22"/>
        </w:rPr>
        <w:t xml:space="preserve">The platform supports all enterprise programming languages and cloud platforms through configurable skill parameters:</w:t>
      </w:r>
    </w:p>
    <w:p>
      <w:pPr>
        <w:shd w:fill="F1F5F9" w:val="clear"/>
        <w:spacing w:after="0" w:before="0"/>
        <w:ind w:left="360"/>
      </w:pPr>
      <w:r>
        <w:rPr>
          <w:rFonts w:ascii="Courier New" w:cs="Courier New" w:eastAsia="Courier New" w:hAnsi="Courier New"/>
          <w:color w:val="1E3A5F"/>
          <w:sz w:val="18"/>
          <w:szCs w:val="18"/>
        </w:rPr>
        <w:t xml:space="preserve"># skill-config.yaml — per-repository configuration</w:t>
      </w:r>
    </w:p>
    <w:p>
      <w:pPr>
        <w:shd w:fill="F1F5F9" w:val="clear"/>
        <w:spacing w:after="0" w:before="0"/>
        <w:ind w:left="360"/>
      </w:pPr>
      <w:r>
        <w:rPr>
          <w:rFonts w:ascii="Courier New" w:cs="Courier New" w:eastAsia="Courier New" w:hAnsi="Courier New"/>
          <w:color w:val="1E3A5F"/>
          <w:sz w:val="18"/>
          <w:szCs w:val="18"/>
        </w:rPr>
        <w:t xml:space="preserve">language: python          # python, java, typescript, go, rust, csharp</w:t>
      </w:r>
    </w:p>
    <w:p>
      <w:pPr>
        <w:shd w:fill="F1F5F9" w:val="clear"/>
        <w:spacing w:after="0" w:before="0"/>
        <w:ind w:left="360"/>
      </w:pPr>
      <w:r>
        <w:rPr>
          <w:rFonts w:ascii="Courier New" w:cs="Courier New" w:eastAsia="Courier New" w:hAnsi="Courier New"/>
          <w:color w:val="1E3A5F"/>
          <w:sz w:val="18"/>
          <w:szCs w:val="18"/>
        </w:rPr>
        <w:t xml:space="preserve">framework: pytest         # pytest, junit, jest, gtest, xunit</w:t>
      </w:r>
    </w:p>
    <w:p>
      <w:pPr>
        <w:shd w:fill="F1F5F9" w:val="clear"/>
        <w:spacing w:after="0" w:before="0"/>
        <w:ind w:left="360"/>
      </w:pPr>
      <w:r>
        <w:rPr>
          <w:rFonts w:ascii="Courier New" w:cs="Courier New" w:eastAsia="Courier New" w:hAnsi="Courier New"/>
          <w:color w:val="1E3A5F"/>
          <w:sz w:val="18"/>
          <w:szCs w:val="18"/>
        </w:rPr>
        <w:t xml:space="preserve">cloud: aws                # aws, azure, gcp, multi</w:t>
      </w:r>
    </w:p>
    <w:p>
      <w:pPr>
        <w:shd w:fill="F1F5F9" w:val="clear"/>
        <w:spacing w:after="0" w:before="0"/>
        <w:ind w:left="360"/>
      </w:pPr>
      <w:r>
        <w:rPr>
          <w:rFonts w:ascii="Courier New" w:cs="Courier New" w:eastAsia="Courier New" w:hAnsi="Courier New"/>
          <w:color w:val="1E3A5F"/>
          <w:sz w:val="18"/>
          <w:szCs w:val="18"/>
        </w:rPr>
        <w:t xml:space="preserve">compliance: soc2          # soc2, hipaa, pci, iso27001</w:t>
      </w:r>
    </w:p>
    <w:p>
      <w:pPr>
        <w:spacing w:after="160"/>
      </w:pPr>
    </w:p>
    <w:p>
      <w:pPr>
        <w:spacing w:after="0"/>
      </w:pPr>
      <w:r>
        <w:br w:type="page"/>
      </w:r>
    </w:p>
    <w:p>
      <w:pPr>
        <w:pStyle w:val="Heading1"/>
        <w:pBdr>
          <w:bottom w:val="single" w:color="1E6FD9" w:sz="6" w:space="4"/>
        </w:pBdr>
        <w:spacing w:after="180" w:before="360"/>
      </w:pPr>
      <w:r>
        <w:rPr>
          <w:rFonts w:ascii="Calibri" w:cs="Calibri" w:eastAsia="Calibri" w:hAnsi="Calibri"/>
          <w:b/>
          <w:bCs/>
          <w:color w:val="0D1B2A"/>
          <w:sz w:val="36"/>
          <w:szCs w:val="36"/>
        </w:rPr>
        <w:t xml:space="preserve">11. ROI &amp; Business Case</w:t>
      </w:r>
    </w:p>
    <w:p>
      <w:pPr>
        <w:pStyle w:val="Heading3"/>
        <w:spacing w:after="80" w:before="200"/>
      </w:pPr>
      <w:r>
        <w:rPr>
          <w:rFonts w:ascii="Calibri" w:cs="Calibri" w:eastAsia="Calibri" w:hAnsi="Calibri"/>
          <w:b/>
          <w:bCs/>
          <w:color w:val="1A2F45"/>
          <w:sz w:val="24"/>
          <w:szCs w:val="24"/>
        </w:rPr>
        <w:t xml:space="preserve">3-Year Financial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Year</w:t>
            </w:r>
          </w:p>
        </w:tc>
        <w:tc>
          <w:tcPr>
            <w:tcW w:type="dxa" w:w="234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Investment</w:t>
            </w:r>
          </w:p>
        </w:tc>
        <w:tc>
          <w:tcPr>
            <w:tcW w:type="dxa" w:w="234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Savings</w:t>
            </w:r>
          </w:p>
        </w:tc>
        <w:tc>
          <w:tcPr>
            <w:tcW w:type="dxa" w:w="234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Net Return</w:t>
            </w:r>
          </w:p>
        </w:tc>
      </w:tr>
      <w:tr>
        <w:tc>
          <w:tcPr>
            <w:tcW w:type="dxa" w:w="234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Year 1</w:t>
            </w:r>
          </w:p>
        </w:tc>
        <w:tc>
          <w:tcPr>
            <w:tcW w:type="dxa" w:w="234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$800,000</w:t>
            </w:r>
          </w:p>
        </w:tc>
        <w:tc>
          <w:tcPr>
            <w:tcW w:type="dxa" w:w="234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$400,000</w:t>
            </w:r>
          </w:p>
        </w:tc>
        <w:tc>
          <w:tcPr>
            <w:tcW w:type="dxa" w:w="234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−$400,000</w:t>
            </w:r>
          </w:p>
        </w:tc>
      </w:tr>
      <w:tr>
        <w:tc>
          <w:tcPr>
            <w:tcW w:type="dxa" w:w="234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Year 2</w:t>
            </w:r>
          </w:p>
        </w:tc>
        <w:tc>
          <w:tcPr>
            <w:tcW w:type="dxa" w:w="234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$600,000</w:t>
            </w:r>
          </w:p>
        </w:tc>
        <w:tc>
          <w:tcPr>
            <w:tcW w:type="dxa" w:w="234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$1,750,000</w:t>
            </w:r>
          </w:p>
        </w:tc>
        <w:tc>
          <w:tcPr>
            <w:tcW w:type="dxa" w:w="234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+$1,150,000</w:t>
            </w:r>
          </w:p>
        </w:tc>
      </w:tr>
      <w:tr>
        <w:tc>
          <w:tcPr>
            <w:tcW w:type="dxa" w:w="234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Year 3</w:t>
            </w:r>
          </w:p>
        </w:tc>
        <w:tc>
          <w:tcPr>
            <w:tcW w:type="dxa" w:w="234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$400,000</w:t>
            </w:r>
          </w:p>
        </w:tc>
        <w:tc>
          <w:tcPr>
            <w:tcW w:type="dxa" w:w="234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$2,750,000</w:t>
            </w:r>
          </w:p>
        </w:tc>
        <w:tc>
          <w:tcPr>
            <w:tcW w:type="dxa" w:w="234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+$2,350,000</w:t>
            </w:r>
          </w:p>
        </w:tc>
      </w:tr>
      <w:tr>
        <w:tc>
          <w:tcPr>
            <w:tcW w:type="dxa" w:w="234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3-Year Total</w:t>
            </w:r>
          </w:p>
        </w:tc>
        <w:tc>
          <w:tcPr>
            <w:tcW w:type="dxa" w:w="234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$1,800,000</w:t>
            </w:r>
          </w:p>
        </w:tc>
        <w:tc>
          <w:tcPr>
            <w:tcW w:type="dxa" w:w="234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$4,900,000</w:t>
            </w:r>
          </w:p>
        </w:tc>
        <w:tc>
          <w:tcPr>
            <w:tcW w:type="dxa" w:w="234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+$3,100,000 (+172%)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FD9" w:sz="1"/>
              <w:left w:val="single" w:color="1E6FD9" w:sz="1"/>
              <w:bottom w:val="single" w:color="1E6FD9" w:sz="1"/>
              <w:right w:val="single" w:color="1E6FD9" w:sz="1"/>
            </w:tcBorders>
            <w:shd w:fill="EFF6FF" w:val="clear"/>
            <w:tcMar>
              <w:top w:type="dxa" w:w="120"/>
              <w:left w:type="dxa" w:w="180"/>
              <w:bottom w:type="dxa" w:w="120"/>
              <w:right w:type="dxa" w:w="180"/>
            </w:tcMar>
          </w:tcPr>
          <w:p>
            <w:pPr>
              <w:spacing w:after="60"/>
            </w:pPr>
            <w:r>
              <w:rPr>
                <w:rFonts w:ascii="Calibri" w:cs="Calibri" w:eastAsia="Calibri" w:hAnsi="Calibri"/>
                <w:b/>
                <w:bCs/>
                <w:caps/>
                <w:color w:val="1E6FD9"/>
                <w:sz w:val="20"/>
                <w:szCs w:val="20"/>
              </w:rPr>
              <w:t xml:space="preserve">Investment Highlights</w:t>
            </w:r>
          </w:p>
          <w:p>
            <w:pPr>
              <w:spacing w:after="0"/>
            </w:pPr>
            <w:r>
              <w:rPr>
                <w:rFonts w:ascii="Calibri" w:cs="Calibri" w:eastAsia="Calibri" w:hAnsi="Calibri"/>
                <w:color w:val="374151"/>
                <w:sz w:val="22"/>
                <w:szCs w:val="22"/>
              </w:rPr>
              <w:t xml:space="preserve">3-Year Net ROI: +$3.1M (+172%)  ·  Breakeven: Month 14  ·  IRR: 89%</w:t>
            </w:r>
          </w:p>
        </w:tc>
      </w:tr>
    </w:tbl>
    <w:p>
      <w:pPr>
        <w:spacing w:after="200"/>
      </w:pPr>
    </w:p>
    <w:p>
      <w:pPr>
        <w:spacing w:after="80" w:before="160"/>
      </w:pPr>
      <w:r>
        <w:rPr>
          <w:rFonts w:ascii="Calibri" w:cs="Calibri" w:eastAsia="Calibri" w:hAnsi="Calibri"/>
          <w:b/>
          <w:bCs/>
          <w:color w:val="1E6FD9"/>
          <w:sz w:val="20"/>
          <w:szCs w:val="20"/>
        </w:rPr>
        <w:t xml:space="preserve">VALUE DRIVER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rPr>
          <w:tblHeader/>
        </w:trPr>
        <w:tc>
          <w:tcPr>
            <w:tcW w:type="dxa" w:w="360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Value Driver</w:t>
            </w:r>
          </w:p>
        </w:tc>
        <w:tc>
          <w:tcPr>
            <w:tcW w:type="dxa" w:w="336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Metric</w:t>
            </w:r>
          </w:p>
        </w:tc>
        <w:tc>
          <w:tcPr>
            <w:tcW w:type="dxa" w:w="240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Annual Value</w:t>
            </w:r>
          </w:p>
        </w:tc>
      </w:tr>
      <w:tr>
        <w:tc>
          <w:tcPr>
            <w:tcW w:type="dxa" w:w="36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Duplicate Automation Eliminated</w:t>
            </w:r>
          </w:p>
        </w:tc>
        <w:tc>
          <w:tcPr>
            <w:tcW w:type="dxa" w:w="33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2,400 hrs/yr saved across 100 repos @ $200/hr</w:t>
            </w:r>
          </w:p>
        </w:tc>
        <w:tc>
          <w:tcPr>
            <w:tcW w:type="dxa" w:w="24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$480,000</w:t>
            </w:r>
          </w:p>
        </w:tc>
      </w:tr>
      <w:tr>
        <w:tc>
          <w:tcPr>
            <w:tcW w:type="dxa" w:w="36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Faster Repository Onboarding</w:t>
            </w:r>
          </w:p>
        </w:tc>
        <w:tc>
          <w:tcPr>
            <w:tcW w:type="dxa" w:w="33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3 weeks → 3 days × 40 repos/yr</w:t>
            </w:r>
          </w:p>
        </w:tc>
        <w:tc>
          <w:tcPr>
            <w:tcW w:type="dxa" w:w="24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$320,000</w:t>
            </w:r>
          </w:p>
        </w:tc>
      </w:tr>
      <w:tr>
        <w:tc>
          <w:tcPr>
            <w:tcW w:type="dxa" w:w="36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Reduced Maintenance Burden</w:t>
            </w:r>
          </w:p>
        </w:tc>
        <w:tc>
          <w:tcPr>
            <w:tcW w:type="dxa" w:w="33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1 team maintains vs. N teams @ current ratio</w:t>
            </w:r>
          </w:p>
        </w:tc>
        <w:tc>
          <w:tcPr>
            <w:tcW w:type="dxa" w:w="24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$600,000</w:t>
            </w:r>
          </w:p>
        </w:tc>
      </w:tr>
      <w:tr>
        <w:tc>
          <w:tcPr>
            <w:tcW w:type="dxa" w:w="36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Defect Reduction</w:t>
            </w:r>
          </w:p>
        </w:tc>
        <w:tc>
          <w:tcPr>
            <w:tcW w:type="dxa" w:w="33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30% fewer escaped defects via standardized scanning</w:t>
            </w:r>
          </w:p>
        </w:tc>
        <w:tc>
          <w:tcPr>
            <w:tcW w:type="dxa" w:w="24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$750,000</w:t>
            </w:r>
          </w:p>
        </w:tc>
      </w:tr>
      <w:tr>
        <w:tc>
          <w:tcPr>
            <w:tcW w:type="dxa" w:w="36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Compliance Automation</w:t>
            </w:r>
          </w:p>
        </w:tc>
        <w:tc>
          <w:tcPr>
            <w:tcW w:type="dxa" w:w="33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Manual audit prep eliminated (800 hrs/yr)</w:t>
            </w:r>
          </w:p>
        </w:tc>
        <w:tc>
          <w:tcPr>
            <w:tcW w:type="dxa" w:w="24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$200,000</w:t>
            </w:r>
          </w:p>
        </w:tc>
      </w:tr>
      <w:tr>
        <w:tc>
          <w:tcPr>
            <w:tcW w:type="dxa" w:w="36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Developer Productivity</w:t>
            </w:r>
          </w:p>
        </w:tc>
        <w:tc>
          <w:tcPr>
            <w:tcW w:type="dxa" w:w="33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20 min/day recovered per developer × 200 developers</w:t>
            </w:r>
          </w:p>
        </w:tc>
        <w:tc>
          <w:tcPr>
            <w:tcW w:type="dxa" w:w="24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$1,460,000</w:t>
            </w:r>
          </w:p>
        </w:tc>
      </w:tr>
    </w:tbl>
    <w:p>
      <w:pPr>
        <w:spacing w:after="160"/>
      </w:pPr>
    </w:p>
    <w:p>
      <w:pPr>
        <w:spacing w:after="0"/>
      </w:pPr>
      <w:r>
        <w:br w:type="page"/>
      </w:r>
    </w:p>
    <w:p>
      <w:pPr>
        <w:pStyle w:val="Heading1"/>
        <w:pBdr>
          <w:bottom w:val="single" w:color="1E6FD9" w:sz="6" w:space="4"/>
        </w:pBdr>
        <w:spacing w:after="180" w:before="360"/>
      </w:pPr>
      <w:r>
        <w:rPr>
          <w:rFonts w:ascii="Calibri" w:cs="Calibri" w:eastAsia="Calibri" w:hAnsi="Calibri"/>
          <w:b/>
          <w:bCs/>
          <w:color w:val="0D1B2A"/>
          <w:sz w:val="36"/>
          <w:szCs w:val="36"/>
        </w:rPr>
        <w:t xml:space="preserve">12. Strategic Roadmap</w:t>
      </w:r>
    </w:p>
    <w:p>
      <w:pPr>
        <w:pStyle w:val="Heading3"/>
        <w:spacing w:after="80" w:before="200"/>
      </w:pPr>
      <w:r>
        <w:rPr>
          <w:rFonts w:ascii="Calibri" w:cs="Calibri" w:eastAsia="Calibri" w:hAnsi="Calibri"/>
          <w:b/>
          <w:bCs/>
          <w:color w:val="1A2F45"/>
          <w:sz w:val="24"/>
          <w:szCs w:val="24"/>
        </w:rPr>
        <w:t xml:space="preserve">Four-Phase Journey to the Engineering Operating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rPr>
          <w:tblHeader/>
        </w:trPr>
        <w:tc>
          <w:tcPr>
            <w:tcW w:type="dxa" w:w="220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Phase</w:t>
            </w:r>
          </w:p>
        </w:tc>
        <w:tc>
          <w:tcPr>
            <w:tcW w:type="dxa" w:w="180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Timeline</w:t>
            </w:r>
          </w:p>
        </w:tc>
        <w:tc>
          <w:tcPr>
            <w:tcW w:type="dxa" w:w="160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Focus</w:t>
            </w:r>
          </w:p>
        </w:tc>
        <w:tc>
          <w:tcPr>
            <w:tcW w:type="dxa" w:w="376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Key Deliverables</w:t>
            </w:r>
          </w:p>
        </w:tc>
      </w:tr>
      <w:tr>
        <w:tc>
          <w:tcPr>
            <w:tcW w:type="dxa" w:w="22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Phase 1 — Test Engineering</w:t>
            </w:r>
          </w:p>
        </w:tc>
        <w:tc>
          <w:tcPr>
            <w:tcW w:type="dxa" w:w="1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Q1–Q2 2025</w:t>
            </w:r>
          </w:p>
        </w:tc>
        <w:tc>
          <w:tcPr>
            <w:tcW w:type="dxa" w:w="16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Foundation</w:t>
            </w:r>
          </w:p>
        </w:tc>
        <w:tc>
          <w:tcPr>
            <w:tcW w:type="dxa" w:w="37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7 test skills, GitHub Actions, qTest pipeline, 10 pilot repos, governance v1</w:t>
            </w:r>
          </w:p>
        </w:tc>
      </w:tr>
      <w:tr>
        <w:tc>
          <w:tcPr>
            <w:tcW w:type="dxa" w:w="22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Phase 2 — SDLC Platform</w:t>
            </w:r>
          </w:p>
        </w:tc>
        <w:tc>
          <w:tcPr>
            <w:tcW w:type="dxa" w:w="18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Q3 2025–Q2 2026</w:t>
            </w:r>
          </w:p>
        </w:tc>
        <w:tc>
          <w:tcPr>
            <w:tcW w:type="dxa" w:w="16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Expansion</w:t>
            </w:r>
          </w:p>
        </w:tc>
        <w:tc>
          <w:tcPr>
            <w:tcW w:type="dxa" w:w="37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17 SDLC skills, Copilot integration, 100 repos, Backstage IDP, security skills</w:t>
            </w:r>
          </w:p>
        </w:tc>
      </w:tr>
      <w:tr>
        <w:tc>
          <w:tcPr>
            <w:tcW w:type="dxa" w:w="22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Phase 3 — AI Engineering</w:t>
            </w:r>
          </w:p>
        </w:tc>
        <w:tc>
          <w:tcPr>
            <w:tcW w:type="dxa" w:w="1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Q3 2026–Q2 2027</w:t>
            </w:r>
          </w:p>
        </w:tc>
        <w:tc>
          <w:tcPr>
            <w:tcW w:type="dxa" w:w="16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AI-First</w:t>
            </w:r>
          </w:p>
        </w:tc>
        <w:tc>
          <w:tcPr>
            <w:tcW w:type="dxa" w:w="37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MCP server, AI agent consumers, 500 repos, multi-BU, Skills SDK</w:t>
            </w:r>
          </w:p>
        </w:tc>
      </w:tr>
      <w:tr>
        <w:tc>
          <w:tcPr>
            <w:tcW w:type="dxa" w:w="22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Phase 4 — Engineering OS</w:t>
            </w:r>
          </w:p>
        </w:tc>
        <w:tc>
          <w:tcPr>
            <w:tcW w:type="dxa" w:w="18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2027–2028</w:t>
            </w:r>
          </w:p>
        </w:tc>
        <w:tc>
          <w:tcPr>
            <w:tcW w:type="dxa" w:w="16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Platform</w:t>
            </w:r>
          </w:p>
        </w:tc>
        <w:tc>
          <w:tcPr>
            <w:tcW w:type="dxa" w:w="37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1,000+ repos, federation, cross-BU governance, external SDK, industry reference</w:t>
            </w:r>
          </w:p>
        </w:tc>
      </w:tr>
    </w:tbl>
    <w:p>
      <w:pPr>
        <w:spacing w:after="200"/>
      </w:pPr>
    </w:p>
    <w:p>
      <w:pPr>
        <w:pStyle w:val="Heading3"/>
        <w:spacing w:after="80" w:before="200"/>
      </w:pPr>
      <w:r>
        <w:rPr>
          <w:rFonts w:ascii="Calibri" w:cs="Calibri" w:eastAsia="Calibri" w:hAnsi="Calibri"/>
          <w:b/>
          <w:bCs/>
          <w:color w:val="1A2F45"/>
          <w:sz w:val="24"/>
          <w:szCs w:val="24"/>
        </w:rPr>
        <w:t xml:space="preserve">Long-Term Vision: Engineering Operating System</w:t>
      </w:r>
    </w:p>
    <w:p>
      <w:pPr>
        <w:spacing w:after="120"/>
      </w:pPr>
      <w:r>
        <w:rPr>
          <w:rFonts w:ascii="Calibri" w:cs="Calibri" w:eastAsia="Calibri" w:hAnsi="Calibri"/>
          <w:color w:val="374151"/>
          <w:sz w:val="22"/>
          <w:szCs w:val="22"/>
        </w:rPr>
        <w:t xml:space="preserve">The Engineering Skills Platform evolves into the Engineering Operating System — the single source of engineering truth consumed by every tool, every AI model, and every developer in the enterprise. Future consumers include GitHub Actions, GitHub Copilot, VS Code, Claude Code, Cursor, Windsurf, MCP Servers, Internal Developer Portal, Jenkins, Azure DevOps, GitLab CI, and AI Agents.</w:t>
      </w:r>
    </w:p>
    <w:p>
      <w:pPr>
        <w:spacing w:after="160"/>
      </w:pPr>
    </w:p>
    <w:p>
      <w:pPr>
        <w:spacing w:after="0"/>
      </w:pPr>
      <w:r>
        <w:br w:type="page"/>
      </w:r>
    </w:p>
    <w:p>
      <w:pPr>
        <w:pStyle w:val="Heading1"/>
        <w:pBdr>
          <w:bottom w:val="single" w:color="1E6FD9" w:sz="6" w:space="4"/>
        </w:pBdr>
        <w:spacing w:after="180" w:before="360"/>
      </w:pPr>
      <w:r>
        <w:rPr>
          <w:rFonts w:ascii="Calibri" w:cs="Calibri" w:eastAsia="Calibri" w:hAnsi="Calibri"/>
          <w:b/>
          <w:bCs/>
          <w:color w:val="0D1B2A"/>
          <w:sz w:val="36"/>
          <w:szCs w:val="36"/>
        </w:rPr>
        <w:t xml:space="preserve">13. KPIs &amp; Success Metrics</w:t>
      </w:r>
    </w:p>
    <w:p>
      <w:pPr>
        <w:pStyle w:val="Heading3"/>
        <w:spacing w:after="80" w:before="200"/>
      </w:pPr>
      <w:r>
        <w:rPr>
          <w:rFonts w:ascii="Calibri" w:cs="Calibri" w:eastAsia="Calibri" w:hAnsi="Calibri"/>
          <w:b/>
          <w:bCs/>
          <w:color w:val="1A2F45"/>
          <w:sz w:val="24"/>
          <w:szCs w:val="24"/>
        </w:rPr>
        <w:t xml:space="preserve">Executive Dashboard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1680"/>
        <w:gridCol w:w="1800"/>
        <w:gridCol w:w="1520"/>
      </w:tblGrid>
      <w:tr>
        <w:trPr>
          <w:tblHeader/>
        </w:trPr>
        <w:tc>
          <w:tcPr>
            <w:tcW w:type="dxa" w:w="280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KPI</w:t>
            </w:r>
          </w:p>
        </w:tc>
        <w:tc>
          <w:tcPr>
            <w:tcW w:type="dxa" w:w="156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Baseline</w:t>
            </w:r>
          </w:p>
        </w:tc>
        <w:tc>
          <w:tcPr>
            <w:tcW w:type="dxa" w:w="168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6-Month Target</w:t>
            </w:r>
          </w:p>
        </w:tc>
        <w:tc>
          <w:tcPr>
            <w:tcW w:type="dxa" w:w="180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12-Month Target</w:t>
            </w:r>
          </w:p>
        </w:tc>
        <w:tc>
          <w:tcPr>
            <w:tcW w:type="dxa" w:w="152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Owner</w:t>
            </w:r>
          </w:p>
        </w:tc>
      </w:tr>
      <w:tr>
        <w:tc>
          <w:tcPr>
            <w:tcW w:type="dxa" w:w="2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Skills Reuse Rate</w:t>
            </w:r>
          </w:p>
        </w:tc>
        <w:tc>
          <w:tcPr>
            <w:tcW w:type="dxa" w:w="15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0%</w:t>
            </w:r>
          </w:p>
        </w:tc>
        <w:tc>
          <w:tcPr>
            <w:tcW w:type="dxa" w:w="16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60%</w:t>
            </w:r>
          </w:p>
        </w:tc>
        <w:tc>
          <w:tcPr>
            <w:tcW w:type="dxa" w:w="1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90%</w:t>
            </w:r>
          </w:p>
        </w:tc>
        <w:tc>
          <w:tcPr>
            <w:tcW w:type="dxa" w:w="152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Platform Eng</w:t>
            </w:r>
          </w:p>
        </w:tc>
      </w:tr>
      <w:tr>
        <w:tc>
          <w:tcPr>
            <w:tcW w:type="dxa" w:w="28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Repos Onboarded</w:t>
            </w:r>
          </w:p>
        </w:tc>
        <w:tc>
          <w:tcPr>
            <w:tcW w:type="dxa" w:w="15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0</w:t>
            </w:r>
          </w:p>
        </w:tc>
        <w:tc>
          <w:tcPr>
            <w:tcW w:type="dxa" w:w="168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25</w:t>
            </w:r>
          </w:p>
        </w:tc>
        <w:tc>
          <w:tcPr>
            <w:tcW w:type="dxa" w:w="18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100</w:t>
            </w:r>
          </w:p>
        </w:tc>
        <w:tc>
          <w:tcPr>
            <w:tcW w:type="dxa" w:w="152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Eng Managers</w:t>
            </w:r>
          </w:p>
        </w:tc>
      </w:tr>
      <w:tr>
        <w:tc>
          <w:tcPr>
            <w:tcW w:type="dxa" w:w="2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SDLC Automation Coverage</w:t>
            </w:r>
          </w:p>
        </w:tc>
        <w:tc>
          <w:tcPr>
            <w:tcW w:type="dxa" w:w="15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~20%</w:t>
            </w:r>
          </w:p>
        </w:tc>
        <w:tc>
          <w:tcPr>
            <w:tcW w:type="dxa" w:w="16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50%</w:t>
            </w:r>
          </w:p>
        </w:tc>
        <w:tc>
          <w:tcPr>
            <w:tcW w:type="dxa" w:w="1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85%</w:t>
            </w:r>
          </w:p>
        </w:tc>
        <w:tc>
          <w:tcPr>
            <w:tcW w:type="dxa" w:w="152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DevOps Lead</w:t>
            </w:r>
          </w:p>
        </w:tc>
      </w:tr>
      <w:tr>
        <w:tc>
          <w:tcPr>
            <w:tcW w:type="dxa" w:w="28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Test Automation Coverage</w:t>
            </w:r>
          </w:p>
        </w:tc>
        <w:tc>
          <w:tcPr>
            <w:tcW w:type="dxa" w:w="15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Varies</w:t>
            </w:r>
          </w:p>
        </w:tc>
        <w:tc>
          <w:tcPr>
            <w:tcW w:type="dxa" w:w="168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60% all repos</w:t>
            </w:r>
          </w:p>
        </w:tc>
        <w:tc>
          <w:tcPr>
            <w:tcW w:type="dxa" w:w="18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80% all repos</w:t>
            </w:r>
          </w:p>
        </w:tc>
        <w:tc>
          <w:tcPr>
            <w:tcW w:type="dxa" w:w="152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QA Lead</w:t>
            </w:r>
          </w:p>
        </w:tc>
      </w:tr>
      <w:tr>
        <w:tc>
          <w:tcPr>
            <w:tcW w:type="dxa" w:w="2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Defect Escape Rate</w:t>
            </w:r>
          </w:p>
        </w:tc>
        <w:tc>
          <w:tcPr>
            <w:tcW w:type="dxa" w:w="15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TBD</w:t>
            </w:r>
          </w:p>
        </w:tc>
        <w:tc>
          <w:tcPr>
            <w:tcW w:type="dxa" w:w="16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−15%</w:t>
            </w:r>
          </w:p>
        </w:tc>
        <w:tc>
          <w:tcPr>
            <w:tcW w:type="dxa" w:w="1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−30%</w:t>
            </w:r>
          </w:p>
        </w:tc>
        <w:tc>
          <w:tcPr>
            <w:tcW w:type="dxa" w:w="152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QA / Security</w:t>
            </w:r>
          </w:p>
        </w:tc>
      </w:tr>
      <w:tr>
        <w:tc>
          <w:tcPr>
            <w:tcW w:type="dxa" w:w="28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Mean Time to Onboard</w:t>
            </w:r>
          </w:p>
        </w:tc>
        <w:tc>
          <w:tcPr>
            <w:tcW w:type="dxa" w:w="15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~3 weeks</w:t>
            </w:r>
          </w:p>
        </w:tc>
        <w:tc>
          <w:tcPr>
            <w:tcW w:type="dxa" w:w="168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5 days</w:t>
            </w:r>
          </w:p>
        </w:tc>
        <w:tc>
          <w:tcPr>
            <w:tcW w:type="dxa" w:w="18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2 days</w:t>
            </w:r>
          </w:p>
        </w:tc>
        <w:tc>
          <w:tcPr>
            <w:tcW w:type="dxa" w:w="152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Platform Eng</w:t>
            </w:r>
          </w:p>
        </w:tc>
      </w:tr>
      <w:tr>
        <w:tc>
          <w:tcPr>
            <w:tcW w:type="dxa" w:w="2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Engineering Hours Saved</w:t>
            </w:r>
          </w:p>
        </w:tc>
        <w:tc>
          <w:tcPr>
            <w:tcW w:type="dxa" w:w="156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0</w:t>
            </w:r>
          </w:p>
        </w:tc>
        <w:tc>
          <w:tcPr>
            <w:tcW w:type="dxa" w:w="16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800 hrs/qtr</w:t>
            </w:r>
          </w:p>
        </w:tc>
        <w:tc>
          <w:tcPr>
            <w:tcW w:type="dxa" w:w="1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2,400 hrs/qtr</w:t>
            </w:r>
          </w:p>
        </w:tc>
        <w:tc>
          <w:tcPr>
            <w:tcW w:type="dxa" w:w="152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CTO</w:t>
            </w:r>
          </w:p>
        </w:tc>
      </w:tr>
      <w:tr>
        <w:tc>
          <w:tcPr>
            <w:tcW w:type="dxa" w:w="28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Security Compliance Rate</w:t>
            </w:r>
          </w:p>
        </w:tc>
        <w:tc>
          <w:tcPr>
            <w:tcW w:type="dxa" w:w="156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~60%</w:t>
            </w:r>
          </w:p>
        </w:tc>
        <w:tc>
          <w:tcPr>
            <w:tcW w:type="dxa" w:w="168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80%</w:t>
            </w:r>
          </w:p>
        </w:tc>
        <w:tc>
          <w:tcPr>
            <w:tcW w:type="dxa" w:w="180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98%</w:t>
            </w:r>
          </w:p>
        </w:tc>
        <w:tc>
          <w:tcPr>
            <w:tcW w:type="dxa" w:w="152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CISO</w:t>
            </w:r>
          </w:p>
        </w:tc>
      </w:tr>
    </w:tbl>
    <w:p>
      <w:pPr>
        <w:spacing w:after="200"/>
      </w:pPr>
    </w:p>
    <w:p>
      <w:pPr>
        <w:pStyle w:val="Heading3"/>
        <w:spacing w:after="80" w:before="200"/>
      </w:pPr>
      <w:r>
        <w:rPr>
          <w:rFonts w:ascii="Calibri" w:cs="Calibri" w:eastAsia="Calibri" w:hAnsi="Calibri"/>
          <w:b/>
          <w:bCs/>
          <w:color w:val="1A2F45"/>
          <w:sz w:val="24"/>
          <w:szCs w:val="24"/>
        </w:rPr>
        <w:t xml:space="preserve">Industry Standards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FD9" w:sz="1"/>
              <w:left w:val="single" w:color="1E6FD9" w:sz="1"/>
              <w:bottom w:val="single" w:color="1E6FD9" w:sz="1"/>
              <w:right w:val="single" w:color="1E6FD9" w:sz="1"/>
            </w:tcBorders>
            <w:shd w:fill="EFF6FF" w:val="clear"/>
            <w:tcMar>
              <w:top w:type="dxa" w:w="120"/>
              <w:left w:type="dxa" w:w="180"/>
              <w:bottom w:type="dxa" w:w="120"/>
              <w:right w:type="dxa" w:w="180"/>
            </w:tcMar>
          </w:tcPr>
          <w:p>
            <w:pPr>
              <w:spacing w:after="60"/>
            </w:pPr>
            <w:r>
              <w:rPr>
                <w:rFonts w:ascii="Calibri" w:cs="Calibri" w:eastAsia="Calibri" w:hAnsi="Calibri"/>
                <w:b/>
                <w:bCs/>
                <w:caps/>
                <w:color w:val="1E6FD9"/>
                <w:sz w:val="20"/>
                <w:szCs w:val="20"/>
              </w:rPr>
              <w:t xml:space="preserve">Reference Frameworks</w:t>
            </w:r>
          </w:p>
          <w:p>
            <w:pPr>
              <w:spacing w:after="0"/>
            </w:pPr>
            <w:r>
              <w:rPr>
                <w:rFonts w:ascii="Calibri" w:cs="Calibri" w:eastAsia="Calibri" w:hAnsi="Calibri"/>
                <w:color w:val="374151"/>
                <w:sz w:val="22"/>
                <w:szCs w:val="22"/>
              </w:rPr>
              <w:t xml:space="preserve">This platform aligns with: GitHub Skills (reusable workflow patterns) · Google Software Engineering Book (ownership, reliability, scale) · Microsoft Engineering Playbook (inner source, DX) · ThoughtWorks Technology Radar (Platform Engineering "Adopt" ring) · Backstage (Internal Developer Portal) · OpenTelemetry (observability standards) · SLSA Level 3 (supply chain security) · NIST SSDF (secure software development) · OWASP SAMM (software assurance maturity)</w:t>
            </w:r>
          </w:p>
        </w:tc>
      </w:tr>
    </w:tbl>
    <w:p>
      <w:pPr>
        <w:spacing w:after="160"/>
      </w:pPr>
    </w:p>
    <w:p>
      <w:pPr>
        <w:spacing w:after="0"/>
      </w:pPr>
      <w:r>
        <w:br w:type="page"/>
      </w:r>
    </w:p>
    <w:p>
      <w:pPr>
        <w:pStyle w:val="Heading1"/>
        <w:pBdr>
          <w:bottom w:val="single" w:color="1E6FD9" w:sz="6" w:space="4"/>
        </w:pBdr>
        <w:spacing w:after="180" w:before="360"/>
      </w:pPr>
      <w:r>
        <w:rPr>
          <w:rFonts w:ascii="Calibri" w:cs="Calibri" w:eastAsia="Calibri" w:hAnsi="Calibri"/>
          <w:b/>
          <w:bCs/>
          <w:color w:val="0D1B2A"/>
          <w:sz w:val="36"/>
          <w:szCs w:val="36"/>
        </w:rPr>
        <w:t xml:space="preserve">Appendix: 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Attribute</w:t>
            </w:r>
          </w:p>
        </w:tc>
        <w:tc>
          <w:tcPr>
            <w:tcW w:type="dxa" w:w="6240"/>
            <w:tcBorders>
              <w:top w:val="single" w:color="1E6FD9" w:sz="1"/>
              <w:left w:val="single" w:color="1E6FD9" w:sz="1"/>
              <w:bottom w:val="single" w:color="1E6FD9" w:sz="1"/>
              <w:right w:val="single" w:color="1E6FD9" w:sz="1"/>
            </w:tcBorders>
            <w:shd w:fill="DBEAFE" w:val="clear"/>
            <w:tcMar>
              <w:top w:type="dxa" w:w="80"/>
              <w:left w:type="dxa" w:w="120"/>
              <w:bottom w:type="dxa" w:w="80"/>
              <w:right w:type="dxa" w:w="120"/>
            </w:tcMar>
            <w:vAlign w:val="center"/>
          </w:tcPr>
          <w:p>
            <w:pPr>
              <w:spacing w:after="0"/>
            </w:pPr>
            <w:r>
              <w:rPr>
                <w:rFonts w:ascii="Calibri" w:cs="Calibri" w:eastAsia="Calibri" w:hAnsi="Calibri"/>
                <w:b/>
                <w:bCs/>
                <w:color w:val="0D1B2A"/>
                <w:sz w:val="20"/>
                <w:szCs w:val="20"/>
              </w:rPr>
              <w:t xml:space="preserve">Value</w:t>
            </w:r>
          </w:p>
        </w:tc>
      </w:tr>
      <w:tr>
        <w:tc>
          <w:tcPr>
            <w:tcW w:type="dxa" w:w="312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Document Title</w:t>
            </w:r>
          </w:p>
        </w:tc>
        <w:tc>
          <w:tcPr>
            <w:tcW w:type="dxa" w:w="624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Enterprise Engineering Skills Platform — Executive Architecture Proposal</w:t>
            </w:r>
          </w:p>
        </w:tc>
      </w:tr>
      <w:tr>
        <w:tc>
          <w:tcPr>
            <w:tcW w:type="dxa" w:w="312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Version</w:t>
            </w:r>
          </w:p>
        </w:tc>
        <w:tc>
          <w:tcPr>
            <w:tcW w:type="dxa" w:w="624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1.0</w:t>
            </w:r>
          </w:p>
        </w:tc>
      </w:tr>
      <w:tr>
        <w:tc>
          <w:tcPr>
            <w:tcW w:type="dxa" w:w="312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Classification</w:t>
            </w:r>
          </w:p>
        </w:tc>
        <w:tc>
          <w:tcPr>
            <w:tcW w:type="dxa" w:w="624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Internal / Restricted</w:t>
            </w:r>
          </w:p>
        </w:tc>
      </w:tr>
      <w:tr>
        <w:tc>
          <w:tcPr>
            <w:tcW w:type="dxa" w:w="312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Prepared By</w:t>
            </w:r>
          </w:p>
        </w:tc>
        <w:tc>
          <w:tcPr>
            <w:tcW w:type="dxa" w:w="624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Platform Engineering · Enterprise Architecture</w:t>
            </w:r>
          </w:p>
        </w:tc>
      </w:tr>
      <w:tr>
        <w:tc>
          <w:tcPr>
            <w:tcW w:type="dxa" w:w="312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Target Audience</w:t>
            </w:r>
          </w:p>
        </w:tc>
        <w:tc>
          <w:tcPr>
            <w:tcW w:type="dxa" w:w="624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CIO, CTO, VP Engineering, Enterprise Architecture Review Board</w:t>
            </w:r>
          </w:p>
        </w:tc>
      </w:tr>
      <w:tr>
        <w:tc>
          <w:tcPr>
            <w:tcW w:type="dxa" w:w="312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Review Cycle</w:t>
            </w:r>
          </w:p>
        </w:tc>
        <w:tc>
          <w:tcPr>
            <w:tcW w:type="dxa" w:w="6240"/>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Quarterly</w:t>
            </w:r>
          </w:p>
        </w:tc>
      </w:tr>
      <w:tr>
        <w:tc>
          <w:tcPr>
            <w:tcW w:type="dxa" w:w="312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Next Review Date</w:t>
            </w:r>
          </w:p>
        </w:tc>
        <w:tc>
          <w:tcPr>
            <w:tcW w:type="dxa" w:w="624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pPr>
              <w:spacing w:after="0"/>
            </w:pPr>
            <w:r>
              <w:rPr>
                <w:rFonts w:ascii="Calibri" w:cs="Calibri" w:eastAsia="Calibri" w:hAnsi="Calibri"/>
                <w:color w:val="374151"/>
                <w:sz w:val="20"/>
                <w:szCs w:val="20"/>
              </w:rPr>
              <w:t xml:space="preserve">Q2 2025</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2"/>
      </w:pBdr>
      <w:spacing w:before="80"/>
    </w:pPr>
    <w:r>
      <w:rPr>
        <w:rFonts w:ascii="Calibri" w:cs="Calibri" w:eastAsia="Calibri" w:hAnsi="Calibri"/>
        <w:color w:val="6B7280"/>
        <w:sz w:val="16"/>
        <w:szCs w:val="16"/>
      </w:rPr>
      <w:t xml:space="preserve">Platform Engineering  ·  Enterprise Architecture  ·  v1.0 — 2025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6FD9" w:sz="4" w:space="2"/>
      </w:pBdr>
      <w:spacing w:after="80"/>
    </w:pPr>
    <w:r>
      <w:rPr>
        <w:rFonts w:ascii="Calibri" w:cs="Calibri" w:eastAsia="Calibri" w:hAnsi="Calibri"/>
        <w:b/>
        <w:bCs/>
        <w:color w:val="1E6FD9"/>
        <w:sz w:val="18"/>
        <w:szCs w:val="18"/>
      </w:rPr>
      <w:t xml:space="preserve">Enterprise Engineering Skills Platform</w:t>
    </w:r>
    <w:r>
      <w:rPr>
        <w:rFonts w:ascii="Calibri" w:cs="Calibri" w:eastAsia="Calibri" w:hAnsi="Calibri"/>
        <w:color w:val="6B7280"/>
        <w:sz w:val="18"/>
        <w:szCs w:val="18"/>
      </w:rPr>
      <w:t xml:space="preserve">   |   Executive Architecture Proposal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D1B2A"/>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A2F45"/>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1A2F4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2026-06-26T18:47:44.355Z</dcterms:created>
  <dcterms:modified xsi:type="dcterms:W3CDTF">2026-06-26T18:47:44.355Z</dcterms:modified>
</cp:coreProperties>
</file>

<file path=docProps/custom.xml><?xml version="1.0" encoding="utf-8"?>
<Properties xmlns="http://schemas.openxmlformats.org/officeDocument/2006/custom-properties" xmlns:vt="http://schemas.openxmlformats.org/officeDocument/2006/docPropsVTypes"/>
</file>