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sz w:val="20"/>
          <w:szCs w:val="20"/>
          <w:highlight w:val="yellow"/>
          <w:vertAlign w:val="baseline"/>
        </w:rPr>
        <w:sectPr>
          <w:pgSz w:h="15840" w:w="12240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Glenn Wright, </w:t>
      </w:r>
      <w:commentRangeStart w:id="0"/>
      <w:r w:rsidDel="00000000" w:rsidR="00000000" w:rsidRPr="00000000">
        <w:rPr>
          <w:rFonts w:ascii="Arial" w:cs="Arial" w:eastAsia="Arial" w:hAnsi="Arial"/>
          <w:highlight w:val="yellow"/>
          <w:vertAlign w:val="baseline"/>
          <w:rtl w:val="0"/>
        </w:rPr>
        <w:t xml:space="preserve">MPA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332 Monte Vista Avenue #205</w:t>
        <w:tab/>
        <w:tab/>
        <w:tab/>
        <w:tab/>
        <w:tab/>
        <w:tab/>
        <w:t xml:space="preserve"> (734) 476 - 6988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0"/>
          <w:szCs w:val="20"/>
          <w:u w:val="single"/>
          <w:vertAlign w:val="baseline"/>
        </w:rPr>
        <w:sectPr>
          <w:type w:val="continuous"/>
          <w:pgSz w:h="15840" w:w="12240"/>
          <w:pgMar w:bottom="1440" w:top="1440" w:left="1800" w:right="1800" w:header="720" w:footer="720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Oakland, CA 94611</w:t>
        <w:tab/>
        <w:tab/>
        <w:tab/>
        <w:tab/>
        <w:tab/>
        <w:t xml:space="preserve">        glenn.tee.wright@gmail.com   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Core Strengths: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0"/>
        <w:rPr/>
      </w:pPr>
      <w:commentRangeStart w:id="2"/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Thirteen-plus years of professional data analysis and programming experience.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commentRangeStart w:id="3"/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Expert-level mastery of SAS and SQL, including Base SAS, Teradata SQL, Enterprise Guide, Business Intelligence, Enterprise Miner, and Text Miner.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Professional use of R on several large projects.  Basic familiarity with many common packages, including dplyr and tidyr.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Development and maintenance of predictive statistical models in SAS Enterprise Miner using electronic health record data.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Invited Speaker in Databases &amp; Data Integration: Glenn Wright, “Probabilistic Record Linkage in SAS,”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Western Users of SAS Software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San Francisco, California, 2011.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Best Contributed Paper in Databases &amp; Data Integration: Glenn Wright and Denis Hulett, “Transitive Record Linkage in SAS using Hash Objects,”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Western Users of SAS Software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San Diego, California, 2010.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Presentations to Kaiser's YHAT statistical study group on proportional hazards modeling in SAS, random forest models in Python, serial auto-correlation bias in partitioned data, and memory-backed data frames in R.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SAS Institute trainings on text mining (2014), data mining (2013), proportional hazards modeling (2012), and Bayesian analysis (2012.)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SAS Certified Advanced Programmer.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Daily work with electronic health record and claims data.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Probabilistic and deterministic matching of Medi-Cal, California Vital Statistics, and Quest Diagnostics data with no common identifiers, using regular expressions, edit-distance algorithms, and hierarchical agglomerative clustering.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Advanced use of SAS hash objects, PROC SQL, and the SAS macro language.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Co-authored papers for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American Journal of Public Health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Journal of the American Geriatric Society,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Health Care Financing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JavaScript for several large, independent projects, both front-end and back-end.  Mastery of most ES6 and later features. Use of Babel, React, React-Redux, Express, and D3.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Scientific Python Stack for several independent projects, including NumPy, SciPy, SciKit Learn, NLTK, BeautifulSoup, and Keras. Mastery of most Python 2 and 3 features.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Additional software tools and programming languages including GitHub, Tableau, C/Arduino, Java/Processing, ArcGIS, Microsoft Office, and Microsoft Access.</w:t>
      </w:r>
    </w:p>
    <w:p w:rsidR="00000000" w:rsidDel="00000000" w:rsidP="00000000" w:rsidRDefault="00000000" w:rsidRPr="00000000" w14:paraId="00000017">
      <w:pPr>
        <w:ind w:left="108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Leadership and communication.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Contributed story to an anthology that won a 2015 Independent Publisher Book Award.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Volunteer for Curiosity Hacked (formerly Hacker Scouts), childrens' technology and arts nonprofit.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Two years as vice president, house president, and ombudsperson for a multi-million dollar nonprofit housing corporation.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Competent Toastmaster public speaking award; Vice President for Education of California Department of Public Health Toastmasters club.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Eagle Scout, Troop 476.</w:t>
      </w:r>
    </w:p>
    <w:p w:rsidR="00000000" w:rsidDel="00000000" w:rsidP="00000000" w:rsidRDefault="00000000" w:rsidRPr="00000000" w14:paraId="0000001E">
      <w:pPr>
        <w:tabs>
          <w:tab w:val="left" w:pos="1260"/>
        </w:tabs>
        <w:ind w:left="126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8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Data Scientist / Senior Programming Consultant, Kaiser Permanente (2011 – present)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Daily analysis of electronic health record data.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predictive models for blood glucose (HbA1c) levels and participation in weight loss programs.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topic model for patient-doctor secure messaging.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Assisted with development of statistical models to predict complication rates for thyroid surgery and enrollment in smoking cessation classes.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unified, cross-regional SAS / SQL / Tableau framework for Stage 1, 2, &amp; 3 Meaningful Use reporting.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Lead programmer for medication reconciliation, outpatient summary of care </w:t>
      </w:r>
      <w:commentRangeStart w:id="4"/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transmissions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, incorporating laboratory tests results as structured data, release of patient health information, electronic medication administration records, access to imaging results, and extraction of General Radiology Improvement Database transmissions.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Reporting liaison to Kaiser Permanente Colorado and Kaiser Permanente Ohio.</w:t>
      </w:r>
    </w:p>
    <w:p w:rsidR="00000000" w:rsidDel="00000000" w:rsidP="00000000" w:rsidRDefault="00000000" w:rsidRPr="00000000" w14:paraId="0000002C">
      <w:pPr>
        <w:ind w:left="108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1260"/>
        </w:tabs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Independent consulting, California Family Health Council (2012 – 2013)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Data structuring and analysis for The InTOUCH Study: Increasing Retesting for Chlamydia and Gonorrhea. </w:t>
      </w:r>
    </w:p>
    <w:p w:rsidR="00000000" w:rsidDel="00000000" w:rsidP="00000000" w:rsidRDefault="00000000" w:rsidRPr="00000000" w14:paraId="0000002F">
      <w:pPr>
        <w:tabs>
          <w:tab w:val="left" w:pos="1260"/>
        </w:tabs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Senior Statistician / Programmer, California Department of Public Health (2008 – 2011)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Lead programmer for analysis of sexually transmitted infections screening and treatment.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Analysis for publication on effectiveness of human papillomavirus vaccine.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code and research methodology to estimate costs per birth in Medi-Cal.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Coded proxies to impute pelvic inflammatory disease and reason-for-visit from claims data.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Managed secure data transfers from Kaiser Permanente and Quest Diagnostics.</w:t>
      </w:r>
    </w:p>
    <w:p w:rsidR="00000000" w:rsidDel="00000000" w:rsidP="00000000" w:rsidRDefault="00000000" w:rsidRPr="00000000" w14:paraId="00000036">
      <w:pPr>
        <w:ind w:left="108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0"/>
        <w:rPr/>
      </w:pPr>
      <w:commentRangeStart w:id="5"/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Prior positions: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Auditor Evaluator, California Bureau of State Audits (2007 – 2008)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Graduate Researcher, Institute for Public School Initiatives, University of Texas (2006 – 2007)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Policy Research Team, Accenture Consulting / Capital Metro Transportation Authority of Austin, Texas / LBJ School of Public Affairs (2005 – 2006)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Research Associate, Institute of Gerontology, University of Michigan (2003 – 2005)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Research Assistant, Radiation Oncology, University of Michigan Hospital (2002 – 2003)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Research Assistant, Kidney Epidemiology and Cost Center, University of Michigan (2001 – 2002)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Summer Intern, Federal Trade Commission (2000)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0"/>
        <w:rPr>
          <w:sz w:val="20"/>
          <w:szCs w:val="20"/>
        </w:rPr>
      </w:pPr>
      <w:commentRangeStart w:id="6"/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Online coursework via Coursera: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Columbia – Economics of Money &amp; Banking I and II (2015)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Johns Hopkins  – Biostatistics II (2014)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tabs>
          <w:tab w:val="left" w:pos="1260"/>
        </w:tabs>
        <w:ind w:left="12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Stanford – Social and Economic Networks: Models &amp; Analysis (2014), Introduction to Natural Language Processing (2012), Introduction to Databases (2011), Introduction to Machine Learning (2011)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left" w:pos="1260"/>
        </w:tabs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University of Texas, Austin – Master of Public Policy (2007)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University of Michigan – Bachelor of Arts, Economics with Honors (2001)</w:t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commentRangeStart w:id="7"/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Open Source Projects at https://github.com/infiniteperplexity/: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laserflakes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Processing sketch and InkScape instructions for producing laser-cut snowflakes (each one unique) using an algorithm inspired by randomized L-systems. 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contextualSpacing w:val="0"/>
        <w:rPr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visual-spinner-3d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JavaScript / HTML5 Canvas; visualization program and simulation engine for fire spinners and jugglers.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contextualSpacing w:val="0"/>
        <w:rPr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lisp2js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Lisp-to-JavaScript transpiler.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contextualSpacing w:val="0"/>
        <w:rPr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coral-bleaching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In-progress code to power a global warming-themed LED art installation, drawing on historical ocean surface temperature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ineffable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Text mining the Erowid Experience Archives using the Scientific Python Stack.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deep-dream-for-cats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Retraining deep convolutional networks to modify the output of Google’s DeepDream algorithm.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hecatomb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Fortress-building rogue-like game written in JavaScript / Electron.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todoapp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Personalized to-do app using Heroku, Node.js, React, React-Redux, and Twilio.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dontstarvemods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mod packs, written in Lua, for the Klei Entertainment games Don’t Starve and Don’t Starve Together.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contextualSpacing w:val="0"/>
        <w:rPr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light-and-motion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Arduino-based design projects integrating decorative plastics, addressable LEDs, and motion sensor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ssvep-pacman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– Forked project from 2015 NeuroGaming Hackathon; electroencephalograph / steady-state evoked visual potential brain-machine interface using OpenBCI board (code written in collaboration with others.)</w:t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References and curriculum vitae available upon request.</w:t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-rewrite of all bullet points including grammar check for sanity. </w:t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-remove github section/ make a much smaller projects section</w:t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-put career experience either at top or much closer - don’t bury under lengthy core comp.</w:t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-turn core comp into technologies/tools you can use. </w:t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-take speaking/awards/etc. out of core comp and put into separate category.</w:t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-reformat font/margin/etc.</w:t>
      </w:r>
    </w:p>
    <w:sectPr>
      <w:type w:val="continuous"/>
      <w:pgSz w:h="15840" w:w="12240"/>
      <w:pgMar w:bottom="1440" w:top="1440" w:left="1800" w:right="180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lenn Wright" w:id="2" w:date="2018-05-01T02:44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should emphasize that it's specifically for health care?</w:t>
      </w:r>
    </w:p>
  </w:comment>
  <w:comment w:author="Glenn Wright" w:id="3" w:date="2018-05-01T02:46:52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emphasis on SAS?  Unless I have a Kaiser-specific resume.</w:t>
      </w:r>
    </w:p>
  </w:comment>
  <w:comment w:author="Brigid Walsh" w:id="6" w:date="2018-05-01T02:57:3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comma delineated instead of sub bullets for different coursera stuff.</w:t>
      </w:r>
    </w:p>
  </w:comment>
  <w:comment w:author="Brigid Walsh" w:id="4" w:date="2018-05-01T02:56:2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not to go over 2 lines for sub bullet points.</w:t>
      </w:r>
    </w:p>
  </w:comment>
  <w:comment w:author="Brigid Walsh" w:id="7" w:date="2018-05-01T02:46:4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this section altogether. Maybe have a smaller Projects section with 2 of your most favorites. Title and 1 sentence description.</w:t>
      </w:r>
    </w:p>
  </w:comment>
  <w:comment w:author="Brigid Walsh" w:id="0" w:date="2018-05-01T02:44:0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having your current career title is far more relevant than your degree.</w:t>
      </w:r>
    </w:p>
  </w:comment>
  <w:comment w:author="Glenn Wright" w:id="1" w:date="2018-05-01T02:45:4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infiniteperplexity.github.io</w:t>
      </w:r>
    </w:p>
  </w:comment>
  <w:comment w:author="Brigid Walsh" w:id="5" w:date="2018-05-01T02:49:4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place to cut resume fat if trying to create a shorter resume version.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contextualSpacing w:val="0"/>
    </w:pPr>
    <w:rPr>
      <w:rFonts w:ascii="Times" w:cs="Times" w:eastAsia="Times" w:hAnsi="Times"/>
      <w:b w:val="1"/>
      <w:i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