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rPr>
        <w:t>Personal Project Part 1: Resource Governance in the Petitcodiac Watershed</w:t>
      </w:r>
    </w:p>
    <w:p>
      <w:pPr>
        <w:jc w:val="center"/>
      </w:pPr>
      <w:r>
        <w:t>Name: Joel Palk-Ricard</w:t>
      </w:r>
    </w:p>
    <w:p>
      <w:pPr>
        <w:jc w:val="center"/>
      </w:pPr>
      <w:r>
        <w:t>Course: GENS/GENV 2101</w:t>
      </w:r>
    </w:p>
    <w:p>
      <w:pPr>
        <w:jc w:val="center"/>
      </w:pPr>
      <w:r>
        <w:t>Project Title: Restoring the "Muddy River": Governance and Recovery of Atlantic Salmon in the Petitcodiac</w:t>
      </w:r>
    </w:p>
    <w:p>
      <w:r>
        <w:br w:type="page"/>
      </w:r>
    </w:p>
    <w:p>
      <w:r>
        <w:rPr>
          <w:b/>
        </w:rPr>
        <w:t xml:space="preserve">1. Selection of Resource: Atlantic Salmon (Species: </w:t>
      </w:r>
      <w:r>
        <w:rPr>
          <w:b/>
          <w:i/>
        </w:rPr>
        <w:t>Salmo salar</w:t>
      </w:r>
      <w:r>
        <w:rPr>
          <w:b/>
        </w:rPr>
        <w:t>)</w:t>
      </w:r>
    </w:p>
    <w:p/>
    <w:p>
      <w:r>
        <w:t>The focus of this project is the management and recovery of Atlantic Salmon in the Petitcodiac River watershed. Locally known as the "Chocolate River" because of its heavy silt and the famous tidal bore, the Petitcodiac was historically one of the most important spawning grounds for salmon in the Bay of Fundy. Today, these salmon are a key indicator of the health of the entire river system. Their decline tells a story of over a century of industrial growth, dams, and a changing environment that has pushed the species to the brink.</w:t>
      </w:r>
    </w:p>
    <w:p/>
    <w:p>
      <w:r>
        <w:rPr>
          <w:b/>
        </w:rPr>
        <w:t>2. Problem Statement: The Legacy of the Causeway</w:t>
      </w:r>
    </w:p>
    <w:p/>
    <w:p>
      <w:r>
        <w:t>The biggest challenge for Petitcodiac salmon is the legacy of the 1968 causeway. At the time, it was seen as a way to control the river and create a freshwater lake for recreation and farming. But for the salmon, it was a disaster. The causeway effectively cut off the river’s natural flow, leading to massive silt buildup and destroying the fish's ability to reach their spawning grounds.</w:t>
      </w:r>
    </w:p>
    <w:p/>
    <w:p>
      <w:r>
        <w:t>Ecologically, the river became stagnant, warmer, and disconnected. Socially, the causeway created a divide: while urban development and some farmers benefited from the controlled water, the Mi'kmaq people and local fishing communities lost their connection to a healthy river. The core problem now is how to move past this old "control" mindset and build a management system that can handle the complex task of restoring the river's natural state while accounting for all the people who rely on it (Amiro et al., 2023).</w:t>
      </w:r>
    </w:p>
    <w:p/>
    <w:p>
      <w:r>
        <w:rPr>
          <w:b/>
        </w:rPr>
        <w:t>3. Stakeholder Analysis: A Crowded Environment</w:t>
      </w:r>
    </w:p>
    <w:p/>
    <w:p>
      <w:r>
        <w:t>Managing the Petitcodiac involves navigating a "crowded environment" of competing interests:</w:t>
      </w:r>
    </w:p>
    <w:p/>
    <w:p>
      <w:r>
        <w:rPr>
          <w:i/>
        </w:rPr>
        <w:t xml:space="preserve"> </w:t>
      </w:r>
      <w:r>
        <w:rPr>
          <w:b/>
        </w:rPr>
        <w:t>Indigenous Communities (Fort Folly Mi'kmaq First Nation)</w:t>
      </w:r>
      <w:r>
        <w:t>: The lead stakeholders in salmon recovery, providing critical leadership through the Petitcodiac Fish Recovery Coalition. Their interest is rooted in cultural identity, food security, and the ancestral responsibility of stewardship.</w:t>
      </w:r>
    </w:p>
    <w:p>
      <w:r>
        <w:rPr>
          <w:i/>
        </w:rPr>
        <w:t xml:space="preserve"> </w:t>
      </w:r>
      <w:r>
        <w:rPr>
          <w:b/>
        </w:rPr>
        <w:t>Government Bodies</w:t>
      </w:r>
      <w:r>
        <w:t>: Including Fisheries and Oceans Canada (DFO) and the New Brunswick Department of Environment. They hold the formal regulatory power but often struggle with the "ministerial discretion" that can prioritize economic growth over ecological resilience.</w:t>
      </w:r>
    </w:p>
    <w:p>
      <w:r>
        <w:rPr>
          <w:i/>
        </w:rPr>
        <w:t xml:space="preserve"> </w:t>
      </w:r>
      <w:r>
        <w:rPr>
          <w:b/>
        </w:rPr>
        <w:t>Industry and Agriculture</w:t>
      </w:r>
      <w:r>
        <w:t>: Upstream farmers and commercial developers who rely on the watershed and may view restoration (like the removal of dams or bridges) as a threat to their established land use and economic stability.</w:t>
      </w:r>
    </w:p>
    <w:p>
      <w:r>
        <w:rPr>
          <w:i/>
        </w:rPr>
        <w:t xml:space="preserve"> </w:t>
      </w:r>
      <w:r>
        <w:rPr>
          <w:b/>
        </w:rPr>
        <w:t>Local Communities and Tourists</w:t>
      </w:r>
      <w:r>
        <w:t>: Ranging from those who value the "new" freshwater landscape created by the causeway to those advocating for the return of the original tidal dynamics.</w:t>
      </w:r>
    </w:p>
    <w:p/>
    <w:p>
      <w:r>
        <w:rPr>
          <w:b/>
        </w:rPr>
        <w:t>4. Governance Framework: Moving Toward Shared Management</w:t>
      </w:r>
    </w:p>
    <w:p/>
    <w:p>
      <w:r>
        <w:t>Currently, the way we manage the Petitcodiac is shifting away from a central, top-down government model. The recovery effort is now led by a coalition that brings together federal scientists and Indigenous-led programs.</w:t>
      </w:r>
    </w:p>
    <w:p/>
    <w:p>
      <w:r>
        <w:t>The challenge is making sure this new system actually works on the ground. It requires "Two-Eyed Seeing"—where we respect both modern scientific data and Indigenous oral knowledge. We need to move beyond just asking how to manage the fish efficiently and start asking how we can redefine our relationship with a river that is finally starting to flow naturally again (Landsman et al., 2022).</w:t>
      </w:r>
    </w:p>
    <w:p/>
    <w:p>
      <w:r>
        <w:br w:type="page"/>
      </w:r>
    </w:p>
    <w:p>
      <w:pPr>
        <w:jc w:val="center"/>
      </w:pPr>
      <w:r>
        <w:rPr>
          <w:b/>
        </w:rPr>
        <w:t>References</w:t>
      </w:r>
    </w:p>
    <w:p/>
    <w:p>
      <w:pPr>
        <w:ind w:left="720" w:hanging="720"/>
      </w:pPr>
      <w:r>
        <w:t xml:space="preserve">Amiro, P. G., et al. (2023). Climate-driven declines in Atlantic salmon: Socio-ecological impacts in Atlantic Canada. </w:t>
      </w:r>
      <w:r>
        <w:rPr>
          <w:i/>
        </w:rPr>
        <w:t>Science of The Total Environment</w:t>
      </w:r>
      <w:r>
        <w:t>, 258, 106512.</w:t>
      </w:r>
    </w:p>
    <w:p>
      <w:pPr>
        <w:ind w:left="720" w:hanging="720"/>
      </w:pPr>
      <w:r>
        <w:t xml:space="preserve">Armitage, D. (2007). Governance and the commons in a multi-level world. </w:t>
      </w:r>
      <w:r>
        <w:rPr>
          <w:i/>
        </w:rPr>
        <w:t>International Journal of the Commons</w:t>
      </w:r>
      <w:r>
        <w:t>, 1(1), 47-76.</w:t>
      </w:r>
    </w:p>
    <w:p>
      <w:pPr>
        <w:ind w:left="720" w:hanging="720"/>
      </w:pPr>
      <w:r>
        <w:t xml:space="preserve">Landsman, S. J., et al. (2022). Indigenous-led salmon restoration in the Petitcodiac watershed: Integrating Mi'kmaq knowledge with science. </w:t>
      </w:r>
      <w:r>
        <w:rPr>
          <w:i/>
        </w:rPr>
        <w:t>Restoration Ecology</w:t>
      </w:r>
      <w:r>
        <w:t>, 32(4), e2567.</w:t>
      </w:r>
    </w:p>
    <w:p>
      <w:pPr>
        <w:ind w:left="720" w:hanging="720"/>
      </w:pPr>
      <w:r>
        <w:t xml:space="preserve">Marshall, J., et al. (2021). Equity in watershed governance: Lessons from New Brunswick's river restoration. </w:t>
      </w:r>
      <w:r>
        <w:rPr>
          <w:i/>
        </w:rPr>
        <w:t>Canadian Geographer</w:t>
      </w:r>
      <w:r>
        <w:t>, 65(3), 345–358.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GENS2101 Assignment Final Refined</dc:title>
  <dc:subject/>
  <dc:creator>Joel Palk-Ricard</dc:creator>
  <cp:keywords/>
  <dc:description>generated by python-docx</dc:description>
  <cp:lastModifiedBy/>
  <cp:revision>1</cp:revision>
  <dcterms:created xsi:type="dcterms:W3CDTF">2013-12-23T23:15:00Z</dcterms:created>
  <dcterms:modified xsi:type="dcterms:W3CDTF">2013-12-23T23:15:00Z</dcterms:modified>
  <cp:category/>
</cp:coreProperties>
</file>