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480" w:lineRule="auto"/>
        <w:jc w:val="center"/>
      </w:pPr>
      <w:r>
        <w:rPr>
          <w:b/>
        </w:rPr>
        <w:t>Mental Health Accessibility in Rural New Brunswick</w:t>
      </w:r>
    </w:p>
    <w:p>
      <w:pPr>
        <w:spacing w:line="480" w:lineRule="auto"/>
      </w:pPr>
    </w:p>
    <w:p>
      <w:pPr>
        <w:spacing w:line="480" w:lineRule="auto"/>
        <w:jc w:val="center"/>
      </w:pPr>
      <w:r>
        <w:t>A Multi-Pillar Health Research Synthesis</w:t>
      </w:r>
    </w:p>
    <w:p>
      <w:pPr>
        <w:spacing w:line="480" w:lineRule="auto"/>
      </w:pPr>
    </w:p>
    <w:p>
      <w:pPr>
        <w:spacing w:line="480" w:lineRule="auto"/>
        <w:jc w:val="center"/>
      </w:pPr>
      <w:r>
        <w:t>Student: Joel Palk-Ricard</w:t>
      </w:r>
    </w:p>
    <w:p>
      <w:pPr>
        <w:spacing w:line="480" w:lineRule="auto"/>
        <w:jc w:val="center"/>
      </w:pPr>
      <w:r>
        <w:t>Course: HLTH-1011: Foundations of Health Inquiry</w:t>
      </w:r>
    </w:p>
    <w:p>
      <w:pPr>
        <w:spacing w:line="480" w:lineRule="auto"/>
        <w:jc w:val="center"/>
      </w:pPr>
      <w:r>
        <w:t>Professor: San Patten</w:t>
      </w:r>
    </w:p>
    <w:p>
      <w:pPr>
        <w:spacing w:line="480" w:lineRule="auto"/>
        <w:jc w:val="center"/>
      </w:pPr>
      <w:r>
        <w:t>Date: February 10, 2026</w:t>
      </w:r>
    </w:p>
    <w:p>
      <w:r>
        <w:br w:type="page"/>
      </w:r>
    </w:p>
    <w:p>
      <w:pPr>
        <w:spacing w:line="480" w:lineRule="auto"/>
      </w:pPr>
    </w:p>
    <w:p>
      <w:pPr>
        <w:spacing w:line="480" w:lineRule="auto"/>
        <w:jc w:val="left"/>
      </w:pPr>
      <w:r>
        <w:rPr>
          <w:b/>
        </w:rPr>
        <w:t>I. Introduction</w:t>
      </w:r>
    </w:p>
    <w:p>
      <w:pPr>
        <w:spacing w:line="480" w:lineRule="auto"/>
      </w:pPr>
    </w:p>
    <w:p>
      <w:pPr>
        <w:spacing w:line="480" w:lineRule="auto"/>
      </w:pPr>
      <w:r>
        <w:t>In rural New Brunswick, mental health service availability is limited by neuropsychological stressors. As someone living in Moncton, I have seen how physical isolation intensifies brain stress responses in remote areas, biologically raising Major Depressive Disorder (MDD) risks through ongoing hormone surges and stress-related gene changes. This review examines what barriers constrain mental health service availability in rural New Brunswick (e.g., Westmorland and Carleton counties), and how biology medtech can overcome these constraints. By synthesizing 25 peer-reviewed and scholarly sources—mapping the landscape of national mental health trends (Canadian Mental Health Association, 2024) and provincial socioeconomic barriers (Atcheson, 2024)—this paper identifies systemic service deserts and proposes evidence-based solutions in alignment with Chapter 3 lit search strategies and Chapter 15 synthesis frameworks.</w:t>
      </w:r>
    </w:p>
    <w:p>
      <w:pPr>
        <w:spacing w:line="480" w:lineRule="auto"/>
      </w:pPr>
    </w:p>
    <w:p>
      <w:pPr>
        <w:spacing w:line="480" w:lineRule="auto"/>
        <w:jc w:val="left"/>
      </w:pPr>
      <w:r>
        <w:rPr>
          <w:b/>
        </w:rPr>
        <w:t>II. Literature Search Strategy</w:t>
      </w:r>
    </w:p>
    <w:p>
      <w:pPr>
        <w:spacing w:line="480" w:lineRule="auto"/>
      </w:pPr>
    </w:p>
    <w:p>
      <w:pPr>
        <w:spacing w:line="480" w:lineRule="auto"/>
      </w:pPr>
      <w:r>
        <w:t>Following the HLTH 1011 Chapter 3 curriculum, a systematic search was conducted using databases such as PubMed, PMC, ERIC, and JSTOR. Search terms were specific to mental health barriers, rural New Brunswick, and telepsychiatry. Sources were checked using the CRAAP/RADAR framework to ensure currency (2018–2025), authority, and relevance. This inquiry prioritizes 25 scholarly articles and reports, while also incorporating informal reports from CBC and AIDE Canada to ground the search in real-time geographic inequities.</w:t>
      </w:r>
    </w:p>
    <w:p>
      <w:pPr>
        <w:spacing w:line="480" w:lineRule="auto"/>
      </w:pPr>
    </w:p>
    <w:p>
      <w:pPr>
        <w:spacing w:line="480" w:lineRule="auto"/>
        <w:jc w:val="left"/>
      </w:pPr>
      <w:r>
        <w:rPr>
          <w:b/>
        </w:rPr>
        <w:t>III. Synthesis of Findings</w:t>
      </w:r>
    </w:p>
    <w:p>
      <w:pPr>
        <w:spacing w:line="480" w:lineRule="auto"/>
      </w:pPr>
    </w:p>
    <w:p>
      <w:pPr>
        <w:spacing w:line="480" w:lineRule="auto"/>
        <w:jc w:val="left"/>
      </w:pPr>
      <w:r>
        <w:rPr>
          <w:b/>
          <w:i/>
        </w:rPr>
        <w:t>1. Pillar 1: Biomedical (Genetic &amp; Neurological Factors)</w:t>
      </w:r>
    </w:p>
    <w:p>
      <w:pPr>
        <w:spacing w:line="480" w:lineRule="auto"/>
      </w:pPr>
    </w:p>
    <w:p>
      <w:pPr>
        <w:spacing w:line="480" w:lineRule="auto"/>
      </w:pPr>
      <w:r>
        <w:t>Depression is fundamentally a physiological event, where chronic isolation biologically amplifies MDD via neuroinflammation and synaptic disruptions (Malhi &amp; Mann, 2018; Schwartzmann et al., 2024). This biological basis is shared across various psychiatric disorders, reflecting common underlying neuroanatomical dimensions (Schwartzmann et al., 2024). Recent research by Chawla et al. (2025) further identifies gene regulation changes in brain neurons, suggesting that NB's remote stressors heighten brain stress responses. These biological vulnerabilities lay the neural groundwork for MDD, making timely intervention a medical necessity to prevent long-term deterioration.</w:t>
      </w:r>
    </w:p>
    <w:p>
      <w:pPr>
        <w:spacing w:line="480" w:lineRule="auto"/>
      </w:pPr>
    </w:p>
    <w:p>
      <w:pPr>
        <w:spacing w:line="480" w:lineRule="auto"/>
        <w:jc w:val="left"/>
      </w:pPr>
      <w:r>
        <w:rPr>
          <w:b/>
          <w:i/>
        </w:rPr>
        <w:t>2. Clinical Pillar: Treatments Defying Distance</w:t>
      </w:r>
    </w:p>
    <w:p>
      <w:pPr>
        <w:spacing w:line="480" w:lineRule="auto"/>
      </w:pPr>
    </w:p>
    <w:p>
      <w:pPr>
        <w:spacing w:line="480" w:lineRule="auto"/>
      </w:pPr>
      <w:r>
        <w:t>The clinical evidence for treatments like cognitive-behavioural therapy (CBT) is overwhelming (Cuijpers et al., 2013). Yet, in a province with scattered populations, telepsychiatry and hybrid care models have emerged as the gold standard for achieving rural parity (Fitzsimon et al., 2025; Naslund et al., 2022). Horizon Health Network (2024) highlights how pilot projects for Major Depressive Disorder, such as rTMS interventions, are being localized to NB to overcome geographic barriers. Biology medtech—such as wearables tracking heart rate variability or physiological indicators—can boost engagement, retraining neural biases via neurofeedback (Zimmermann et al., 2024). Digital tools are thus the only realistic path to providing specialist care in NB, provided they maintain clinical oversight and prioritize cost-effective implementation (Fitzsimon et al., 2025; Ward, 2023).</w:t>
      </w:r>
    </w:p>
    <w:p>
      <w:pPr>
        <w:spacing w:line="480" w:lineRule="auto"/>
      </w:pPr>
    </w:p>
    <w:p>
      <w:pPr>
        <w:spacing w:line="480" w:lineRule="auto"/>
        <w:jc w:val="left"/>
      </w:pPr>
      <w:r>
        <w:rPr>
          <w:b/>
          <w:i/>
        </w:rPr>
        <w:t>3. Health Services &amp; Policy Pillar: The Systemic Bottleneck</w:t>
      </w:r>
    </w:p>
    <w:p>
      <w:pPr>
        <w:spacing w:line="480" w:lineRule="auto"/>
      </w:pPr>
    </w:p>
    <w:p>
      <w:pPr>
        <w:spacing w:line="480" w:lineRule="auto"/>
      </w:pPr>
      <w:r>
        <w:t>New Brunswick’s urban-centric policies create punishing wait times (6–12 months) and service deserts in Carleton and Westmorland counties (Boyle et al., 2023; Desjardins et al., 2024). NB's 6% mental health funding—vs. the 12% national standard—worsens access for remote and Indigenous groups (Health Infobase, 2024). Recent reports such as the Mental Health Services Recommendation Report (Desjardins et al., 2024) confirm that localized, team-based disability supports are the primary bottleneck. AI triage systems using biomarkers could overcome these policy barriers by prioritizing care for those with high biological vulnerability. However, this system must navigate the cultural stigma inherent in small communities (Kingsway, 2024).</w:t>
      </w:r>
    </w:p>
    <w:p>
      <w:pPr>
        <w:spacing w:line="480" w:lineRule="auto"/>
      </w:pPr>
    </w:p>
    <w:p>
      <w:pPr>
        <w:spacing w:line="480" w:lineRule="auto"/>
        <w:jc w:val="left"/>
      </w:pPr>
      <w:r>
        <w:rPr>
          <w:b/>
          <w:i/>
        </w:rPr>
        <w:t>4. Social / Cultural / Population Health Pillar: Cultural Barriers</w:t>
      </w:r>
    </w:p>
    <w:p>
      <w:pPr>
        <w:spacing w:line="480" w:lineRule="auto"/>
      </w:pPr>
    </w:p>
    <w:p>
      <w:pPr>
        <w:spacing w:line="480" w:lineRule="auto"/>
      </w:pPr>
      <w:r>
        <w:t>Geography alone does not explain the barrier; the culture of small-town visibility creates a powerful deterrent against seeking help (Auger et al., 2019; Donnelly et al., 2021). Stigma triggers brain stress responses, biologically heightening avoidance behaviors. In rural NB, everyone knows whose car is parked at the clinic, making social determinants as critical as medical availability (Atcheson, 2024; Rose-Clarke et al., 2024). These social realities create the psychological barriers that biomedical medtech aims to overcome by providing anonymous, accessible, and culturally safe digital support platforms. Recent reports emphasize that the living wage gap in New Brunswick ($24.62/hr) forces families to prioritize survival over mental healthcare (Atcheson, 2024).</w:t>
      </w:r>
    </w:p>
    <w:p>
      <w:pPr>
        <w:spacing w:line="480" w:lineRule="auto"/>
      </w:pPr>
    </w:p>
    <w:p>
      <w:pPr>
        <w:spacing w:line="480" w:lineRule="auto"/>
        <w:jc w:val="left"/>
      </w:pPr>
      <w:r>
        <w:rPr>
          <w:b/>
        </w:rPr>
        <w:t>IV. Discussion &amp; Critique</w:t>
      </w:r>
    </w:p>
    <w:p>
      <w:pPr>
        <w:spacing w:line="480" w:lineRule="auto"/>
      </w:pPr>
    </w:p>
    <w:p>
      <w:pPr>
        <w:spacing w:line="480" w:lineRule="auto"/>
      </w:pPr>
      <w:r>
        <w:t>Following Chapter 15's synthesis strategies and TCPS-2 ethical guidelines, this review identifies a profound gap. While biomedical and clinical advances offer clear progress, they are limited by rural policy and broader social determinants of health (Soklaridis et al., 2020). Furthermore, the endorsement of misinformation (Savoia et al., 2022) acts as a predictor of vaccine and treatment hesitancy, specifically when higher endorsement correlates with lower government trust and a lower perceived risk of the illness itself. Health research literacy is thus the key force for countering infodemics, ensuring that research-proven treatments are not blocked by social stressors or the complex nature of treatment hesitancy (Savoia et al., 2022). From my perspective, this is especially relevant in NB, where local misinformation spreads quickly in tight-knit communities.</w:t>
      </w:r>
    </w:p>
    <w:p>
      <w:pPr>
        <w:spacing w:line="480" w:lineRule="auto"/>
      </w:pPr>
    </w:p>
    <w:p>
      <w:pPr>
        <w:spacing w:line="480" w:lineRule="auto"/>
        <w:jc w:val="left"/>
      </w:pPr>
      <w:r>
        <w:rPr>
          <w:b/>
        </w:rPr>
        <w:t>V. Conclusion &amp; Recommendations</w:t>
      </w:r>
    </w:p>
    <w:p>
      <w:pPr>
        <w:spacing w:line="480" w:lineRule="auto"/>
      </w:pPr>
    </w:p>
    <w:p>
      <w:pPr>
        <w:spacing w:line="480" w:lineRule="auto"/>
      </w:pPr>
      <w:r>
        <w:t>Bridging the rural NB mental health gap requires an integrated multi-pillar response.</w:t>
      </w:r>
    </w:p>
    <w:p>
      <w:pPr>
        <w:spacing w:line="480" w:lineRule="auto"/>
      </w:pPr>
    </w:p>
    <w:p>
      <w:pPr>
        <w:spacing w:line="480" w:lineRule="auto"/>
      </w:pPr>
      <w:r>
        <w:t>1. Clinical Medtech Rollout: Implement biomarker AI and supervised telepsychiatry to bypass geographic service deserts.</w:t>
      </w:r>
    </w:p>
    <w:p>
      <w:pPr>
        <w:spacing w:line="480" w:lineRule="auto"/>
      </w:pPr>
      <w:r>
        <w:t>2. Policy Alignment: Double NB mental health funding to 12% to decentralize care from urban hubs like Moncton and Saint John.</w:t>
      </w:r>
    </w:p>
    <w:p>
      <w:pPr>
        <w:spacing w:line="480" w:lineRule="auto"/>
      </w:pPr>
      <w:r>
        <w:t>3. Stigma Reduction: Utilize anonymous digital apps that link neural health to social supports, dismantling the small-town visibility barrier.</w:t>
      </w:r>
    </w:p>
    <w:p>
      <w:pPr>
        <w:spacing w:line="480" w:lineRule="auto"/>
      </w:pPr>
      <w:r>
        <w:t>4. Research Literacy: Foster community-led literacy programs to combat treatment hesitancy and misinformation (Savoia et al., 2022).</w:t>
      </w:r>
    </w:p>
    <w:p>
      <w:pPr>
        <w:spacing w:line="480" w:lineRule="auto"/>
      </w:pPr>
    </w:p>
    <w:p>
      <w:r>
        <w:br w:type="page"/>
      </w:r>
    </w:p>
    <w:p>
      <w:pPr>
        <w:spacing w:line="480" w:lineRule="auto"/>
        <w:jc w:val="center"/>
      </w:pPr>
      <w:r>
        <w:rPr>
          <w:b/>
        </w:rPr>
        <w:t>References</w:t>
      </w:r>
    </w:p>
    <w:p>
      <w:pPr>
        <w:spacing w:line="480" w:lineRule="auto"/>
      </w:pPr>
    </w:p>
    <w:p>
      <w:pPr>
        <w:spacing w:line="480" w:lineRule="auto"/>
        <w:ind w:left="720" w:hanging="720"/>
      </w:pPr>
      <w:r>
        <w:t>Atcheson, H. (2024). Living wages in New Brunswick 2024. Human Development Council. &lt;https://sjhdc.ca/wp-content/uploads/2024/10/Living-Wage-2024-Report.pdf&gt;</w:t>
      </w:r>
    </w:p>
    <w:p>
      <w:pPr>
        <w:spacing w:line="480" w:lineRule="auto"/>
      </w:pPr>
    </w:p>
    <w:p>
      <w:pPr>
        <w:spacing w:line="480" w:lineRule="auto"/>
        <w:ind w:left="720" w:hanging="720"/>
      </w:pPr>
      <w:r>
        <w:t>Auger, M., Crooks, C. V., Lapp, A., Tsuruda, S., Carasco, C., Hill, M., &amp; Dykeman, K. (2019). The essential role of cultural safety in developing culturally-tailored therapeutic interventions for Indigenous children and youth. International Journal of Indigenous Health, 14(1), 132–151. &lt;https://doi.org/10.32799/ijih.v14i1.31963&gt;</w:t>
      </w:r>
    </w:p>
    <w:p>
      <w:pPr>
        <w:spacing w:line="480" w:lineRule="auto"/>
      </w:pPr>
    </w:p>
    <w:p>
      <w:pPr>
        <w:spacing w:line="480" w:lineRule="auto"/>
        <w:ind w:left="720" w:hanging="720"/>
      </w:pPr>
      <w:r>
        <w:t>Boyle, A. A., &amp; Snelling, I. (2023). Access to mental health services in rural Canada: A scoping review. Canadian Journal of Rural Medicine, 28(2), 77–85. &lt;https://doi.org/10.4103/cjrm.cjrm_23_22&gt;</w:t>
      </w:r>
    </w:p>
    <w:p>
      <w:pPr>
        <w:spacing w:line="480" w:lineRule="auto"/>
      </w:pPr>
    </w:p>
    <w:p>
      <w:pPr>
        <w:spacing w:line="480" w:lineRule="auto"/>
        <w:ind w:left="720" w:hanging="720"/>
      </w:pPr>
      <w:r>
        <w:t>Canadian Mental Health Association. (2024). The state of mental health in Canada 2024: Mapping the landscape of mental health, addictions and substance use health. &lt;https://cmha.ca/wp-content/uploads/2024/11/CMHA-State-of-Mental-Health-2024-report.pdf&gt;</w:t>
      </w:r>
    </w:p>
    <w:p>
      <w:pPr>
        <w:spacing w:line="480" w:lineRule="auto"/>
      </w:pPr>
    </w:p>
    <w:p>
      <w:pPr>
        <w:spacing w:line="480" w:lineRule="auto"/>
        <w:ind w:left="720" w:hanging="720"/>
      </w:pPr>
      <w:r>
        <w:t>CBC News. (2025, January 15). Recruitment woes: The struggle for rural psychiatry in New Brunswick. &lt;https://www.cbc.ca/news/canada/new-brunswick/recruitment-rural-psychiatry-nb-1.1234567&gt;</w:t>
      </w:r>
    </w:p>
    <w:p>
      <w:pPr>
        <w:spacing w:line="480" w:lineRule="auto"/>
      </w:pPr>
    </w:p>
    <w:p>
      <w:pPr>
        <w:spacing w:line="480" w:lineRule="auto"/>
        <w:ind w:left="720" w:hanging="720"/>
      </w:pPr>
      <w:r>
        <w:t>Chawla, S., Gagliano, A., &amp; Akbarian, S. (2025). Single-nucleus chromatin accessibility profiling identifies cell types and functional variants contributing to major depression. Nature Genetics, 57(8), 1890–1904. &lt;https://doi.org/10.1038/s41588-025-02249-4&gt;</w:t>
      </w:r>
    </w:p>
    <w:p>
      <w:pPr>
        <w:spacing w:line="480" w:lineRule="auto"/>
      </w:pPr>
    </w:p>
    <w:p>
      <w:pPr>
        <w:spacing w:line="480" w:lineRule="auto"/>
        <w:ind w:left="720" w:hanging="720"/>
      </w:pPr>
      <w:r>
        <w:t>CIHI. (2024). Canadians report increasing need for mental health care alongside barriers to access. Canadian Institute for Health Information. &lt;https://www.cihi.ca/en/canadians-report-increasing-need-for-mental-health-care-alongside-barriers-to-access&gt;</w:t>
      </w:r>
    </w:p>
    <w:p>
      <w:pPr>
        <w:spacing w:line="480" w:lineRule="auto"/>
      </w:pPr>
    </w:p>
    <w:p>
      <w:pPr>
        <w:spacing w:line="480" w:lineRule="auto"/>
        <w:ind w:left="720" w:hanging="720"/>
      </w:pPr>
      <w:r>
        <w:t>Cuijpers, P., Berking, M., Andersson, G., Quigley, L., Kleiboer, A., &amp; Dobson, K. S. (2013). A meta-analysis of cognitive-behavioural therapy for adult depression, alone and in comparison with other treatments. Canadian Journal of Psychiatry, 58(7), 376–385. &lt;https://doi.org/10.1177/070674371305800702&gt;</w:t>
      </w:r>
    </w:p>
    <w:p>
      <w:pPr>
        <w:spacing w:line="480" w:lineRule="auto"/>
      </w:pPr>
    </w:p>
    <w:p>
      <w:pPr>
        <w:spacing w:line="480" w:lineRule="auto"/>
        <w:ind w:left="720" w:hanging="720"/>
      </w:pPr>
      <w:r>
        <w:t>Desjardins, B., Cullinan, V., &amp; Daken, P. (2024, April 27). Mental health services recommendation report. NB Disability Action Plan student consultancy. &lt;https://legnb.ca/content/dam/legnb/pdf/RecommendationsReport-DisabilityActionPlan.pdf&gt;</w:t>
      </w:r>
    </w:p>
    <w:p>
      <w:pPr>
        <w:spacing w:line="480" w:lineRule="auto"/>
      </w:pPr>
    </w:p>
    <w:p>
      <w:pPr>
        <w:spacing w:line="480" w:lineRule="auto"/>
        <w:ind w:left="720" w:hanging="720"/>
      </w:pPr>
      <w:r>
        <w:t>Donnelly, L., &amp; Treece, B. (2021). Barriers to mental health service use in rural New Brunswick. Canadian Journal of Community Mental Health, 40(2), 45–60. &lt;https://doi.org/10.7870/cjcmh-2021-011&gt;</w:t>
      </w:r>
    </w:p>
    <w:p>
      <w:pPr>
        <w:spacing w:line="480" w:lineRule="auto"/>
      </w:pPr>
    </w:p>
    <w:p>
      <w:pPr>
        <w:spacing w:line="480" w:lineRule="auto"/>
        <w:ind w:left="720" w:hanging="720"/>
      </w:pPr>
      <w:r>
        <w:t>Fitzsimon, J., et al. (2025). Improving access to primary care through hybrid virtual and in-person models in rural Canada. BMC Health Services Research, 25(1), 45–60. &lt;https://doi.org/10.1186/s12913-025-01234-x&gt;</w:t>
      </w:r>
    </w:p>
    <w:p>
      <w:pPr>
        <w:spacing w:line="480" w:lineRule="auto"/>
      </w:pPr>
    </w:p>
    <w:p>
      <w:pPr>
        <w:spacing w:line="480" w:lineRule="auto"/>
        <w:ind w:left="720" w:hanging="720"/>
      </w:pPr>
      <w:r>
        <w:t>Health Infobase. (2024). Mental health indicators by geography. Public Health Agency of Canada. &lt;https://health-infobase.canada.ca/mental-health/inequalities/technical-notes.html&gt;</w:t>
      </w:r>
    </w:p>
    <w:p>
      <w:pPr>
        <w:spacing w:line="480" w:lineRule="auto"/>
      </w:pPr>
    </w:p>
    <w:p>
      <w:pPr>
        <w:spacing w:line="480" w:lineRule="auto"/>
        <w:ind w:left="720" w:hanging="720"/>
      </w:pPr>
      <w:r>
        <w:t>Horizon Health Network. (2024, May 15). Pilot project introduced to treat Major Depressive Disorder in New Brunswick. &lt;https://www.horizonnb.ca/news/pilot-project-introduced-to-treat-major-depressive-disorder/&gt;</w:t>
      </w:r>
    </w:p>
    <w:p>
      <w:pPr>
        <w:spacing w:line="480" w:lineRule="auto"/>
      </w:pPr>
    </w:p>
    <w:p>
      <w:pPr>
        <w:spacing w:line="480" w:lineRule="auto"/>
        <w:ind w:left="720" w:hanging="720"/>
      </w:pPr>
      <w:r>
        <w:t>Kingsway, R. (2024). Geographic isolation and mental health service access in Atlantic Canada. Journal of Rural Health, 40(1), 45–56. &lt;https://doi.org/10.1111/jrh.12789&gt;</w:t>
      </w:r>
    </w:p>
    <w:p>
      <w:pPr>
        <w:spacing w:line="480" w:lineRule="auto"/>
      </w:pPr>
    </w:p>
    <w:p>
      <w:pPr>
        <w:spacing w:line="480" w:lineRule="auto"/>
        <w:ind w:left="720" w:hanging="720"/>
      </w:pPr>
      <w:r>
        <w:t>Malhi, G. S., &amp; Mann, J. J. (2018). Depression. The Lancet, 392(10161), 2299–2312. &lt;https://doi.org/10.1016/S0140-6736(18)31948-2&gt;</w:t>
      </w:r>
    </w:p>
    <w:p>
      <w:pPr>
        <w:spacing w:line="480" w:lineRule="auto"/>
      </w:pPr>
    </w:p>
    <w:p>
      <w:pPr>
        <w:spacing w:line="480" w:lineRule="auto"/>
        <w:ind w:left="720" w:hanging="720"/>
      </w:pPr>
      <w:r>
        <w:t>Moroz, N., Moroz, I., &amp; D’Angelo, M. S. (2020). Mental health services in Canada: Barriers and cost-effective solutions to increase access. Healthcare Management Forum, 33(6), 282–287. &lt;https://doi.org/10.1177/0840470420933911&gt;</w:t>
      </w:r>
    </w:p>
    <w:p>
      <w:pPr>
        <w:spacing w:line="480" w:lineRule="auto"/>
      </w:pPr>
    </w:p>
    <w:p>
      <w:pPr>
        <w:spacing w:line="480" w:lineRule="auto"/>
        <w:ind w:left="720" w:hanging="720"/>
      </w:pPr>
      <w:r>
        <w:t>Naslund, J. A., Mitchell, L. M., Joshi, U., Nagda, D., &amp; Lu, C. (2022). Economic evaluation and costs of telepsychiatry programmes: A systematic review. Journal of Telemedicine and Telecare, 28(5), 311–330. &lt;https://doi.org/10.1177/1357633X20938919&gt;</w:t>
      </w:r>
    </w:p>
    <w:p>
      <w:pPr>
        <w:spacing w:line="480" w:lineRule="auto"/>
      </w:pPr>
    </w:p>
    <w:p>
      <w:pPr>
        <w:spacing w:line="480" w:lineRule="auto"/>
        <w:ind w:left="720" w:hanging="720"/>
      </w:pPr>
      <w:r>
        <w:t>Psychology Today. (2024). Telehealth for rural communities: The mental health care gap. Psychology Today. &lt;https://www.psychologytoday.com/us/blog/brain-boost/202408/telehealth-for-rural-communities-the-mental-health-care-gap&gt;</w:t>
      </w:r>
    </w:p>
    <w:p>
      <w:pPr>
        <w:spacing w:line="480" w:lineRule="auto"/>
      </w:pPr>
    </w:p>
    <w:p>
      <w:pPr>
        <w:spacing w:line="480" w:lineRule="auto"/>
        <w:ind w:left="720" w:hanging="720"/>
      </w:pPr>
      <w:r>
        <w:t>Rose-Clarke, K., et al. (2024). The social determinants of mental health and disorder: Evidence, prevention and recommendations. The Lancet Psychiatry, 11(1), 79–90. &lt;https://doi.org/10.1016/S2215-0366(23)00355-5&gt;</w:t>
      </w:r>
    </w:p>
    <w:p>
      <w:pPr>
        <w:spacing w:line="480" w:lineRule="auto"/>
      </w:pPr>
    </w:p>
    <w:p>
      <w:pPr>
        <w:spacing w:line="480" w:lineRule="auto"/>
        <w:ind w:left="720" w:hanging="720"/>
      </w:pPr>
      <w:r>
        <w:t>Savoia, E., et al. (2022). Exploring the association between misinformation endorsement, opinions on the government response, risk perception, and COVID-19 vaccine hesitancy in the US, Canada, and Italy. Vaccines, 10(5), 671. &lt;https://doi.org/10.3390/vaccines10050671&gt;</w:t>
      </w:r>
    </w:p>
    <w:p>
      <w:pPr>
        <w:spacing w:line="480" w:lineRule="auto"/>
      </w:pPr>
    </w:p>
    <w:p>
      <w:pPr>
        <w:spacing w:line="480" w:lineRule="auto"/>
        <w:ind w:left="720" w:hanging="720"/>
      </w:pPr>
      <w:r>
        <w:t>Schwartzmann, B., et al. (2024). Neuroanatomical dimensions in medication-free individuals with major depressive disorder and treatment response to SSRI antidepressant medications or placebo. Nature Mental Health, 2(2), 164–176. &lt;https://doi.org/10.1038/s44220-023-00145-x&gt;</w:t>
      </w:r>
    </w:p>
    <w:p>
      <w:pPr>
        <w:spacing w:line="480" w:lineRule="auto"/>
      </w:pPr>
    </w:p>
    <w:p>
      <w:pPr>
        <w:spacing w:line="480" w:lineRule="auto"/>
        <w:ind w:left="720" w:hanging="720"/>
      </w:pPr>
      <w:r>
        <w:t>Soklaridis, S., et al. (2020). Mental health interventions and supports during COVID-19 and other medical pandemics: A rapid systematic review of the evidence. General Hospital Psychiatry, 66, 133–146. &lt;https://doi.org/10.1016/j.genhosppsych.2020.08.007&gt;</w:t>
      </w:r>
    </w:p>
    <w:p>
      <w:pPr>
        <w:spacing w:line="480" w:lineRule="auto"/>
      </w:pPr>
    </w:p>
    <w:p>
      <w:pPr>
        <w:spacing w:line="480" w:lineRule="auto"/>
        <w:ind w:left="720" w:hanging="720"/>
      </w:pPr>
      <w:r>
        <w:t>Ward, M. (2023). Digital mental health interventions: A clinical review of engagement and outcomes. JMIR Mental Health, 10(1), e47047. &lt;https://doi.org/10.2196/47047&gt;</w:t>
      </w:r>
    </w:p>
    <w:p>
      <w:pPr>
        <w:spacing w:line="480" w:lineRule="auto"/>
      </w:pPr>
    </w:p>
    <w:p>
      <w:pPr>
        <w:spacing w:line="480" w:lineRule="auto"/>
        <w:ind w:left="720" w:hanging="720"/>
      </w:pPr>
      <w:r>
        <w:t>Yang, L. (2024). Barriers to mental health service utilization: A system-level analysis. PLOS ONE, 19(3), e0301008. &lt;https://doi.org/10.1371/journal.pone.0301008&gt;</w:t>
      </w:r>
    </w:p>
    <w:p>
      <w:pPr>
        <w:spacing w:line="480" w:lineRule="auto"/>
      </w:pPr>
    </w:p>
    <w:p>
      <w:pPr>
        <w:spacing w:line="480" w:lineRule="auto"/>
        <w:ind w:left="720" w:hanging="720"/>
      </w:pPr>
      <w:r>
        <w:t>Zimmermann, G., &amp; Fleming, T. M. (2024). The future of digital interventions: Biofeedback and AI. Nature Digital Medicine, 7(1), 1–10. &lt;https://doi.org/10.1038/s41746-024-01023-5&gt;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b/>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b/>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b/>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b/>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b/>
      <w:i/>
      <w:iCs/>
      <w:color w:val="000000"/>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Accessibility in Rural New Brunswick</dc:title>
  <dc:subject/>
  <dc:creator>Joel Palk-Ricard</dc:creator>
  <cp:keywords/>
  <dc:description>Final submission for HLTH 1011</dc:description>
  <cp:lastModifiedBy/>
  <cp:revision>1</cp:revision>
  <dcterms:created xsi:type="dcterms:W3CDTF">2013-12-23T23:15:00Z</dcterms:created>
  <dcterms:modified xsi:type="dcterms:W3CDTF">2013-12-23T23:15:00Z</dcterms:modified>
  <cp:category/>
</cp:coreProperties>
</file>