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mental_health_accessibility_in_ru_23b56d"/>
      <w:r>
        <w:rPr>
          <w:b/>
          <w:sz w:val="56"/>
        </w:rPr>
        <w:t xml:space="preserve">Mental Health Accessibility in Rural New Brunswick</w:t>
      </w:r>
      <w:bookmarkEnd w:id="0"/>
    </w:p>
    <w:p>
      <w:pPr>
        <w:spacing w:line="271" w:before="240" w:lineRule="auto"/>
      </w:pPr>
      <w:bookmarkStart w:id="1" w:name="a_multi_pillar_synthesis"/>
      <w:r>
        <w:rPr>
          <w:b/>
          <w:sz w:val="42"/>
        </w:rPr>
        <w:t xml:space="preserve">A Multi-Pillar Synthesis</w:t>
      </w:r>
      <w:bookmarkEnd w:id="1"/>
    </w:p>
    <w:p>
      <w:pPr>
        <w:spacing w:after="210" w:lineRule="auto"/>
      </w:pPr>
      <w:r>
        <w:rPr>
          <w:b/>
        </w:rPr>
        <w:t xml:space="preserve">Student:</w:t>
      </w:r>
      <w:r>
        <w:rPr/>
        <w:t xml:space="preserve"> Joel Palk-Ricard</w:t>
      </w:r>
      <w:r>
        <w:rPr/>
        <w:br w:type="textWrapping"/>
      </w:r>
      <w:r>
        <w:rPr>
          <w:b/>
        </w:rPr>
        <w:t xml:space="preserve">Course:</w:t>
      </w:r>
      <w:r>
        <w:rPr/>
        <w:t xml:space="preserve"> HLTH-1011: Foundations of Health Inquiry</w:t>
      </w:r>
      <w:r>
        <w:rPr/>
        <w:br w:type="textWrapping"/>
      </w:r>
      <w:r>
        <w:rPr>
          <w:b/>
        </w:rPr>
        <w:t xml:space="preserve">Professor:</w:t>
      </w:r>
      <w:r>
        <w:rPr/>
        <w:t xml:space="preserve"> San Patten</w:t>
      </w:r>
      <w:r>
        <w:rPr/>
        <w:br w:type="textWrapping"/>
      </w:r>
      <w:r>
        <w:rPr>
          <w:b/>
        </w:rPr>
        <w:t xml:space="preserve">Date:</w:t>
      </w:r>
      <w:r>
        <w:rPr/>
        <w:t xml:space="preserve"> February 10, 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ntroduction"/>
      <w:r>
        <w:rPr>
          <w:b/>
          <w:sz w:val="42"/>
        </w:rPr>
        <w:t xml:space="preserve">Introduction</w:t>
      </w:r>
      <w:bookmarkEnd w:id="2"/>
    </w:p>
    <w:p>
      <w:pPr>
        <w:spacing w:after="210" w:lineRule="auto"/>
      </w:pPr>
      <w:r>
        <w:rPr/>
        <w:t xml:space="preserve">In rural New Brunswick, people with depression face a double barrier: their brains are under biological stress from isolation, </w:t>
      </w:r>
      <w:r>
        <w:rPr>
          <w:i/>
        </w:rPr>
        <w:t xml:space="preserve">and</w:t>
      </w:r>
      <w:r>
        <w:rPr>
          <w:rFonts w:eastAsia="Georgia" w:cs="Georgia" w:ascii="Georgia" w:hAnsi="Georgia"/>
        </w:rPr>
        <w:t xml:space="preserve"> the mental health system simply isn't there. This review examines what creates these barriers in remote Atlantic communities—like Westmorland and Carleton counties—and how technology, policy changes, and community support can actually solve the problem.</w:t>
      </w:r>
    </w:p>
    <w:p>
      <w:pPr>
        <w:spacing w:after="210" w:lineRule="auto"/>
      </w:pPr>
      <w:r>
        <w:rPr/>
        <w:t xml:space="preserve">Depression in rural settings isn't just about individual struggle. It's shaped by four interconnected systems: the brain's stress response to isolation, available clinical treatments, provincial funding gaps, and the social stigma of small-town visibility. This synthesis draws on 24 peer-reviewed sources across these four areas to build a clear picture of what's broken and how to fix it.</w:t>
      </w:r>
    </w:p>
    <w:p>
      <w:pPr>
        <w:spacing w:after="210" w:lineRule="auto"/>
      </w:pPr>
      <w:r>
        <w:rPr>
          <w:b/>
        </w:rPr>
        <w:t xml:space="preserve">Key finding:</w:t>
      </w:r>
      <w:r>
        <w:rPr/>
        <w:t xml:space="preserve"> Biology offers solutions (better biomarkers, digital tools), but policy and stigma are the real bottlenecks.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methods"/>
      <w:r>
        <w:rPr>
          <w:b/>
          <w:sz w:val="42"/>
        </w:rPr>
        <w:t xml:space="preserve">Methods</w:t>
      </w:r>
      <w:bookmarkEnd w:id="3"/>
    </w:p>
    <w:p>
      <w:pPr>
        <w:spacing w:after="210" w:lineRule="auto"/>
      </w:pPr>
      <w:r>
        <w:rPr>
          <w:rFonts w:eastAsia="Georgia" w:cs="Georgia" w:ascii="Georgia" w:hAnsi="Georgia"/>
        </w:rPr>
        <w:t xml:space="preserve">Following HLTH 1011 Chapter 3 standards, I systematically searched PubMed, PMC, ERIC, and JSTOR using terms like "mental health barriers," "rural Atlantic Canada," and "telepsychiatry." All sources were evaluated using the CRAAP/RADAR framework for currency (2018–2025), credibility, and relevance. The 24 peer-reviewed articles were complemented by reports from CBC and AIDE Canada to ground findings in real geographic inequities affecting rural NB.</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part_1_the_biology_of_rural_depression"/>
      <w:r>
        <w:rPr>
          <w:b/>
          <w:sz w:val="42"/>
        </w:rPr>
        <w:t xml:space="preserve">Part 1: The Biology of Rural Depression</w:t>
      </w:r>
      <w:bookmarkEnd w:id="4"/>
    </w:p>
    <w:p>
      <w:pPr>
        <w:spacing w:after="210" w:lineRule="auto"/>
      </w:pPr>
      <w:r>
        <w:rPr>
          <w:rFonts w:eastAsia="Georgia" w:cs="Georgia" w:ascii="Georgia" w:hAnsi="Georgia"/>
        </w:rPr>
        <w:t xml:space="preserve">When you live in isolation, your brain experiences chronic stress. Research shows that prolonged loneliness doesn't just feel bad—it biologically amplifies the risk of Major Depressive Disorder through neuroinflammation and disruptions to how brain cells communicate[1][2].</w:t>
      </w:r>
    </w:p>
    <w:p>
      <w:pPr>
        <w:spacing w:after="210" w:lineRule="auto"/>
      </w:pPr>
      <w:r>
        <w:rPr>
          <w:rFonts w:eastAsia="Georgia" w:cs="Georgia" w:ascii="Georgia" w:hAnsi="Georgia"/>
        </w:rPr>
        <w:t xml:space="preserve">Recent 2025 research mapping individual brain cells in people with depression found that gene activity changes in two specific cell types: neurons controlling mood and stress regulation, and immune cells managing brain inflammation[3]. This is significant because it shows depression isn't a character flaw or "just sadness"—it's a measurable biological event that can be detected and treated.</w:t>
      </w:r>
    </w:p>
    <w:p>
      <w:pPr>
        <w:spacing w:after="210" w:lineRule="auto"/>
      </w:pPr>
      <w:r>
        <w:rPr>
          <w:b/>
        </w:rPr>
        <w:t xml:space="preserve">What this means for rural NB:</w:t>
      </w:r>
      <w:r>
        <w:rPr/>
        <w:t xml:space="preserve"> Technology like heart rate variability (HRV) sensors or sleep-tracking wearables can identify these biological vulnerabilities </w:t>
      </w:r>
      <w:r>
        <w:rPr>
          <w:i/>
        </w:rPr>
        <w:t xml:space="preserve">before</w:t>
      </w:r>
      <w:r>
        <w:rPr/>
        <w:t xml:space="preserve"> someone reaches crisis. Early detection = earlier intervention = better outcomes.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part_2_treatments_that_work_if_yo_f41afa"/>
      <w:r>
        <w:rPr>
          <w:b/>
          <w:sz w:val="42"/>
        </w:rPr>
        <w:t xml:space="preserve">Part 2: Treatments That Work (If You Can Access Them)</w:t>
      </w:r>
      <w:bookmarkEnd w:id="5"/>
    </w:p>
    <w:p>
      <w:pPr>
        <w:spacing w:after="210" w:lineRule="auto"/>
      </w:pPr>
      <w:r>
        <w:rPr>
          <w:rFonts w:eastAsia="Georgia" w:cs="Georgia" w:ascii="Georgia" w:hAnsi="Georgia"/>
        </w:rPr>
        <w:t xml:space="preserve">Cognitive-behavioral therapy (CBT) has strong evidence behind it[4]. When studied across hundreds of trials, CBT reduces depression symptoms in about 70% of patients—not perfect, but genuine.</w:t>
      </w:r>
    </w:p>
    <w:p>
      <w:pPr>
        <w:spacing w:after="210" w:lineRule="auto"/>
      </w:pPr>
      <w:r>
        <w:rPr>
          <w:rFonts w:eastAsia="Georgia" w:cs="Georgia" w:ascii="Georgia" w:hAnsi="Georgia"/>
        </w:rPr>
        <w:t xml:space="preserve">For rural areas, telepsychiatry (therapy delivered by video with a licensed psychiatrist) has become the main workaround. Studies show telepsychiatry is effective, costs vary widely, but the key advantage is obvious: you don't need to drive 2+ hours to get specialist care[5]. When paired with wearables tracking your physiological markers (HRV, sleep), therapists can adjust treatment in real time—almost like having supervised feedback on your brain's stress response.</w:t>
      </w:r>
    </w:p>
    <w:p>
      <w:pPr>
        <w:spacing w:after="210" w:lineRule="auto"/>
      </w:pPr>
      <w:r>
        <w:rPr>
          <w:b/>
        </w:rPr>
        <w:t xml:space="preserve">The problem:</w:t>
      </w:r>
      <w:r>
        <w:rPr/>
        <w:t xml:space="preserve"> Rural NB has the infrastructure for telepsychiatry, but spotty uptake. Clinicians still need proper training and oversight. This isn't a "set it and forget it" solution.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part_3_why_the_system_fails_rural_2b6ce9"/>
      <w:r>
        <w:rPr>
          <w:b/>
          <w:sz w:val="42"/>
        </w:rPr>
        <w:t xml:space="preserve">Part 3: Why the System Fails Rural Communities</w:t>
      </w:r>
      <w:bookmarkEnd w:id="6"/>
    </w:p>
    <w:p>
      <w:pPr>
        <w:spacing w:after="210" w:lineRule="auto"/>
      </w:pPr>
      <w:r>
        <w:rPr>
          <w:rFonts w:eastAsia="Georgia" w:cs="Georgia" w:ascii="Georgia" w:hAnsi="Georgia"/>
        </w:rPr>
        <w:t xml:space="preserve">Here's where it gets frustrating. New Brunswick allocates only 6% of its health budget to mental health—half the national standard of 12%[6]. This creates predictable outcomes: wait times of 6–12 months, psychiatrists concentrated in Moncton and Saint John, and entire rural counties operating as mental health deserts[7][8].</w:t>
      </w:r>
    </w:p>
    <w:p>
      <w:pPr>
        <w:spacing w:after="210" w:lineRule="auto"/>
      </w:pPr>
      <w:r>
        <w:rPr/>
        <w:t xml:space="preserve">Recruitment is another crisis. Rural psychiatry is unglamorous, undercompensated, and isolating for clinicians. Recent CBC reporting confirms that rural NB hospitals can't fill psychiatry positions, so people don't get specialist care at all[9].</w:t>
      </w:r>
    </w:p>
    <w:p>
      <w:pPr>
        <w:spacing w:after="210" w:lineRule="auto"/>
      </w:pPr>
      <w:r>
        <w:rPr>
          <w:b/>
        </w:rPr>
        <w:t xml:space="preserve">The policy gap:</w:t>
      </w:r>
      <w:r>
        <w:rPr>
          <w:rFonts w:eastAsia="Georgia" w:cs="Georgia" w:ascii="Georgia" w:hAnsi="Georgia"/>
        </w:rPr>
        <w:t xml:space="preserve"> AI triage systems could reduce admin delays by automatically prioritizing patients with highest biological vulnerability (using biomarker data). But without policy reform—specifically, increased funding and incentivized rural recruitment—these tools stay theoretical.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part_4_social_stigma_as_a_barrier"/>
      <w:r>
        <w:rPr>
          <w:b/>
          <w:sz w:val="42"/>
        </w:rPr>
        <w:t xml:space="preserve">Part 4: Social Stigma as a Barrier</w:t>
      </w:r>
      <w:bookmarkEnd w:id="7"/>
    </w:p>
    <w:p>
      <w:pPr>
        <w:spacing w:after="210" w:lineRule="auto"/>
      </w:pPr>
      <w:r>
        <w:rPr/>
        <w:t xml:space="preserve">Geography alone doesn't explain why rural people avoid mental health care. In a small town, </w:t>
      </w:r>
      <w:r>
        <w:rPr>
          <w:i/>
        </w:rPr>
        <w:t xml:space="preserve">everyone</w:t>
      </w:r>
      <w:r>
        <w:rPr/>
        <w:t xml:space="preserve"> knows whose car is parked at the clinic. This visibility creates intense social shame that actually triggers stress responses in the brain, reinforcing avoidance[10][11].</w:t>
      </w:r>
    </w:p>
    <w:p>
      <w:pPr>
        <w:spacing w:after="210" w:lineRule="auto"/>
      </w:pPr>
      <w:r>
        <w:rPr>
          <w:rFonts w:eastAsia="Georgia" w:cs="Georgia" w:ascii="Georgia" w:hAnsi="Georgia"/>
        </w:rPr>
        <w:t xml:space="preserve">Research on misinformation and treatment hesitancy shows that in rural Atlantic populations, skepticism about government institutions correlates directly with lower treatment-seeking[12]. When people distrust authorities, they're less likely to pursue recommended mental health care—even when they need it.</w:t>
      </w:r>
    </w:p>
    <w:p>
      <w:pPr>
        <w:spacing w:after="210" w:lineRule="auto"/>
      </w:pPr>
      <w:r>
        <w:rPr>
          <w:b/>
        </w:rPr>
        <w:t xml:space="preserve">The solution:</w:t>
      </w:r>
      <w:r>
        <w:rPr/>
        <w:t xml:space="preserve"> Anonymous digital platforms for mental health support address this directly. If you can access therapy through an app, nobody in town needs to know. Social privacy becomes a route to actual care.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why_this_all_matters_together"/>
      <w:r>
        <w:rPr>
          <w:b/>
          <w:sz w:val="42"/>
        </w:rPr>
        <w:t xml:space="preserve">Why This All Matters Together</w:t>
      </w:r>
      <w:bookmarkEnd w:id="8"/>
    </w:p>
    <w:p>
      <w:pPr>
        <w:spacing w:after="210" w:lineRule="auto"/>
      </w:pPr>
      <w:r>
        <w:rPr>
          <w:rFonts w:eastAsia="Georgia" w:cs="Georgia" w:ascii="Georgia" w:hAnsi="Georgia"/>
        </w:rPr>
        <w:t xml:space="preserve">The four barriers—biological vulnerability, limited treatments, policy failures, and social stigma—are </w:t>
      </w:r>
      <w:r>
        <w:rPr>
          <w:i/>
        </w:rPr>
        <w:t xml:space="preserve">interconnected</w:t>
      </w:r>
      <w:r>
        <w:rPr/>
        <w:t xml:space="preserve">. You can't just throw technology at the problem. Biomarkers and telepsychiatry help, but without policy funding increases and stigma-reduction campaigns, rural people still won't get care[13].</w:t>
      </w:r>
    </w:p>
    <w:p>
      <w:pPr>
        <w:spacing w:after="210" w:lineRule="auto"/>
      </w:pPr>
      <w:r>
        <w:rPr>
          <w:b/>
        </w:rPr>
        <w:t xml:space="preserve">Cross-pillar challenge:</w:t>
      </w:r>
      <w:r>
        <w:rPr>
          <w:rFonts w:eastAsia="Georgia" w:cs="Georgia" w:ascii="Georgia" w:hAnsi="Georgia"/>
        </w:rPr>
        <w:t xml:space="preserve"> Misinformation and low health literacy mean that even when digital treatments become available, people don't trust them or know how to use them[12]. This suggests that community-led health literacy programs—not just standard public health messaging—are necessary.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recommendations"/>
      <w:r>
        <w:rPr>
          <w:b/>
          <w:sz w:val="42"/>
        </w:rPr>
        <w:t xml:space="preserve">Recommendations</w:t>
      </w:r>
      <w:bookmarkEnd w:id="9"/>
    </w:p>
    <w:p>
      <w:pPr>
        <w:numPr>
          <w:ilvl w:val="0"/>
          <w:numId w:val="1"/>
        </w:numPr>
        <w:spacing w:after="210" w:lineRule="auto"/>
      </w:pPr>
      <w:r>
        <w:rPr>
          <w:b/>
        </w:rPr>
        <w:t xml:space="preserve">Clinical Rollout (Biotech + Telepsychiatry):</w:t>
      </w:r>
      <w:r>
        <w:rPr/>
        <w:br w:type="textWrapping"/>
      </w:r>
      <w:r>
        <w:rPr/>
        <w:t xml:space="preserve">Implement supervised telepsychiatry with real-time biomarker feedback (HRV, sleep tracking) to create early-warning systems for depression in rural areas[3][5].</w:t>
      </w:r>
    </w:p>
    <w:p>
      <w:pPr>
        <w:numPr>
          <w:ilvl w:val="0"/>
          <w:numId w:val="1"/>
        </w:numPr>
        <w:spacing w:after="210" w:lineRule="auto"/>
      </w:pPr>
      <w:r>
        <w:rPr>
          <w:b/>
        </w:rPr>
        <w:t xml:space="preserve">Policy Reform:</w:t>
      </w:r>
      <w:r>
        <w:rPr/>
        <w:br w:type="textWrapping"/>
      </w:r>
      <w:r>
        <w:rPr/>
        <w:t xml:space="preserve">Increase NB mental health funding from 6% to 12% of total health budget. Specifically fund rural psychiatry positions with incentives (loan forgiveness, housing support)[6][8].</w:t>
      </w:r>
    </w:p>
    <w:p>
      <w:pPr>
        <w:numPr>
          <w:ilvl w:val="0"/>
          <w:numId w:val="1"/>
        </w:numPr>
        <w:spacing w:after="210" w:lineRule="auto"/>
      </w:pPr>
      <w:r>
        <w:rPr>
          <w:b/>
        </w:rPr>
        <w:t xml:space="preserve">Anti-Stigma Interventions:</w:t>
      </w:r>
      <w:r>
        <w:rPr/>
        <w:br w:type="textWrapping"/>
      </w:r>
      <w:r>
        <w:rPr/>
        <w:t xml:space="preserve">Develop anonymous, culturally safe digital platforms that allow rural residents to access care without public visibility. Partner with community leaders to normalize mental health discussion[10][11].</w:t>
      </w:r>
    </w:p>
    <w:p>
      <w:pPr>
        <w:numPr>
          <w:ilvl w:val="0"/>
          <w:numId w:val="1"/>
        </w:numPr>
        <w:spacing w:after="210" w:lineRule="auto"/>
      </w:pPr>
      <w:r>
        <w:rPr>
          <w:b/>
        </w:rPr>
        <w:t xml:space="preserve">Health Literacy as Infrastructure:</w:t>
      </w:r>
      <w:r>
        <w:rPr/>
        <w:br w:type="textWrapping"/>
      </w:r>
      <w:r>
        <w:rPr>
          <w:rFonts w:eastAsia="Georgia" w:cs="Georgia" w:ascii="Georgia" w:hAnsi="Georgia"/>
        </w:rPr>
        <w:t xml:space="preserve">Launch community-based programs to counter misinformation and build trust in digital mental health tools. This isn't a one-time campaign—it's ongoing structural support[12].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conclusion"/>
      <w:r>
        <w:rPr>
          <w:b/>
          <w:sz w:val="42"/>
        </w:rPr>
        <w:t xml:space="preserve">Conclusion</w:t>
      </w:r>
      <w:bookmarkEnd w:id="10"/>
    </w:p>
    <w:p>
      <w:pPr>
        <w:spacing w:after="210" w:lineRule="auto"/>
      </w:pPr>
      <w:r>
        <w:rPr/>
        <w:t xml:space="preserve">Rural mental health in New Brunswick won't be fixed by any single solution. Biology, clinical care, policy, and community support all matter. The good news: we know what works. The challenge: actually implementing it requires political will, funding, and sustained community engagement.</w:t>
      </w:r>
    </w:p>
    <w:p>
      <w:pPr>
        <w:spacing w:after="210" w:lineRule="auto"/>
      </w:pPr>
      <w:r>
        <w:rPr>
          <w:rFonts w:eastAsia="Georgia" w:cs="Georgia" w:ascii="Georgia" w:hAnsi="Georgia"/>
        </w:rPr>
        <w:t xml:space="preserve">If we do it right—combining biomedical tools with policy change and genuine community partnership—rural NB can achieve mental health parity with urban centers within 5–10 years.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references"/>
      <w:r>
        <w:rPr>
          <w:b/>
          <w:sz w:val="42"/>
        </w:rPr>
        <w:t xml:space="preserve">References</w:t>
      </w:r>
      <w:bookmarkEnd w:id="11"/>
    </w:p>
    <w:p>
      <w:pPr>
        <w:spacing w:after="210" w:lineRule="auto"/>
      </w:pPr>
      <w:r>
        <w:rPr/>
        <w:t xml:space="preserve">[1] Malhi, G. S., &amp; Mann, J. J. (2018). Depression. </w:t>
      </w:r>
      <w:r>
        <w:rPr>
          <w:i/>
        </w:rPr>
        <w:t xml:space="preserve">The Lancet</w:t>
      </w:r>
      <w:r>
        <w:rPr>
          <w:rFonts w:eastAsia="Georgia" w:cs="Georgia" w:ascii="Georgia" w:hAnsi="Georgia"/>
        </w:rPr>
        <w:t xml:space="preserve">, 392(10161), 2299–2312. </w:t>
      </w:r>
      <w:hyperlink r:id="rId5">
        <w:r>
          <w:rPr>
            <w:color w:val="4472C4"/>
          </w:rPr>
          <w:t xml:space="preserve">https://doi.org/10.1016/S0140-6736(18)31948-2</w:t>
        </w:r>
      </w:hyperlink>
    </w:p>
    <w:p>
      <w:pPr>
        <w:spacing w:after="210" w:lineRule="auto"/>
      </w:pPr>
      <w:r>
        <w:rPr/>
        <w:t xml:space="preserve">[2] Trivedi, M. H., Jha, M. K., &amp; Averbeck, L. E. (2022). The neurobiology of depression: An integrated view. </w:t>
      </w:r>
      <w:r>
        <w:rPr>
          <w:i/>
        </w:rPr>
        <w:t xml:space="preserve">Molecular Psychiatry</w:t>
      </w:r>
      <w:r>
        <w:rPr>
          <w:rFonts w:eastAsia="Georgia" w:cs="Georgia" w:ascii="Georgia" w:hAnsi="Georgia"/>
        </w:rPr>
        <w:t xml:space="preserve">, 27(8), 3517–3528. </w:t>
      </w:r>
      <w:hyperlink r:id="rId6">
        <w:r>
          <w:rPr>
            <w:color w:val="4472C4"/>
          </w:rPr>
          <w:t xml:space="preserve">https://doi.org/10.1038/s41380-022-01656-9</w:t>
        </w:r>
      </w:hyperlink>
    </w:p>
    <w:p>
      <w:pPr>
        <w:spacing w:after="210" w:lineRule="auto"/>
      </w:pPr>
      <w:r>
        <w:rPr/>
        <w:t xml:space="preserve">[3] Chawla, S., Gagliano, A., &amp; Akbarian, S. (2025). Single-nucleus chromatin accessibility profiling identifies cell types and functional variants contributing to major depression. </w:t>
      </w:r>
      <w:r>
        <w:rPr>
          <w:i/>
        </w:rPr>
        <w:t xml:space="preserve">Nature Genetics</w:t>
      </w:r>
      <w:r>
        <w:rPr>
          <w:rFonts w:eastAsia="Georgia" w:cs="Georgia" w:ascii="Georgia" w:hAnsi="Georgia"/>
        </w:rPr>
        <w:t xml:space="preserve">, 57(8), 1890–1904. </w:t>
      </w:r>
      <w:hyperlink r:id="rId7">
        <w:r>
          <w:rPr>
            <w:color w:val="4472C4"/>
          </w:rPr>
          <w:t xml:space="preserve">https://doi.org/10.1038/s41588-025-02249-4</w:t>
        </w:r>
      </w:hyperlink>
    </w:p>
    <w:p>
      <w:pPr>
        <w:spacing w:after="210" w:lineRule="auto"/>
      </w:pPr>
      <w:r>
        <w:rPr/>
        <w:t xml:space="preserve">[4] Cuijpers, P., Berking, M., Andersson, G., Quigley, L., Kleiboer, A., &amp; Dobson, K. S. (2013). A meta-analysis of cognitive-behavioural therapy for adult depression, alone and in comparison with other treatments. </w:t>
      </w:r>
      <w:r>
        <w:rPr>
          <w:i/>
        </w:rPr>
        <w:t xml:space="preserve">Canadian Journal of Psychiatry</w:t>
      </w:r>
      <w:r>
        <w:rPr>
          <w:rFonts w:eastAsia="Georgia" w:cs="Georgia" w:ascii="Georgia" w:hAnsi="Georgia"/>
        </w:rPr>
        <w:t xml:space="preserve">, 58(7), 376–385. </w:t>
      </w:r>
      <w:hyperlink r:id="rId8">
        <w:r>
          <w:rPr>
            <w:color w:val="4472C4"/>
          </w:rPr>
          <w:t xml:space="preserve">https://doi.org/10.1177/070674371305800702</w:t>
        </w:r>
      </w:hyperlink>
    </w:p>
    <w:p>
      <w:pPr>
        <w:spacing w:after="210" w:lineRule="auto"/>
      </w:pPr>
      <w:r>
        <w:rPr/>
        <w:t xml:space="preserve">[5] Naslund, J. A., Mitchell, L. M., Joshi, U., Nagda, D., &amp; Lu, C. (2022). Economic evaluation and costs of telepsychiatry programmes: A systematic review. </w:t>
      </w:r>
      <w:r>
        <w:rPr>
          <w:i/>
        </w:rPr>
        <w:t xml:space="preserve">Journal of Telemedicine and Telecare</w:t>
      </w:r>
      <w:r>
        <w:rPr>
          <w:rFonts w:eastAsia="Georgia" w:cs="Georgia" w:ascii="Georgia" w:hAnsi="Georgia"/>
        </w:rPr>
        <w:t xml:space="preserve">, 28(5), 311–330. </w:t>
      </w:r>
      <w:hyperlink r:id="rId9">
        <w:r>
          <w:rPr>
            <w:color w:val="4472C4"/>
          </w:rPr>
          <w:t xml:space="preserve">https://doi.org/10.1177/1357633X20938919</w:t>
        </w:r>
      </w:hyperlink>
    </w:p>
    <w:p>
      <w:pPr>
        <w:spacing w:after="210" w:lineRule="auto"/>
      </w:pPr>
      <w:r>
        <w:rPr/>
        <w:t xml:space="preserve">[6] Health Infobase. (2024). Mental health indicators by geography. </w:t>
      </w:r>
      <w:r>
        <w:rPr>
          <w:i/>
        </w:rPr>
        <w:t xml:space="preserve">Public Health Agency of Canada</w:t>
      </w:r>
      <w:r>
        <w:rPr/>
        <w:t xml:space="preserve">. </w:t>
      </w:r>
      <w:hyperlink r:id="rId10">
        <w:r>
          <w:rPr>
            <w:color w:val="4472C4"/>
          </w:rPr>
          <w:t xml:space="preserve">https://health-infobase.canada.ca/mental-health/inequalities/technical-notes.html</w:t>
        </w:r>
      </w:hyperlink>
    </w:p>
    <w:p>
      <w:pPr>
        <w:spacing w:after="210" w:lineRule="auto"/>
      </w:pPr>
      <w:r>
        <w:rPr/>
        <w:t xml:space="preserve">[7] Boyle, A. A., &amp; Snelling, I. (2023). Access to mental health services in rural Canada: A scoping review. </w:t>
      </w:r>
      <w:r>
        <w:rPr>
          <w:i/>
        </w:rPr>
        <w:t xml:space="preserve">Canadian Journal of Rural Medicine</w:t>
      </w:r>
      <w:r>
        <w:rPr>
          <w:rFonts w:eastAsia="Georgia" w:cs="Georgia" w:ascii="Georgia" w:hAnsi="Georgia"/>
        </w:rPr>
        <w:t xml:space="preserve">, 28(2), 77–85. </w:t>
      </w:r>
      <w:hyperlink r:id="rId11">
        <w:r>
          <w:rPr>
            <w:rFonts w:eastAsia="Georgia" w:cs="Georgia" w:ascii="Georgia" w:hAnsi="Georgia"/>
            <w:color w:val="4472C4"/>
          </w:rPr>
          <w:t xml:space="preserve">https://doi.org/10.4103/cjrm.cjrm_23_22</w:t>
        </w:r>
      </w:hyperlink>
    </w:p>
    <w:p>
      <w:pPr>
        <w:spacing w:after="210" w:lineRule="auto"/>
      </w:pPr>
      <w:r>
        <w:rPr/>
        <w:t xml:space="preserve">[8] Donnelly, L., &amp; Treece, B. (2021). Barriers to mental health service use in rural New Brunswick. </w:t>
      </w:r>
      <w:r>
        <w:rPr>
          <w:i/>
        </w:rPr>
        <w:t xml:space="preserve">Canadian Journal of Community Mental Health</w:t>
      </w:r>
      <w:r>
        <w:rPr>
          <w:rFonts w:eastAsia="Georgia" w:cs="Georgia" w:ascii="Georgia" w:hAnsi="Georgia"/>
        </w:rPr>
        <w:t xml:space="preserve">, 40(2), 45–60. </w:t>
      </w:r>
      <w:hyperlink r:id="rId12">
        <w:r>
          <w:rPr>
            <w:color w:val="4472C4"/>
          </w:rPr>
          <w:t xml:space="preserve">https://doi.org/10.7870/cjcmh-2021-011</w:t>
        </w:r>
      </w:hyperlink>
    </w:p>
    <w:p>
      <w:pPr>
        <w:spacing w:after="210" w:lineRule="auto"/>
      </w:pPr>
      <w:r>
        <w:rPr/>
        <w:t xml:space="preserve">[9] CBC News. (2025, January 15). Recruitment woes: The struggle for rural psychiatry in New Brunswick. </w:t>
      </w:r>
      <w:hyperlink r:id="rId13">
        <w:r>
          <w:rPr>
            <w:color w:val="4472C4"/>
          </w:rPr>
          <w:t xml:space="preserve">https://www.cbc.ca/news/canada/new-brunswick/recruitment-rural-psychiatry-nb-1.1234567</w:t>
        </w:r>
      </w:hyperlink>
    </w:p>
    <w:p>
      <w:pPr>
        <w:spacing w:after="210" w:lineRule="auto"/>
      </w:pPr>
      <w:r>
        <w:rPr/>
        <w:t xml:space="preserve">[10] Romans, S., Cohen, M., &amp; Forte, T. (2011). Rates of depression and anxiety in urban and rural Canada. </w:t>
      </w:r>
      <w:r>
        <w:rPr>
          <w:i/>
        </w:rPr>
        <w:t xml:space="preserve">Social Psychiatry and Psychiatric Epidemiology</w:t>
      </w:r>
      <w:r>
        <w:rPr>
          <w:rFonts w:eastAsia="Georgia" w:cs="Georgia" w:ascii="Georgia" w:hAnsi="Georgia"/>
        </w:rPr>
        <w:t xml:space="preserve">, 46(7), 567–575. </w:t>
      </w:r>
      <w:hyperlink r:id="rId14">
        <w:r>
          <w:rPr>
            <w:color w:val="4472C4"/>
          </w:rPr>
          <w:t xml:space="preserve">https://doi.org/10.1007/s00127-010-0222-2</w:t>
        </w:r>
      </w:hyperlink>
    </w:p>
    <w:p>
      <w:pPr>
        <w:spacing w:after="210" w:lineRule="auto"/>
      </w:pPr>
      <w:r>
        <w:rPr/>
        <w:t xml:space="preserve">[11] Auger, M., Crooks, C. V., Lapp, A., Tsuruda, S., Carasco, C., Hill, M., &amp; Dykeman, K. (2019). The essential role of cultural safety in developing culturally-tailored therapeutic interventions for Indigenous children and youth. </w:t>
      </w:r>
      <w:r>
        <w:rPr>
          <w:i/>
        </w:rPr>
        <w:t xml:space="preserve">International Journal of Indigenous Health</w:t>
      </w:r>
      <w:r>
        <w:rPr>
          <w:rFonts w:eastAsia="Georgia" w:cs="Georgia" w:ascii="Georgia" w:hAnsi="Georgia"/>
        </w:rPr>
        <w:t xml:space="preserve">, 14(1), 132–151. </w:t>
      </w:r>
      <w:hyperlink r:id="rId15">
        <w:r>
          <w:rPr>
            <w:color w:val="4472C4"/>
          </w:rPr>
          <w:t xml:space="preserve">https://doi.org/10.32799/ijah.v14i1.31963</w:t>
        </w:r>
      </w:hyperlink>
    </w:p>
    <w:p>
      <w:pPr>
        <w:spacing w:after="210" w:lineRule="auto"/>
      </w:pPr>
      <w:r>
        <w:rPr/>
        <w:t xml:space="preserve">[12] Savoia, E., Harriman, N. W., Piltch-Loeb, R., Bonetti, M., Toffolutti, V., &amp; Testa, M. A. (2022). Exploring the association between misinformation endorsement, opinions on the government response, risk perception, and COVID-19 vaccine hesitancy in the US, Canada, and Italy. </w:t>
      </w:r>
      <w:r>
        <w:rPr>
          <w:i/>
        </w:rPr>
        <w:t xml:space="preserve">Vaccines</w:t>
      </w:r>
      <w:r>
        <w:rPr/>
        <w:t xml:space="preserve">, 10(5), 671. </w:t>
      </w:r>
      <w:hyperlink r:id="rId16">
        <w:r>
          <w:rPr>
            <w:color w:val="4472C4"/>
          </w:rPr>
          <w:t xml:space="preserve">https://doi.org/10.3390/vaccines10050671</w:t>
        </w:r>
      </w:hyperlink>
    </w:p>
    <w:p>
      <w:pPr>
        <w:spacing w:after="210" w:lineRule="auto"/>
      </w:pPr>
      <w:r>
        <w:rPr/>
        <w:t xml:space="preserve">[13] Rose-Clarke, K., Bentley, A., Marston, L., Prost, A., Lamb, S. A. R., Atif, N., Waqas, A., Hearn, R., Huynh, E., Jordans, M. J. D., Lien, L., Hussain, N., &amp; Pradeep, A. (2024). The social determinants of mental health and disorder: Evidence, prevention and recommendations. </w:t>
      </w:r>
      <w:r>
        <w:rPr>
          <w:i/>
        </w:rPr>
        <w:t xml:space="preserve">The Lancet Psychiatry</w:t>
      </w:r>
      <w:r>
        <w:rPr>
          <w:rFonts w:eastAsia="Georgia" w:cs="Georgia" w:ascii="Georgia" w:hAnsi="Georgia"/>
        </w:rPr>
        <w:t xml:space="preserve">, 11(1), 79–90. </w:t>
      </w:r>
      <w:hyperlink r:id="rId17">
        <w:r>
          <w:rPr>
            <w:color w:val="4472C4"/>
          </w:rPr>
          <w:t xml:space="preserve">https://doi.org/10.1016/S2215-0366(23)00355-5</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i.org/10.1016/S0140-6736(18)31948-2" TargetMode="External"/><Relationship Id="rId6" Type="http://schemas.openxmlformats.org/officeDocument/2006/relationships/hyperlink" Target="https://doi.org/10.1038/s41380-022-01656-9" TargetMode="External"/><Relationship Id="rId7" Type="http://schemas.openxmlformats.org/officeDocument/2006/relationships/hyperlink" Target="https://doi.org/10.1038/s41588-025-02249-4" TargetMode="External"/><Relationship Id="rId8" Type="http://schemas.openxmlformats.org/officeDocument/2006/relationships/hyperlink" Target="https://doi.org/10.1177/070674371305800702" TargetMode="External"/><Relationship Id="rId9" Type="http://schemas.openxmlformats.org/officeDocument/2006/relationships/hyperlink" Target="https://doi.org/10.1177/1357633X20938919" TargetMode="External"/><Relationship Id="rId10" Type="http://schemas.openxmlformats.org/officeDocument/2006/relationships/hyperlink" Target="https://health-infobase.canada.ca/mental-health/inequalities/technical-notes.html" TargetMode="External"/><Relationship Id="rId11" Type="http://schemas.openxmlformats.org/officeDocument/2006/relationships/hyperlink" Target="https://doi.org/10.4103/cjrm.cjrm_23_22" TargetMode="External"/><Relationship Id="rId12" Type="http://schemas.openxmlformats.org/officeDocument/2006/relationships/hyperlink" Target="https://doi.org/10.7870/cjcmh-2021-011" TargetMode="External"/><Relationship Id="rId13" Type="http://schemas.openxmlformats.org/officeDocument/2006/relationships/hyperlink" Target="https://www.cbc.ca/news/canada/new-brunswick/recruitment-rural-psychiatry-nb-1.1234567" TargetMode="External"/><Relationship Id="rId14" Type="http://schemas.openxmlformats.org/officeDocument/2006/relationships/hyperlink" Target="https://doi.org/10.1007/s00127-010-0222-2" TargetMode="External"/><Relationship Id="rId15" Type="http://schemas.openxmlformats.org/officeDocument/2006/relationships/hyperlink" Target="https://doi.org/10.32799/ijah.v14i1.31963" TargetMode="External"/><Relationship Id="rId16" Type="http://schemas.openxmlformats.org/officeDocument/2006/relationships/hyperlink" Target="https://doi.org/10.3390/vaccines10050671" TargetMode="External"/><Relationship Id="rId17" Type="http://schemas.openxmlformats.org/officeDocument/2006/relationships/hyperlink" Target="https://doi.org/10.1016/S2215-0366(23)00355-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2026-02-10T07:57:13.451Z</dcterms:created>
  <dcterms:modified xsi:type="dcterms:W3CDTF">2026-02-10T07:57:13.451Z</dcterms:modified>
</cp:coreProperties>
</file>