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jc w:val="center"/>
      </w:pPr>
      <w:r>
        <w:rPr>
          <w:b/>
          <w:sz w:val="32"/>
        </w:rPr>
        <w:t>A Personal Vision for Just, Equitable, and Sustainable Socio-Ecological Futures</w:t>
      </w:r>
    </w:p>
    <w:p>
      <w:r>
        <w:br/>
        <w:br/>
      </w:r>
    </w:p>
    <w:p>
      <w:pPr>
        <w:jc w:val="center"/>
      </w:pPr>
      <w:r>
        <w:t>[User Name]</w:t>
      </w:r>
    </w:p>
    <w:p>
      <w:pPr>
        <w:jc w:val="center"/>
      </w:pPr>
      <w:r>
        <w:t>GENS/GENV 2101</w:t>
      </w:r>
    </w:p>
    <w:p>
      <w:pPr>
        <w:jc w:val="center"/>
      </w:pPr>
      <w:r>
        <w:t>February 17, 2026</w:t>
      </w:r>
    </w:p>
    <w:p>
      <w:r>
        <w:br w:type="page"/>
      </w:r>
    </w:p>
    <w:p>
      <w:r>
        <w:rPr>
          <w:b/>
          <w:sz w:val="28"/>
        </w:rPr>
        <w:t>Guiding Principles in a Changing World</w:t>
      </w:r>
    </w:p>
    <w:p>
      <w:pPr>
        <w:spacing w:line="360" w:lineRule="auto"/>
        <w:ind w:firstLine="720"/>
      </w:pPr>
      <w:r>
        <w:t>My approach to natural resources management is built on the realization that we are not simply observers of the natural world, but active participants within it. For too long, the dominant paradigm has been one of "command and control"—a top-down approach that treats nature as a "limitless sink" for our waste and a "giant resource cake" to be carved up, as Professor Swatuk noted when discussing King Leopold and the history of extroversion. I reject this "Cornucopian fallacy." Instead, I believe our role is to manage the *interaction* between humans and the environment, recognizing that every decision is inherently political.</w:t>
      </w:r>
    </w:p>
    <w:p>
      <w:pPr>
        <w:spacing w:line="360" w:lineRule="auto"/>
        <w:ind w:firstLine="720"/>
      </w:pPr>
      <w:r>
        <w:t xml:space="preserve">To me, </w:t>
      </w:r>
      <w:r>
        <w:rPr>
          <w:b/>
        </w:rPr>
        <w:t>Justice</w:t>
      </w:r>
      <w:r>
        <w:t xml:space="preserve"> means moving beyond the "ministerial discretion" that often fast-tracks development at the expense of local communities. It requires a commitment to "two-eyed seeing," where we value Indigenous stewardship and the precautionary principle as much as technical modeling. </w:t>
      </w:r>
      <w:r>
        <w:rPr>
          <w:b/>
        </w:rPr>
        <w:t>Equity</w:t>
      </w:r>
      <w:r>
        <w:t xml:space="preserve"> is about the balance of social forces; it is the refusal to allow a "resource curse" to persist where the benefits of extraction flow to distant "biosphere people" while the local "ecosystem people" bear the irreversible costs of degradation. Finally, </w:t>
      </w:r>
      <w:r>
        <w:rPr>
          <w:b/>
        </w:rPr>
        <w:t>Sustainability</w:t>
      </w:r>
      <w:r>
        <w:t xml:space="preserve"> is an active process of maintaining resilience. It isn't just about "wise use" for current profit, but about respecting the biophysical boundaries of our planet to ensure that future generations inherit a functioning lifesupport system. These values aren't just abstract ideals; they are the necessary metrics for legitimate governance in the Anthropocene.</w:t>
      </w:r>
    </w:p>
    <w:p>
      <w:r>
        <w:rPr>
          <w:b/>
          <w:sz w:val="28"/>
        </w:rPr>
        <w:t>The Challenge: Water Resilience and the Hydraulic Mission</w:t>
      </w:r>
    </w:p>
    <w:p>
      <w:pPr>
        <w:spacing w:line="360" w:lineRule="auto"/>
        <w:ind w:firstLine="720"/>
      </w:pPr>
      <w:r>
        <w:t>The socio-ecological challenge that I am most committed to addressing is the growing instability of urban water systems. This issue perfectly illustrates the friction between traditional engineering and ecological reality. In many cities, we still rely on a "hydraulic mission" mindset—building massive infrastructure to capture and divert water, often ignoring the long-term health of the watershed.</w:t>
      </w:r>
    </w:p>
    <w:p>
      <w:pPr>
        <w:spacing w:line="360" w:lineRule="auto"/>
        <w:ind w:firstLine="720"/>
      </w:pPr>
      <w:r>
        <w:t>This matters because water is the ultimate "linear oasis." Socially, when we manage water through centralized, sectoral power structures, we inevitably create a "two-city" reality: well-serviced gated communities on one side, and poorly-serviced informal settlements on the other. Ecologically, our attempt to impose order through dams and diversions often leads to "metabolic acceleration," where we extract water faster than the hydrosphere can regenerate it. We see the costs of this in the "dead zones" caused by chemical runoff and the loss of wetlands that once buffered us from floods. Who benefits from the current system are often the multinational corporations and state officials who prioritize short-term economic growth. Who bears the cost are the marginalized populations who lose their livelihoods and their security as the system loses its inertia.</w:t>
      </w:r>
    </w:p>
    <w:p>
      <w:r>
        <w:rPr>
          <w:b/>
          <w:sz w:val="28"/>
        </w:rPr>
        <w:t>My Aspirations as a Resource Professional</w:t>
      </w:r>
    </w:p>
    <w:p>
      <w:pPr>
        <w:spacing w:line="360" w:lineRule="auto"/>
        <w:ind w:firstLine="720"/>
      </w:pPr>
      <w:r>
        <w:t xml:space="preserve">I want to be the kind of professional who acts as a bridge between these competing interests. My goal is to become an </w:t>
      </w:r>
      <w:r>
        <w:rPr>
          <w:b/>
        </w:rPr>
        <w:t>Adaptive Policy Connector</w:t>
      </w:r>
      <w:r>
        <w:t>, working within institutions to shift governance from a hierarchical model to a "networked, polycentric" one. I am inspired by the Okavango Delta Management Plan process, which, despite its complexity, attempted to draw together a "crowded environment" of stakeholders to develop a shared vision.</w:t>
      </w:r>
    </w:p>
    <w:p>
      <w:pPr>
        <w:spacing w:line="360" w:lineRule="auto"/>
        <w:ind w:firstLine="720"/>
      </w:pPr>
      <w:r>
        <w:t>In my practice, I won't just "map" stakeholders as a bureaucratic task. I will work to identify the real sites of power and conflict. This means spending time on the ground with communities to understand their site-specific ecological knowledge. I envision working with institutions to implement "triple-loop learning"—not just asking if we are doing the thing efficiently, but asking if we are doing the *right* thing, and how we even decide what "right" means in a world of imperfect knowledge. I want to build a career where "proof of concept" for sustainable alternatives leads to replicable frameworks that respect both Western science and local ways of knowing.</w:t>
      </w:r>
    </w:p>
    <w:p>
      <w:r>
        <w:rPr>
          <w:b/>
          <w:sz w:val="28"/>
        </w:rPr>
        <w:t>Moving Toward Accountability</w:t>
      </w:r>
    </w:p>
    <w:p>
      <w:pPr>
        <w:spacing w:line="360" w:lineRule="auto"/>
        <w:ind w:firstLine="720"/>
      </w:pPr>
      <w:r>
        <w:t xml:space="preserve">To move this vision forward, I need to develop much stronger capacities in </w:t>
      </w:r>
      <w:r>
        <w:rPr>
          <w:b/>
        </w:rPr>
        <w:t>Systems Thinking</w:t>
      </w:r>
      <w:r>
        <w:t xml:space="preserve"> and </w:t>
      </w:r>
      <w:r>
        <w:rPr>
          <w:b/>
        </w:rPr>
        <w:t>Conflict Mediation</w:t>
      </w:r>
      <w:r>
        <w:t>. I want to understand the feedback mechanisms that can either exacerbate or mitigate environmental change. Accountability, for me, means being answerable to the "non-human world" as well as the human one. It means setting transparent benchmarks for success that prioritize ecosystem integrity over simple resource yield.</w:t>
      </w:r>
    </w:p>
    <w:p>
      <w:pPr>
        <w:spacing w:line="360" w:lineRule="auto"/>
        <w:ind w:firstLine="720"/>
      </w:pPr>
      <w:r>
        <w:t>When I am eventually faced with the inevitable trade-offs of resource management, my values will serve as my compass. If a project compromises the biophysical boundaries of a system or further entrench inequalities, my responsibility is to advocate for the safer, more equitable pathway. Accountability isn't just about following the rules of the state; it's about earning the social license from the people and the land itself.</w:t>
      </w:r>
    </w:p>
    <w:p>
      <w:r>
        <w:rPr>
          <w:b/>
          <w:sz w:val="28"/>
        </w:rPr>
        <w:t>Sources</w:t>
      </w:r>
    </w:p>
    <w:p>
      <w:pPr>
        <w:pStyle w:val="ListBullet"/>
        <w:spacing w:line="360" w:lineRule="auto"/>
      </w:pPr>
      <w:r>
        <w:t>Armitage, D. (2007). Governance and the commons in a multi-level world. *International Journal of the Commons*, 1(1), 47-76.</w:t>
      </w:r>
    </w:p>
    <w:p>
      <w:pPr>
        <w:pStyle w:val="ListBullet"/>
        <w:spacing w:line="360" w:lineRule="auto"/>
      </w:pPr>
      <w:r>
        <w:t>Folke, C., et al. (2021). Our future in the Anthropocene biosphere. *Ambio*, 50(4), 834-869.</w:t>
      </w:r>
    </w:p>
    <w:p>
      <w:pPr>
        <w:pStyle w:val="ListBullet"/>
        <w:spacing w:line="360" w:lineRule="auto"/>
      </w:pPr>
      <w:r>
        <w:t>Mitchell, B. (2002). *Resource and Environmental Management*. Oxford University Press.</w:t>
      </w:r>
    </w:p>
    <w:p>
      <w:pPr>
        <w:pStyle w:val="ListBullet"/>
        <w:spacing w:line="360" w:lineRule="auto"/>
      </w:pPr>
      <w:r>
        <w:t>Steffen, W., et al. (2015). Planetary boundaries: Guiding human development on a changing planet. *Science*, 347(6223), 1259855.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