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Introduction to Natural Resource Management for Atlantic Salmon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1. Ecological Significance &amp; Bioindicators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Atlantic salmon (*Salmo salar*) are a keystone "bioindicator" species. Their health is a direct reflection of ecosystem purity, requiring cold, clean water. A decline in salmon populations signals broader environmental degradation (pollution, temperature rise). They are the "canary in the coal mine" for both freshwater rivers and marine environments.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2. Sustainable Resource Management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Effective management requires a holistic "Ridge-to-Reef" approach, protecting the entire life cycle from spawning streams to ocean feeding grounds. Key strategies include: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**Habitat Restoration**: Removing dams and restoring river connectivity.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**Pollution Control**: Minimizing agricultural runoff and industrial effluent.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**Genetic Integrity**: Protecting wild stocks from interbreeding with farm escapees.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3. Sustainable Exports &amp; Quality Control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 a high-value export (over $27B globally), maintaining quality is critical for market dominance.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**Quality Control (QC)**: Involves rigorous monitoring of flesh color (pigmentation), texture, and contaminant levels.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**Sustainability Certifications**: Adherence to **ASC (Aquaculture Stewardship Council)** standards ensures minimal environmental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**Innovations**: Land-based Recirculating Aquaculture Systems (RAS) are emerging to produce export-grade salmon with zero marine impact.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*Generated by Nexus AILCC System for Gens-2101 Coursework.*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