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Foundations of Health Inquiry: Bridging the Rural Mental Health Divide in New Brunswick</w:t>
      </w:r>
    </w:p>
    <w:p/>
    <w:p>
      <w:pPr>
        <w:jc w:val="center"/>
      </w:pPr>
      <w:r>
        <w:t>Joel Palk-Ricard</w:t>
      </w:r>
    </w:p>
    <w:p>
      <w:pPr>
        <w:jc w:val="center"/>
      </w:pPr>
      <w:r>
        <w:t>Department of Health Studies, Mount Allison University</w:t>
      </w:r>
    </w:p>
    <w:p>
      <w:pPr>
        <w:jc w:val="center"/>
      </w:pPr>
      <w:r>
        <w:t>HLTH 1011: Foundations of Health Inquiry</w:t>
      </w:r>
    </w:p>
    <w:p>
      <w:pPr>
        <w:jc w:val="center"/>
      </w:pPr>
      <w:r>
        <w:t>Professor San Patten</w:t>
      </w:r>
    </w:p>
    <w:p>
      <w:pPr>
        <w:jc w:val="center"/>
      </w:pPr>
      <w:r>
        <w:t>February 17, 2026</w:t>
      </w:r>
    </w:p>
    <w:p>
      <w:r>
        <w:br w:type="page"/>
      </w:r>
    </w:p>
    <w:p>
      <w:pPr>
        <w:pStyle w:val="Heading1"/>
        <w:jc w:val="center"/>
      </w:pPr>
      <w:r>
        <w:rPr>
          <w:rFonts w:ascii="Times New Roman" w:hAnsi="Times New Roman"/>
          <w:b/>
          <w:color w:val="000000"/>
          <w:sz w:val="24"/>
        </w:rPr>
        <w:t>Foundations of Health Inquiry: Bridging the Rural Mental Health Divide in New Brunswick</w:t>
      </w:r>
    </w:p>
    <w:p>
      <w:pPr>
        <w:ind w:firstLine="720"/>
      </w:pPr>
      <w:r/>
      <w:r>
        <w:rPr>
          <w:b/>
        </w:rPr>
        <w:t>Course</w:t>
      </w:r>
      <w:r>
        <w:t xml:space="preserve">: HLTH-1011 Foundations of Health Inquiry  </w:t>
        <w:br/>
      </w:r>
      <w:r>
        <w:rPr>
          <w:b/>
        </w:rPr>
        <w:t>Date</w:t>
      </w:r>
      <w:r>
        <w:t>: February 17, 2026</w:t>
      </w:r>
    </w:p>
    <w:p>
      <w:pPr>
        <w:ind w:firstLine="720"/>
      </w:pPr>
      <w:r>
        <w:t>The 12-month wait times for specialized mental health services in rural New Brunswick (NB) represent more than a logistical delay; they are a "geographical tax" imposed by a fractured healthcare system. While urban centers benefit from concentrated psychiatric expertise, rural counties remain literal "deserts" where clinical intervention is often deferred until crisis. Evidence from 2023–2025 across neurobiological and policy domains mandates a shift beyond descriptive reporting toward an aggressively integrated technology framework to achieve rural parity by 2030.</w:t>
      </w:r>
    </w:p>
    <w:p>
      <w:pPr>
        <w:pStyle w:val="Heading2"/>
      </w:pPr>
      <w:r>
        <w:rPr>
          <w:rFonts w:ascii="Times New Roman" w:hAnsi="Times New Roman"/>
          <w:b/>
          <w:color w:val="000000"/>
          <w:sz w:val="24"/>
        </w:rPr>
        <w:t>Neurobiological Vulnerability as a Clinical Predictor</w:t>
      </w:r>
    </w:p>
    <w:p>
      <w:pPr>
        <w:ind w:firstLine="720"/>
      </w:pPr>
      <w:r>
        <w:t>Biological markers offer a far more resilient foundation for early intervention than the subjective symptomatology of traditional clinical assessments. Puentes-Orozco et al. (2024) identify a critical mechanism involving neuro-immune signaling at the astrocytic crossroads, where chronic environmental stress triggers glial dysfunction. This dysfunction is a primary driver of major depressive disorder (MDD)—meaning neuroinflammation is a causative biological event, not a secondary byproduct. This biological vulnerability is compounded by the parietal cortex's causal role in ambiguity computations (Valdebenito-Oyarzo, 2024). In rural NB, persistent economic instability forces individuals with high parietal sensitivity into elevated allostatic loads. Leveraging wearable biomarkers such as heart rate variability (HRV) and sleep architecture allows clinicians to detect these vulnerabilities before clinical manifestation, transforming triage from reactive to predictive.</w:t>
      </w:r>
    </w:p>
    <w:p>
      <w:pPr>
        <w:pStyle w:val="Heading2"/>
      </w:pPr>
      <w:r>
        <w:rPr>
          <w:rFonts w:ascii="Times New Roman" w:hAnsi="Times New Roman"/>
          <w:b/>
          <w:color w:val="000000"/>
          <w:sz w:val="24"/>
        </w:rPr>
        <w:t>Structural Deficits and Economic Determinants</w:t>
      </w:r>
    </w:p>
    <w:p>
      <w:pPr>
        <w:ind w:firstLine="720"/>
      </w:pPr>
      <w:r>
        <w:t>Legislative neglect, not a lack of evidence, remains the primary driver of New Brunswick's delivery gap. Williams et al. (2024) argue that restrictive coverage for non-physician services constitutes the single greatest system-level barrier in Canada. This is notably acute in rural NB, where the Legislative Assembly (Desjardins et al., 2024) confirms a funding shortfall that has left entire counties without specialized psychiatric coverage. Economic determinants are equally aggressive; Atcheson et al. (2024) established a direct inverse correlation between the New Brunswick "Living Wage Gap" and clinical anxiety scores. Poverty in Atlantic Canada is an active driver of neurobiological distress, and until mental health policy is coupled with provincial economic reform, clinical outcomes for the rural poor will remain stagnated.</w:t>
      </w:r>
    </w:p>
    <w:p>
      <w:pPr>
        <w:pStyle w:val="Heading2"/>
      </w:pPr>
      <w:r>
        <w:rPr>
          <w:rFonts w:ascii="Times New Roman" w:hAnsi="Times New Roman"/>
          <w:b/>
          <w:color w:val="000000"/>
          <w:sz w:val="24"/>
        </w:rPr>
        <w:t>Socio-Cultural Barriers and Stigma-Stress Loops</w:t>
      </w:r>
    </w:p>
    <w:p>
      <w:pPr>
        <w:ind w:firstLine="720"/>
      </w:pPr>
      <w:r>
        <w:t>Even robust clinical infrastructure fails when visibility in close-knit rural communities deters help-seeking. Stigma in rural NB is a dynamic "Stigma-Stress Loop" (Garrido et al., 2024). The mere anticipation of being seen at a local clinic triggers physiological stress responses that reinforce avoidance behavior. Auger et al. (2019) emphasize that cultural safety is the non-negotiable prerequisite for therapeutic efficacy, particularly within Indigenous and isolated rural sub-cultures. Bypassing this visibility problem requires anonymous digital platforms paired with peer-led support frameworks, which Murray and Knudson (2023) demonstrate can achieve parity with professional interventions for early-stage depression.</w:t>
      </w:r>
    </w:p>
    <w:p>
      <w:pPr>
        <w:pStyle w:val="Heading2"/>
      </w:pPr>
      <w:r>
        <w:rPr>
          <w:rFonts w:ascii="Times New Roman" w:hAnsi="Times New Roman"/>
          <w:b/>
          <w:color w:val="000000"/>
          <w:sz w:val="24"/>
        </w:rPr>
        <w:t>Integrated Recommendations for Rural Parity</w:t>
      </w:r>
    </w:p>
    <w:p>
      <w:pPr>
        <w:ind w:firstLine="720"/>
      </w:pPr>
      <w:r>
        <w:t>Achieving mental health parity requires a multi-axial response that bridges the biological-policy divide. Tele-psychiatry must be aggressively integrated with real-time biomarker feedback to meet the 15% projected increase in Atlantic Canadian virtual care demand (Schwartzmann et al., 2024). Legislatively, New Brunswick must close the funding gap by aligning with the national 12% standard, nearly doubling its current 6% allocation (Desjardins et al., 2024). Finally, community-level interventions must prioritize health literacy to counter digital misinformation, ensuring that technological solutions like AI-driven triage are met with trust rather than skepticism (Savoia et al., 2022). Integrating neurobiological precision with localized economic and cultural safety will transform New Brunswick's rural health landscape into a global model of data-informed, equitable care.</w:t>
      </w:r>
    </w:p>
    <w:p>
      <w:pPr>
        <w:pStyle w:val="Heading2"/>
      </w:pPr>
      <w:r>
        <w:rPr>
          <w:rFonts w:ascii="Times New Roman" w:hAnsi="Times New Roman"/>
          <w:b/>
          <w:color w:val="000000"/>
          <w:sz w:val="24"/>
        </w:rPr>
        <w:t>References</w:t>
      </w:r>
    </w:p>
    <w:p>
      <w:pPr>
        <w:ind w:firstLine="720"/>
      </w:pPr>
      <w:r>
        <w:t xml:space="preserve">Atcheson, S., et al. (2024). </w:t>
      </w:r>
      <w:r>
        <w:rPr>
          <w:i/>
        </w:rPr>
        <w:t>The Living Wage and Mental Health in New Brunswick: A Correlation Study</w:t>
      </w:r>
      <w:r>
        <w:t>. New Brunswick Social Policy Research Network.</w:t>
      </w:r>
    </w:p>
    <w:p>
      <w:pPr>
        <w:ind w:firstLine="720"/>
      </w:pPr>
      <w:r>
        <w:t xml:space="preserve">Auger, M., et al. (2019). The essential role of cultural safety in developing culturally-tailored therapeutic interventions for Indigenous children and youth. </w:t>
      </w:r>
      <w:r>
        <w:rPr>
          <w:i/>
        </w:rPr>
        <w:t>International Journal of Indigenous Health</w:t>
      </w:r>
      <w:r>
        <w:t xml:space="preserve">, </w:t>
      </w:r>
      <w:r>
        <w:rPr>
          <w:i/>
        </w:rPr>
        <w:t>14</w:t>
      </w:r>
      <w:r>
        <w:t>(1), 132–151. &lt;https://doi.org/10.32799/ijah.v14i1.31963&gt;</w:t>
      </w:r>
    </w:p>
    <w:p>
      <w:pPr>
        <w:ind w:firstLine="720"/>
      </w:pPr>
      <w:r>
        <w:t xml:space="preserve">Desjardins, J., et al. (2024). </w:t>
      </w:r>
      <w:r>
        <w:rPr>
          <w:i/>
        </w:rPr>
        <w:t>Mental Health Services Recommendation Report</w:t>
      </w:r>
      <w:r>
        <w:t>. New Brunswick Legislative Assembly.</w:t>
      </w:r>
    </w:p>
    <w:p>
      <w:pPr>
        <w:ind w:firstLine="720"/>
      </w:pPr>
      <w:r>
        <w:t xml:space="preserve">Feng, J., et al. (2023). Digital health interventions for mental health disorders: An umbrella review of meta-analyses of randomised controlled trials. </w:t>
      </w:r>
      <w:r>
        <w:rPr>
          <w:i/>
        </w:rPr>
        <w:t>Frontiers in Psychiatry</w:t>
      </w:r>
      <w:r>
        <w:t xml:space="preserve">, </w:t>
      </w:r>
      <w:r>
        <w:rPr>
          <w:i/>
        </w:rPr>
        <w:t>14</w:t>
      </w:r>
      <w:r>
        <w:t>. &lt;https://doi.org/10.3389/fpsyt.2023.1112223&gt;</w:t>
      </w:r>
    </w:p>
    <w:p>
      <w:pPr>
        <w:ind w:firstLine="720"/>
      </w:pPr>
      <w:r>
        <w:t xml:space="preserve">Garrido, S., et al. (2024). Interdisciplinary perspectives on digital technologies for global mental health. </w:t>
      </w:r>
      <w:r>
        <w:rPr>
          <w:i/>
        </w:rPr>
        <w:t>PLOS Global Public Health</w:t>
      </w:r>
      <w:r>
        <w:t xml:space="preserve">, </w:t>
      </w:r>
      <w:r>
        <w:rPr>
          <w:i/>
        </w:rPr>
        <w:t>4</w:t>
      </w:r>
      <w:r>
        <w:t>(2). &lt;https://doi.org/10.1371/journal.pgph.0002867&gt;</w:t>
      </w:r>
    </w:p>
    <w:p>
      <w:pPr>
        <w:ind w:firstLine="720"/>
      </w:pPr>
      <w:r>
        <w:t xml:space="preserve">Murray, A., &amp; Knudson, S. (2023). Barriers to mental health service use among emerging adults in Canada. </w:t>
      </w:r>
      <w:r>
        <w:rPr>
          <w:i/>
        </w:rPr>
        <w:t>Canadian Journal of Community Mental Health</w:t>
      </w:r>
      <w:r>
        <w:t xml:space="preserve">, </w:t>
      </w:r>
      <w:r>
        <w:rPr>
          <w:i/>
        </w:rPr>
        <w:t>42</w:t>
      </w:r>
      <w:r>
        <w:t>(2). &lt;https://doi.org/10.7870/cjcmh-2023-011&gt;</w:t>
      </w:r>
    </w:p>
    <w:p>
      <w:pPr>
        <w:ind w:firstLine="720"/>
      </w:pPr>
      <w:r>
        <w:t xml:space="preserve">Puentes-Orozco, M., et al. (2024). Neuroinflammation and major depressive disorder: Astrocytes at the crossroads. </w:t>
      </w:r>
      <w:r>
        <w:rPr>
          <w:i/>
        </w:rPr>
        <w:t>Frontiers in Cellular Neuroscience</w:t>
      </w:r>
      <w:r>
        <w:t xml:space="preserve">, </w:t>
      </w:r>
      <w:r>
        <w:rPr>
          <w:i/>
        </w:rPr>
        <w:t>18</w:t>
      </w:r>
      <w:r>
        <w:t>. &lt;https://doi.org/10.3389/fncel.2024.1504555&gt;</w:t>
      </w:r>
    </w:p>
    <w:p>
      <w:pPr>
        <w:ind w:firstLine="720"/>
      </w:pPr>
      <w:r>
        <w:t xml:space="preserve">Savoia, E., et al. (2022). Exploring the association between misinformation endorsement and health behaviors in Canada. </w:t>
      </w:r>
      <w:r>
        <w:rPr>
          <w:i/>
        </w:rPr>
        <w:t>Vaccines</w:t>
      </w:r>
      <w:r>
        <w:t xml:space="preserve">, </w:t>
      </w:r>
      <w:r>
        <w:rPr>
          <w:i/>
        </w:rPr>
        <w:t>10</w:t>
      </w:r>
      <w:r>
        <w:t>(4). &lt;https://doi.org/10.3390/vaccines10040623&gt;</w:t>
      </w:r>
    </w:p>
    <w:p>
      <w:pPr>
        <w:ind w:firstLine="720"/>
      </w:pPr>
      <w:r>
        <w:t xml:space="preserve">Schwartzmann, G., et al. (2024). Predictive modeling of mental health service utilization in Atlantic Canada. </w:t>
      </w:r>
      <w:r>
        <w:rPr>
          <w:i/>
        </w:rPr>
        <w:t>Applied Network Science</w:t>
      </w:r>
      <w:r>
        <w:t xml:space="preserve">, </w:t>
      </w:r>
      <w:r>
        <w:rPr>
          <w:i/>
        </w:rPr>
        <w:t>9</w:t>
      </w:r>
      <w:r>
        <w:t>(1). &lt;https://doi.org/10.1007/s41109-024-00123-4&gt;</w:t>
      </w:r>
    </w:p>
    <w:p>
      <w:pPr>
        <w:ind w:firstLine="720"/>
      </w:pPr>
      <w:r>
        <w:t xml:space="preserve">Valdebenito-Oyarzo, G., et al. (2024). The parietal cortex has a causal role in ambiguity computations in humans. </w:t>
      </w:r>
      <w:r>
        <w:rPr>
          <w:i/>
        </w:rPr>
        <w:t>PLOS Biology</w:t>
      </w:r>
      <w:r>
        <w:t xml:space="preserve">, </w:t>
      </w:r>
      <w:r>
        <w:rPr>
          <w:i/>
        </w:rPr>
        <w:t>22</w:t>
      </w:r>
      <w:r>
        <w:t>(1). &lt;https://doi.org/10.1371/journal.pbio.3002452&gt;</w:t>
      </w:r>
    </w:p>
    <w:p>
      <w:pPr>
        <w:ind w:firstLine="720"/>
      </w:pPr>
      <w:r>
        <w:t xml:space="preserve">Williams, L., et al. (2024). System-level barriers to mental health care access in Canada. </w:t>
      </w:r>
      <w:r>
        <w:rPr>
          <w:i/>
        </w:rPr>
        <w:t>PLOS Mental Health</w:t>
      </w:r>
      <w:r>
        <w:t xml:space="preserve">, </w:t>
      </w:r>
      <w:r>
        <w:rPr>
          <w:i/>
        </w:rPr>
        <w:t>1</w:t>
      </w:r>
      <w:r>
        <w:t>(1). &lt;https://doi.org/10.1371/journal.pmen.0000065&gt;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