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220" w:before="0" w:line="335.99999999999994" w:lineRule="auto"/>
        <w:contextualSpacing w:val="0"/>
        <w:rPr>
          <w:rFonts w:ascii="Microsoft Yahei" w:cs="Microsoft Yahei" w:eastAsia="Microsoft Yahei" w:hAnsi="Microsoft Yahei"/>
          <w:b w:val="1"/>
          <w:sz w:val="36"/>
          <w:szCs w:val="36"/>
          <w:highlight w:val="white"/>
        </w:rPr>
      </w:pPr>
      <w:bookmarkStart w:colFirst="0" w:colLast="0" w:name="_zd43wchqkw9f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sz w:val="36"/>
          <w:szCs w:val="36"/>
          <w:highlight w:val="white"/>
          <w:rtl w:val="0"/>
        </w:rPr>
        <w:t xml:space="preserve">【澳洲私人保险（一）】人寿保险 </w:t>
      </w:r>
    </w:p>
    <w:p w:rsidR="00000000" w:rsidDel="00000000" w:rsidP="00000000" w:rsidRDefault="00000000" w:rsidRPr="00000000">
      <w:pPr>
        <w:pBdr/>
        <w:spacing w:after="440" w:line="327.27272727272725" w:lineRule="auto"/>
        <w:ind w:right="120"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2017-03-31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信远资本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  <w:rtl w:val="0"/>
        </w:rPr>
        <w:t xml:space="preserve">信远资本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990600"/>
            <wp:effectExtent b="0" l="0" r="0" t="0"/>
            <wp:docPr id="3" name="image17.gif"/>
            <a:graphic>
              <a:graphicData uri="http://schemas.openxmlformats.org/drawingml/2006/picture">
                <pic:pic>
                  <pic:nvPicPr>
                    <pic:cNvPr id="0" name="image17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342900"/>
            <wp:effectExtent b="0" l="0" r="0" t="0"/>
            <wp:docPr id="23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i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i w:val="1"/>
          <w:color w:val="3e3e3e"/>
          <w:sz w:val="27"/>
          <w:szCs w:val="27"/>
          <w:highlight w:val="white"/>
          <w:rtl w:val="0"/>
        </w:rPr>
        <w:t xml:space="preserve">     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3e3e3e"/>
          <w:sz w:val="23"/>
          <w:szCs w:val="23"/>
          <w:highlight w:val="white"/>
          <w:rtl w:val="0"/>
        </w:rPr>
        <w:t xml:space="preserve">日常生活中总会有点意料不到的事，大家总要有对应的避险措施~今天咱们就来探讨一下其中最为普及的方式——个人保险。澳洲的个人保险分四种：人寿保险、重大疾病险、终身残障险、收入保险。首先咱们从人寿保险开始讲起！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i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i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i w:val="1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635000" cy="635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i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i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20" w:lineRule="auto"/>
        <w:contextualSpacing w:val="0"/>
        <w:jc w:val="center"/>
        <w:rPr>
          <w:rFonts w:ascii="Microsoft Yahei" w:cs="Microsoft Yahei" w:eastAsia="Microsoft Yahei" w:hAnsi="Microsoft Yahei"/>
          <w:i w:val="1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2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20" w:lineRule="auto"/>
        <w:contextualSpacing w:val="0"/>
        <w:jc w:val="center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  <w:rtl w:val="0"/>
        </w:rPr>
        <w:t xml:space="preserve">人寿保险的目的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       人寿保险的目的，是在你身故后为你的家人或受供养人提供财务报账。寿险可提供一次性或定期赔偿。倘若你是家中的经济支柱，你应该考虑购买人寿保险的需要。若你身故后还有债务（例如按揭贷款）必须偿还，则人寿保险也是一个不可或缺的安排。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0" w:before="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bookmarkStart w:colFirst="0" w:colLast="0" w:name="_hu9akofj5rc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20" w:lineRule="auto"/>
        <w:contextualSpacing w:val="0"/>
        <w:jc w:val="center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20" w:lineRule="auto"/>
        <w:contextualSpacing w:val="0"/>
        <w:jc w:val="center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  <w:rtl w:val="0"/>
        </w:rPr>
        <w:t xml:space="preserve">保费的分类和计算</w:t>
      </w:r>
    </w:p>
    <w:p w:rsidR="00000000" w:rsidDel="00000000" w:rsidP="00000000" w:rsidRDefault="00000000" w:rsidRPr="00000000">
      <w:pPr>
        <w:pBdr/>
        <w:spacing w:after="460" w:before="0" w:beforeAutospacing="1" w:line="480" w:lineRule="auto"/>
        <w:contextualSpacing w:val="0"/>
        <w:jc w:val="both"/>
        <w:rPr>
          <w:rFonts w:ascii="Microsoft Yahei" w:cs="Microsoft Yahei" w:eastAsia="Microsoft Yahei" w:hAnsi="Microsoft Yahei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ffffff"/>
          <w:sz w:val="27"/>
          <w:szCs w:val="27"/>
          <w:shd w:fill="8ba2d0" w:val="clear"/>
          <w:rtl w:val="0"/>
        </w:rPr>
        <w:t xml:space="preserve">保费分类</w:t>
      </w:r>
      <w:r w:rsidDel="00000000" w:rsidR="00000000" w:rsidRPr="00000000">
        <w:rPr>
          <w:rFonts w:ascii="Microsoft Yahei" w:cs="Microsoft Yahei" w:eastAsia="Microsoft Yahei" w:hAnsi="Microsoft Yahei"/>
          <w:color w:val="8ba2d0"/>
          <w:sz w:val="27"/>
          <w:szCs w:val="27"/>
          <w:highlight w:val="white"/>
          <w:rtl w:val="0"/>
        </w:rPr>
        <w:t xml:space="preserve">☑</w:t>
      </w:r>
      <w:r w:rsidDel="00000000" w:rsidR="00000000" w:rsidRPr="00000000">
        <w:rPr>
          <w:rFonts w:ascii="Microsoft Yahei" w:cs="Microsoft Yahei" w:eastAsia="Microsoft Yahei" w:hAnsi="Microsoft Yahei"/>
          <w:color w:val="8ec96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010101"/>
          <w:sz w:val="23"/>
          <w:szCs w:val="23"/>
          <w:highlight w:val="white"/>
          <w:rtl w:val="0"/>
        </w:rPr>
        <w:t xml:space="preserve">阶梯保费：根据年龄，保费会在每年的续保日进行调整。总体而言，保费与年龄呈正相关。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8ba2d0"/>
          <w:sz w:val="27"/>
          <w:szCs w:val="27"/>
          <w:highlight w:val="white"/>
          <w:rtl w:val="0"/>
        </w:rPr>
        <w:t xml:space="preserve">☑</w:t>
      </w:r>
      <w:r w:rsidDel="00000000" w:rsidR="00000000" w:rsidRPr="00000000">
        <w:rPr>
          <w:rFonts w:ascii="Microsoft Yahei" w:cs="Microsoft Yahei" w:eastAsia="Microsoft Yahei" w:hAnsi="Microsoft Yahei"/>
          <w:color w:val="8ec96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010101"/>
          <w:sz w:val="23"/>
          <w:szCs w:val="23"/>
          <w:highlight w:val="white"/>
          <w:rtl w:val="0"/>
        </w:rPr>
        <w:t xml:space="preserve">均衡保费：保费在每一财年是恒定的，但是在70岁之后或者投保人可自行设置年龄，人寿保险、伤残保险及重大疾病险会自动更新为阶梯保费。</w:t>
      </w:r>
      <w:r w:rsidDel="00000000" w:rsidR="00000000" w:rsidRPr="00000000">
        <w:rPr>
          <w:rFonts w:ascii="Microsoft Yahei" w:cs="Microsoft Yahei" w:eastAsia="Microsoft Yahei" w:hAnsi="Microsoft Yahei"/>
          <w:color w:val="8ba2d0"/>
          <w:sz w:val="27"/>
          <w:szCs w:val="27"/>
          <w:highlight w:val="white"/>
          <w:rtl w:val="0"/>
        </w:rPr>
        <w:t xml:space="preserve">☑ </w:t>
      </w:r>
      <w:r w:rsidDel="00000000" w:rsidR="00000000" w:rsidRPr="00000000">
        <w:rPr>
          <w:rFonts w:ascii="Microsoft Yahei" w:cs="Microsoft Yahei" w:eastAsia="Microsoft Yahei" w:hAnsi="Microsoft Yahei"/>
          <w:color w:val="010101"/>
          <w:sz w:val="23"/>
          <w:szCs w:val="23"/>
          <w:highlight w:val="white"/>
          <w:rtl w:val="0"/>
        </w:rPr>
        <w:t xml:space="preserve">混合型保费：只针对人寿、伤残和重大疾病险。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0" w:beforeAutospacing="1" w:lineRule="auto"/>
        <w:contextualSpacing w:val="0"/>
        <w:jc w:val="center"/>
        <w:rPr>
          <w:rFonts w:ascii="Microsoft Yahei" w:cs="Microsoft Yahei" w:eastAsia="Microsoft Yahei" w:hAnsi="Microsoft Yahei"/>
          <w:color w:val="ffffff"/>
          <w:sz w:val="24"/>
          <w:szCs w:val="24"/>
          <w:shd w:fill="8ba2d0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ffffff"/>
          <w:sz w:val="24"/>
          <w:szCs w:val="24"/>
          <w:shd w:fill="8ba2d0" w:val="clear"/>
          <w:rtl w:val="0"/>
        </w:rPr>
        <w:t xml:space="preserve">保费计算</w:t>
      </w:r>
    </w:p>
    <w:p w:rsidR="00000000" w:rsidDel="00000000" w:rsidP="00000000" w:rsidRDefault="00000000" w:rsidRPr="00000000">
      <w:pPr>
        <w:pBdr/>
        <w:spacing w:after="160" w:before="0" w:beforeAutospacing="1" w:lineRule="auto"/>
        <w:contextualSpacing w:val="0"/>
        <w:jc w:val="center"/>
        <w:rPr>
          <w:rFonts w:ascii="Microsoft Yahei" w:cs="Microsoft Yahei" w:eastAsia="Microsoft Yahei" w:hAnsi="Microsoft Yahei"/>
          <w:color w:val="ffffff"/>
          <w:sz w:val="24"/>
          <w:szCs w:val="24"/>
          <w:shd w:fill="8ba2d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20" w:before="0" w:beforeAutospacing="1" w:lineRule="auto"/>
        <w:contextualSpacing w:val="0"/>
        <w:jc w:val="both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保险公司会参考多项因素来计算人寿保险的保费，例如：</w:t>
      </w:r>
    </w:p>
    <w:p w:rsidR="00000000" w:rsidDel="00000000" w:rsidP="00000000" w:rsidRDefault="00000000" w:rsidRPr="00000000">
      <w:pPr>
        <w:pBdr/>
        <w:spacing w:after="460" w:before="0" w:beforeAutospacing="1" w:line="480" w:lineRule="auto"/>
        <w:contextualSpacing w:val="0"/>
        <w:jc w:val="both"/>
        <w:rPr>
          <w:rFonts w:ascii="Microsoft Yahei" w:cs="Microsoft Yahei" w:eastAsia="Microsoft Yahei" w:hAnsi="Microsoft Yahei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8ba2d0"/>
          <w:sz w:val="27"/>
          <w:szCs w:val="27"/>
          <w:highlight w:val="white"/>
          <w:rtl w:val="0"/>
        </w:rPr>
        <w:t xml:space="preserve">☑</w:t>
      </w:r>
      <w:r w:rsidDel="00000000" w:rsidR="00000000" w:rsidRPr="00000000">
        <w:rPr>
          <w:rFonts w:ascii="Microsoft Yahei" w:cs="Microsoft Yahei" w:eastAsia="Microsoft Yahei" w:hAnsi="Microsoft Yahei"/>
          <w:color w:val="8ec96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010101"/>
          <w:sz w:val="23"/>
          <w:szCs w:val="23"/>
          <w:highlight w:val="white"/>
          <w:rtl w:val="0"/>
        </w:rPr>
        <w:t xml:space="preserve">你的个人背景（例如年龄、健康状况等）</w:t>
      </w:r>
    </w:p>
    <w:p w:rsidR="00000000" w:rsidDel="00000000" w:rsidP="00000000" w:rsidRDefault="00000000" w:rsidRPr="00000000">
      <w:pPr>
        <w:pBdr/>
        <w:spacing w:after="460" w:before="0" w:beforeAutospacing="1" w:line="480" w:lineRule="auto"/>
        <w:contextualSpacing w:val="0"/>
        <w:jc w:val="both"/>
        <w:rPr>
          <w:rFonts w:ascii="Microsoft Yahei" w:cs="Microsoft Yahei" w:eastAsia="Microsoft Yahei" w:hAnsi="Microsoft Yahei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8ba2d0"/>
          <w:sz w:val="27"/>
          <w:szCs w:val="27"/>
          <w:highlight w:val="white"/>
          <w:rtl w:val="0"/>
        </w:rPr>
        <w:t xml:space="preserve">☑</w:t>
      </w:r>
      <w:r w:rsidDel="00000000" w:rsidR="00000000" w:rsidRPr="00000000">
        <w:rPr>
          <w:rFonts w:ascii="Microsoft Yahei" w:cs="Microsoft Yahei" w:eastAsia="Microsoft Yahei" w:hAnsi="Microsoft Yahei"/>
          <w:color w:val="8ec96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010101"/>
          <w:sz w:val="23"/>
          <w:szCs w:val="23"/>
          <w:highlight w:val="white"/>
          <w:rtl w:val="0"/>
        </w:rPr>
        <w:t xml:space="preserve">你的习惯（例如吸烟等）</w:t>
      </w:r>
    </w:p>
    <w:p w:rsidR="00000000" w:rsidDel="00000000" w:rsidP="00000000" w:rsidRDefault="00000000" w:rsidRPr="00000000">
      <w:pPr>
        <w:pBdr/>
        <w:spacing w:after="460" w:before="0" w:beforeAutospacing="1" w:line="480" w:lineRule="auto"/>
        <w:contextualSpacing w:val="0"/>
        <w:jc w:val="both"/>
        <w:rPr>
          <w:rFonts w:ascii="Microsoft Yahei" w:cs="Microsoft Yahei" w:eastAsia="Microsoft Yahei" w:hAnsi="Microsoft Yahei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8ba2d0"/>
          <w:sz w:val="27"/>
          <w:szCs w:val="27"/>
          <w:highlight w:val="white"/>
          <w:rtl w:val="0"/>
        </w:rPr>
        <w:t xml:space="preserve">☑ </w:t>
      </w:r>
      <w:r w:rsidDel="00000000" w:rsidR="00000000" w:rsidRPr="00000000">
        <w:rPr>
          <w:rFonts w:ascii="Microsoft Yahei" w:cs="Microsoft Yahei" w:eastAsia="Microsoft Yahei" w:hAnsi="Microsoft Yahei"/>
          <w:color w:val="010101"/>
          <w:sz w:val="23"/>
          <w:szCs w:val="23"/>
          <w:highlight w:val="white"/>
          <w:rtl w:val="0"/>
        </w:rPr>
        <w:t xml:space="preserve">你选择的保单种类</w:t>
      </w:r>
    </w:p>
    <w:p w:rsidR="00000000" w:rsidDel="00000000" w:rsidP="00000000" w:rsidRDefault="00000000" w:rsidRPr="00000000">
      <w:pPr>
        <w:pBdr/>
        <w:spacing w:after="460" w:before="0" w:beforeAutospacing="1" w:line="480" w:lineRule="auto"/>
        <w:contextualSpacing w:val="0"/>
        <w:jc w:val="both"/>
        <w:rPr>
          <w:rFonts w:ascii="Microsoft Yahei" w:cs="Microsoft Yahei" w:eastAsia="Microsoft Yahei" w:hAnsi="Microsoft Yahei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8ba2d0"/>
          <w:sz w:val="27"/>
          <w:szCs w:val="27"/>
          <w:highlight w:val="white"/>
          <w:rtl w:val="0"/>
        </w:rPr>
        <w:t xml:space="preserve">☑ </w:t>
      </w:r>
      <w:r w:rsidDel="00000000" w:rsidR="00000000" w:rsidRPr="00000000">
        <w:rPr>
          <w:rFonts w:ascii="Microsoft Yahei" w:cs="Microsoft Yahei" w:eastAsia="Microsoft Yahei" w:hAnsi="Microsoft Yahei"/>
          <w:sz w:val="23"/>
          <w:szCs w:val="23"/>
          <w:highlight w:val="white"/>
          <w:rtl w:val="0"/>
        </w:rPr>
        <w:t xml:space="preserve">你希望获得的保额</w:t>
      </w:r>
    </w:p>
    <w:p w:rsidR="00000000" w:rsidDel="00000000" w:rsidP="00000000" w:rsidRDefault="00000000" w:rsidRPr="00000000">
      <w:pPr>
        <w:pBdr/>
        <w:spacing w:after="460" w:before="0" w:beforeAutospacing="1" w:line="480" w:lineRule="auto"/>
        <w:contextualSpacing w:val="0"/>
        <w:jc w:val="both"/>
        <w:rPr>
          <w:rFonts w:ascii="Microsoft Yahei" w:cs="Microsoft Yahei" w:eastAsia="Microsoft Yahei" w:hAnsi="Microsoft Yahei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60" w:before="0" w:beforeAutospacing="1" w:line="480" w:lineRule="auto"/>
        <w:contextualSpacing w:val="0"/>
        <w:jc w:val="both"/>
        <w:rPr>
          <w:rFonts w:ascii="Microsoft Yahei" w:cs="Microsoft Yahei" w:eastAsia="Microsoft Yahei" w:hAnsi="Microsoft Yahei"/>
          <w:i w:val="1"/>
          <w:color w:val="010101"/>
          <w:sz w:val="21"/>
          <w:szCs w:val="21"/>
          <w:shd w:fill="f8f8f8" w:val="clear"/>
        </w:rPr>
      </w:pPr>
      <w:r w:rsidDel="00000000" w:rsidR="00000000" w:rsidRPr="00000000">
        <w:rPr>
          <w:rFonts w:ascii="Microsoft Yahei" w:cs="Microsoft Yahei" w:eastAsia="Microsoft Yahei" w:hAnsi="Microsoft Yahei"/>
          <w:i w:val="1"/>
          <w:color w:val="010101"/>
          <w:sz w:val="21"/>
          <w:szCs w:val="21"/>
          <w:shd w:fill="f8f8f8" w:val="clear"/>
          <w:rtl w:val="0"/>
        </w:rPr>
        <w:t xml:space="preserve">举个例子：如果投保人保额为$100,000,女性年龄在25岁上下，且不吸烟，那每周的保费约等于一杯咖啡$5/week。</w:t>
      </w:r>
    </w:p>
    <w:p w:rsidR="00000000" w:rsidDel="00000000" w:rsidP="00000000" w:rsidRDefault="00000000" w:rsidRPr="00000000">
      <w:pPr>
        <w:pBdr/>
        <w:spacing w:after="460" w:before="0" w:beforeAutospacing="1" w:line="480" w:lineRule="auto"/>
        <w:contextualSpacing w:val="0"/>
        <w:jc w:val="right"/>
        <w:rPr>
          <w:rFonts w:ascii="Microsoft Yahei" w:cs="Microsoft Yahei" w:eastAsia="Microsoft Yahei" w:hAnsi="Microsoft Yahei"/>
          <w:i w:val="1"/>
          <w:color w:val="010101"/>
          <w:sz w:val="21"/>
          <w:szCs w:val="21"/>
          <w:shd w:fill="f8f8f8" w:val="clear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60" w:before="0" w:beforeAutospacing="1" w:line="480" w:lineRule="auto"/>
        <w:contextualSpacing w:val="0"/>
        <w:jc w:val="both"/>
        <w:rPr>
          <w:rFonts w:ascii="Microsoft Yahei" w:cs="Microsoft Yahei" w:eastAsia="Microsoft Yahei" w:hAnsi="Microsoft Yahei"/>
          <w:i w:val="1"/>
          <w:color w:val="010101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i w:val="1"/>
          <w:color w:val="010101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i w:val="1"/>
          <w:color w:val="010101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20" w:lineRule="auto"/>
        <w:contextualSpacing w:val="0"/>
        <w:jc w:val="center"/>
        <w:rPr>
          <w:rFonts w:ascii="Microsoft Yahei" w:cs="Microsoft Yahei" w:eastAsia="Microsoft Yahei" w:hAnsi="Microsoft Yahei"/>
          <w:i w:val="1"/>
          <w:color w:val="010101"/>
          <w:sz w:val="21"/>
          <w:szCs w:val="21"/>
          <w:shd w:fill="f8f8f8" w:val="clear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25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20" w:lineRule="auto"/>
        <w:contextualSpacing w:val="0"/>
        <w:jc w:val="center"/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4"/>
          <w:szCs w:val="24"/>
          <w:highlight w:val="white"/>
          <w:rtl w:val="0"/>
        </w:rPr>
        <w:t xml:space="preserve">购买方式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        支付方式：在澳洲，你可用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u w:val="single"/>
          <w:rtl w:val="0"/>
        </w:rPr>
        <w:t xml:space="preserve">个人收入直接购买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，也可以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u w:val="single"/>
          <w:rtl w:val="0"/>
        </w:rPr>
        <w:t xml:space="preserve">从养老金中购买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，如果用个人收入直接购买重大疾病险和伤残险，保险赔偿金将会直接支付到你的个人账户；如果用养老金购买，赔偿金则会支付到你的养老金账户。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0" w:beforeAutospacing="1" w:lineRule="auto"/>
        <w:ind w:left="160" w:right="180" w:firstLine="0"/>
        <w:contextualSpacing w:val="0"/>
        <w:rPr>
          <w:rFonts w:ascii="Microsoft Yahei" w:cs="Microsoft Yahei" w:eastAsia="Microsoft Yahei" w:hAnsi="Microsoft Yahei"/>
          <w:b w:val="1"/>
          <w:color w:val="8ba2d0"/>
          <w:sz w:val="24"/>
          <w:szCs w:val="24"/>
          <w:shd w:fill="fefefe" w:val="clear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8ba2d0"/>
          <w:sz w:val="24"/>
          <w:szCs w:val="24"/>
          <w:shd w:fill="fefefe" w:val="clear"/>
          <w:rtl w:val="0"/>
        </w:rPr>
        <w:t xml:space="preserve">税务政策</w:t>
      </w:r>
    </w:p>
    <w:p w:rsidR="00000000" w:rsidDel="00000000" w:rsidP="00000000" w:rsidRDefault="00000000" w:rsidRPr="00000000">
      <w:pPr>
        <w:pBdr/>
        <w:spacing w:after="20" w:before="0" w:beforeAutospacing="1" w:lineRule="auto"/>
        <w:ind w:left="160" w:right="180" w:firstLine="0"/>
        <w:contextualSpacing w:val="0"/>
        <w:rPr>
          <w:rFonts w:ascii="Microsoft Yahei" w:cs="Microsoft Yahei" w:eastAsia="Microsoft Yahei" w:hAnsi="Microsoft Yahei"/>
          <w:b w:val="1"/>
          <w:color w:val="8ba2d0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0" w:beforeAutospacing="1" w:lineRule="auto"/>
        <w:ind w:left="160" w:right="180" w:firstLine="0"/>
        <w:contextualSpacing w:val="0"/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  <w:rtl w:val="0"/>
        </w:rPr>
        <w:t xml:space="preserve">若从养老金账户中购买人寿保险，则可享受抵税政策；</w:t>
      </w:r>
    </w:p>
    <w:p w:rsidR="00000000" w:rsidDel="00000000" w:rsidP="00000000" w:rsidRDefault="00000000" w:rsidRPr="00000000">
      <w:pPr>
        <w:pBdr/>
        <w:spacing w:after="20" w:before="0" w:beforeAutospacing="1" w:lineRule="auto"/>
        <w:ind w:left="160" w:right="180" w:firstLine="0"/>
        <w:contextualSpacing w:val="0"/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  <w:rtl w:val="0"/>
        </w:rPr>
        <w:t xml:space="preserve">若一次性支付于受益人，一般情况下，赔偿金无需缴税。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0" w:before="0" w:lineRule="auto"/>
        <w:contextualSpacing w:val="0"/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</w:rPr>
      </w:pPr>
      <w:bookmarkStart w:colFirst="0" w:colLast="0" w:name="_pjdlsgwrx6j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0" w:before="0" w:lineRule="auto"/>
        <w:contextualSpacing w:val="0"/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</w:rPr>
      </w:pPr>
      <w:bookmarkStart w:colFirst="0" w:colLast="0" w:name="_16a76a94k5o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0" w:before="0" w:lineRule="auto"/>
        <w:contextualSpacing w:val="0"/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</w:rPr>
      </w:pPr>
      <w:bookmarkStart w:colFirst="0" w:colLast="0" w:name="_57eyo0zi9tjs" w:id="4"/>
      <w:bookmarkEnd w:id="4"/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  <w:rtl w:val="0"/>
        </w:rPr>
        <w:t xml:space="preserve">细阅保单细则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在购买保险之前，你必须细阅保单细则，以确切掌握保单的内容。你须知道保险的承包及不保项目。如果你有不明白的地方，应咨询你的保险公司或理财顾问。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20" w:lineRule="auto"/>
        <w:contextualSpacing w:val="0"/>
        <w:jc w:val="center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22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20" w:lineRule="auto"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除外责任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0" w:before="0" w:lineRule="auto"/>
        <w:contextualSpacing w:val="0"/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</w:rPr>
      </w:pPr>
      <w:bookmarkStart w:colFirst="0" w:colLast="0" w:name="_pvsdpd9glpxb" w:id="5"/>
      <w:bookmarkEnd w:id="5"/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  <w:rtl w:val="0"/>
        </w:rPr>
        <w:t xml:space="preserve">      受保意外一般包括交通意外、被杀、高空坠物、重型设备意外、遇溺等等。与所有类别的保险一样，意外保险亦有一些不保项目，你应在购买保单前仔细检查各种受保和不受保的意外。以下为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  <w:u w:val="single"/>
          <w:rtl w:val="0"/>
        </w:rPr>
        <w:t xml:space="preserve">部分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  <w:rtl w:val="0"/>
        </w:rPr>
        <w:t xml:space="preserve">不受保的项目：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" w:before="80" w:line="48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1"/>
          <w:szCs w:val="21"/>
          <w:highlight w:val="white"/>
          <w:rtl w:val="0"/>
        </w:rPr>
        <w:t xml:space="preserve">自然原因（即百年归老）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" w:before="80" w:line="48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1"/>
          <w:szCs w:val="21"/>
          <w:highlight w:val="white"/>
          <w:rtl w:val="0"/>
        </w:rPr>
        <w:t xml:space="preserve">战事造成的损伤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" w:before="80" w:line="48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受任何非处方药物或酒精影响而引致死亡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" w:before="80" w:line="48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1"/>
          <w:szCs w:val="21"/>
          <w:highlight w:val="white"/>
          <w:rtl w:val="0"/>
        </w:rPr>
        <w:t xml:space="preserve">使用过量有毒或有害物质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" w:before="80" w:line="48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1"/>
          <w:szCs w:val="21"/>
          <w:highlight w:val="white"/>
          <w:rtl w:val="0"/>
        </w:rPr>
        <w:t xml:space="preserve">参与危险活动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" w:before="8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（在保险生效后某段时间内）自杀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" w:before="8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00" w:before="0" w:beforeAutospacing="1" w:line="360" w:lineRule="auto"/>
        <w:ind w:left="40" w:firstLine="0"/>
        <w:contextualSpacing w:val="0"/>
        <w:rPr>
          <w:rFonts w:ascii="Microsoft Yahei" w:cs="Microsoft Yahei" w:eastAsia="Microsoft Yahei" w:hAnsi="Microsoft Yahei"/>
          <w:color w:val="fffb00"/>
          <w:sz w:val="23"/>
          <w:szCs w:val="23"/>
          <w:shd w:fill="a5c8ff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fffb00"/>
          <w:sz w:val="23"/>
          <w:szCs w:val="23"/>
          <w:shd w:fill="a5c8ff" w:val="clear"/>
          <w:rtl w:val="0"/>
        </w:rPr>
        <w:t xml:space="preserve">特别提示：</w:t>
      </w:r>
    </w:p>
    <w:p w:rsidR="00000000" w:rsidDel="00000000" w:rsidP="00000000" w:rsidRDefault="00000000" w:rsidRPr="00000000">
      <w:pPr>
        <w:pBdr/>
        <w:spacing w:after="300" w:before="0" w:beforeAutospacing="1" w:line="360" w:lineRule="auto"/>
        <w:ind w:left="40" w:firstLine="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在购买保险之前，你必须细阅保单细则，以确切掌握保单的内容。你须知道保险的承包及不保项目。如果你有不明白的地方，应咨询你的保险公司或理财顾问。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i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i w:val="1"/>
          <w:color w:val="3e3e3e"/>
          <w:sz w:val="23"/>
          <w:szCs w:val="23"/>
          <w:highlight w:val="white"/>
          <w:rtl w:val="0"/>
        </w:rPr>
        <w:t xml:space="preserve">更多关于个人保险的内容，敬请期待下期哦~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i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i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i w:val="1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i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i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i w:val="1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2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i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i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  <w:rtl w:val="0"/>
        </w:rPr>
        <w:t xml:space="preserve">谢谢大家！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  <w:rtl w:val="0"/>
        </w:rPr>
        <w:t xml:space="preserve">更多澳洲理财信息，请关注信远资本官方微信！</w:t>
      </w:r>
    </w:p>
    <w:p w:rsidR="00000000" w:rsidDel="00000000" w:rsidP="00000000" w:rsidRDefault="00000000" w:rsidRPr="00000000">
      <w:pPr>
        <w:pBdr/>
        <w:ind w:firstLine="480"/>
        <w:contextualSpacing w:val="0"/>
        <w:jc w:val="center"/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Microsoft Yahei" w:cs="Microsoft Yahei" w:eastAsia="Microsoft Yahei" w:hAnsi="Microsoft Yahei"/>
          <w:color w:val="1c1919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1"/>
          <w:szCs w:val="21"/>
          <w:highlight w:val="white"/>
          <w:rtl w:val="0"/>
        </w:rPr>
        <w:t xml:space="preserve">本文原创，转载请注明'来源信远资本'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4095750" cy="4095750"/>
            <wp:effectExtent b="0" l="0" r="0" t="0"/>
            <wp:docPr id="24" name="image48.jpg"/>
            <a:graphic>
              <a:graphicData uri="http://schemas.openxmlformats.org/drawingml/2006/picture">
                <pic:pic>
                  <pic:nvPicPr>
                    <pic:cNvPr id="0" name="image48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  <w:rtl w:val="0"/>
        </w:rPr>
        <w:t xml:space="preserve">联系我们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公司地址：217/370 St Kilda Road Melbourne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网页：www.infinitycapitalfp.com.au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☎ 03 9682 6283 / +61 422 848 597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✉ info@infinitycapitalfp.com.au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Microsoft Yahei" w:cs="Microsoft Yahei" w:eastAsia="Microsoft Yahei" w:hAnsi="Microsoft Yahei"/>
        <w:color w:val="3e3e3e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9.png"/><Relationship Id="rId22" Type="http://schemas.openxmlformats.org/officeDocument/2006/relationships/image" Target="media/image18.png"/><Relationship Id="rId21" Type="http://schemas.openxmlformats.org/officeDocument/2006/relationships/image" Target="media/image28.png"/><Relationship Id="rId24" Type="http://schemas.openxmlformats.org/officeDocument/2006/relationships/image" Target="media/image29.png"/><Relationship Id="rId23" Type="http://schemas.openxmlformats.org/officeDocument/2006/relationships/image" Target="media/image4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40.png"/><Relationship Id="rId26" Type="http://schemas.openxmlformats.org/officeDocument/2006/relationships/image" Target="media/image23.png"/><Relationship Id="rId25" Type="http://schemas.openxmlformats.org/officeDocument/2006/relationships/image" Target="media/image39.png"/><Relationship Id="rId28" Type="http://schemas.openxmlformats.org/officeDocument/2006/relationships/image" Target="media/image03.png"/><Relationship Id="rId27" Type="http://schemas.openxmlformats.org/officeDocument/2006/relationships/image" Target="media/image45.png"/><Relationship Id="rId5" Type="http://schemas.openxmlformats.org/officeDocument/2006/relationships/image" Target="media/image17.gif"/><Relationship Id="rId6" Type="http://schemas.openxmlformats.org/officeDocument/2006/relationships/image" Target="media/image47.png"/><Relationship Id="rId29" Type="http://schemas.openxmlformats.org/officeDocument/2006/relationships/image" Target="media/image48.jpg"/><Relationship Id="rId7" Type="http://schemas.openxmlformats.org/officeDocument/2006/relationships/image" Target="media/image01.png"/><Relationship Id="rId8" Type="http://schemas.openxmlformats.org/officeDocument/2006/relationships/image" Target="media/image36.png"/><Relationship Id="rId11" Type="http://schemas.openxmlformats.org/officeDocument/2006/relationships/image" Target="media/image21.png"/><Relationship Id="rId10" Type="http://schemas.openxmlformats.org/officeDocument/2006/relationships/image" Target="media/image19.png"/><Relationship Id="rId13" Type="http://schemas.openxmlformats.org/officeDocument/2006/relationships/image" Target="media/image26.png"/><Relationship Id="rId12" Type="http://schemas.openxmlformats.org/officeDocument/2006/relationships/image" Target="media/image27.png"/><Relationship Id="rId15" Type="http://schemas.openxmlformats.org/officeDocument/2006/relationships/image" Target="media/image24.png"/><Relationship Id="rId14" Type="http://schemas.openxmlformats.org/officeDocument/2006/relationships/image" Target="media/image25.png"/><Relationship Id="rId17" Type="http://schemas.openxmlformats.org/officeDocument/2006/relationships/image" Target="media/image22.png"/><Relationship Id="rId16" Type="http://schemas.openxmlformats.org/officeDocument/2006/relationships/image" Target="media/image38.png"/><Relationship Id="rId19" Type="http://schemas.openxmlformats.org/officeDocument/2006/relationships/image" Target="media/image20.png"/><Relationship Id="rId18" Type="http://schemas.openxmlformats.org/officeDocument/2006/relationships/image" Target="media/image37.png"/></Relationships>
</file>