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djryzw7einig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【科普贴】在澳洲，如何查找自己的super养老金？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2017-03-31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17" name="image36.gif"/>
            <a:graphic>
              <a:graphicData uri="http://schemas.openxmlformats.org/drawingml/2006/picture">
                <pic:pic>
                  <pic:nvPicPr>
                    <pic:cNvPr id="0" name="image36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2017年2月24日更新, 失效可联系微信ICFinancialPlanning进行更新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按照澳洲的法律规定，雇主必须要为职工缴纳其工资9.5%*（2017年的比例，以后会逐年提升至12%）的养老金到员工个人名下的superfund账户的，这笔钱看似不多，但十年二十年累积下来，再加上superfund公司为你进行投资获得的收益，也可是一笔不小的数目，对自己的退休生活是一个很好的保障。同时，如果你决定离开澳洲，这笔不小的钱也是可以从superfund中全数现金取出的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然而，现实生活中，往往很多小伙伴会因为不重视，或者是更换工作等原因，根本不知道自己名下的super账户里面有多少钱，更不知道自己的super被哪个公司管理。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7"/>
          <w:szCs w:val="27"/>
          <w:highlight w:val="white"/>
          <w:rtl w:val="0"/>
        </w:rPr>
        <w:t xml:space="preserve">今天的科普贴，就来一步步来教您如何查找自己的super账户。</w:t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  <w:rtl w:val="0"/>
        </w:rPr>
        <w:t xml:space="preserve">工具/原料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、一台能够上网的电脑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、自己的税号（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TFN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）、姓名、生日信息</w:t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33"/>
          <w:szCs w:val="33"/>
          <w:highlight w:val="white"/>
          <w:rtl w:val="0"/>
        </w:rPr>
        <w:t xml:space="preserve">方法/步骤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300" w:line="320" w:lineRule="auto"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方法：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一、创建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帐号</w:t>
      </w:r>
    </w:p>
    <w:p w:rsidR="00000000" w:rsidDel="00000000" w:rsidP="00000000" w:rsidRDefault="00000000" w:rsidRPr="00000000">
      <w:pPr>
        <w:pBdr/>
        <w:ind w:firstLine="320"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（步骤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1-7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，已经有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帐号的小伙伴可以直接登录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，从步骤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8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开始）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二、将自己的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ATO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账户链接到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帐号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（步骤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8-11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）</w:t>
      </w:r>
    </w:p>
    <w:p w:rsidR="00000000" w:rsidDel="00000000" w:rsidP="00000000" w:rsidRDefault="00000000" w:rsidRPr="00000000">
      <w:pPr>
        <w:pBdr/>
        <w:contextualSpacing w:val="0"/>
        <w:rPr>
          <w:rFonts w:ascii="SimSun" w:cs="SimSun" w:eastAsia="SimSun" w:hAnsi="SimSun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三、通过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myGov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转到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ATO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查询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super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7"/>
          <w:szCs w:val="27"/>
          <w:highlight w:val="white"/>
          <w:rtl w:val="0"/>
        </w:rPr>
        <w:t xml:space="preserve">界面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（步骤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12-14</w:t>
      </w:r>
      <w:r w:rsidDel="00000000" w:rsidR="00000000" w:rsidRPr="00000000">
        <w:rPr>
          <w:rFonts w:ascii="SimSun" w:cs="SimSun" w:eastAsia="SimSun" w:hAnsi="SimSun"/>
          <w:color w:val="3e3e3e"/>
          <w:sz w:val="27"/>
          <w:szCs w:val="27"/>
          <w:highlight w:val="white"/>
          <w:rtl w:val="0"/>
        </w:rPr>
        <w:t xml:space="preserve">）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具体步骤：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在浏览器登录ATO网站：https://www.ato.gov.au/Forms/Searching-for-lost-super/，拉到下方，找到Howelse can I search for lost and unclaimed super一栏，点击myGov】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2. 点击myGov后，进入myGov界面，点击createa myGove account创建myGov帐号，对于已经有myGov帐号的小伙伴可以跳过这一步（可以直接到第8步）。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3. 进入myGov帐号创建页面，第一步，在第一个箭头处填入您的邮箱，并勾选I acceptthe myGov terms of use。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4.创建myGov帐号第二步，将邮箱收到的验证码填入框中。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5. 创建myGov帐号最后一步，填写手机号码、设置密码以及密码保护问题，密码保护问题共有3个，可以下拉选择已经预设的问题，或者是选择自己写问题。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6. myGov账户设置成功后，便会看到设置成功的提示，提示上显示了你的邮箱和myGov用户名，均可用来登录myGov账户。点击Next。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7. 点击Next后会弹出推荐你使用myGov 安全码登录（如下图），可以选择Skip跳过或是Next。选择Next会要求你输入手机号，系统会给你的手机号发一个验证码，将验证码输入即可（注：如果选择使用安全码登录，则每次登录myGov时都要输入手机收到的验证码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8. 设置好myGov账户后，登录显示欢迎界面，点击下方Add your first linkedservice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9. 点击后可以看见，目前该账户还没有链接任何政府服务（因为是新注册的账户，老用户可能已经进行过链接），在服务中找到AustralianTaxation Office，点击绿色Link按钮。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10.点击link后，弹出提示框We'll also create your Profile，点击Next, 进入链接ATO帐号步骤，系统会询问你是否有过ATO网上账户，如有则勾选YES，没有或不确定则勾选NO。选好后点击Next。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11. 点击NEXT后，填写税号（Tax file number）、名字（Givenname）、姓（Familyname）以及出生日期，并勾选Iagree to the term and conditions of use，最后点击Next，就可以成功链接ATO账户到你的myGov帐号了。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12. 成功链接ATO账户后，回到myGov界面，点击service，应该显示ATO账户链接成功，如下图蓝色框内。此时点击AustralianTaxation Office，就可以链接到ATO查看自己名下的所有super账户啦。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13. 点击Australian Taxation Office，页面跳转到ATO界面，点击上方菜单栏Super—Superaccounts，就可以看到自己名下的所有super账户，同时也可以看到自己super账户的管理公司及其网站和联系信息。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14. 以该用户举例而言（如下图），其名下就有三个super fund，每个super账户下也有不少的养老金，每年都需要缴纳3笔不少的super账户管理费。通过将这三个superfund进行合并，可以有效减少superfund的管理费用（在进行super账户合并之前，请务必咨询super账户管理公司有关转户、退出的费用，以免造成额外损失，亦或是向您的financialplaner寻求专业咨询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  <w:rtl w:val="0"/>
        </w:rPr>
        <w:t xml:space="preserve">完结。本贴更新于2017年2月，上述方法可能因政府网站调整发生变化，若方法失效，可联系微信号：ICFinancialPlanning更新。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本文原创，转载请注明出处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11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Microsoft Yahei" w:cs="Microsoft Yahei" w:eastAsia="Microsoft Yahei" w:hAnsi="Microsoft Yahei"/>
        <w:color w:val="3e3e3e"/>
        <w:sz w:val="27"/>
        <w:szCs w:val="27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7.png"/><Relationship Id="rId22" Type="http://schemas.openxmlformats.org/officeDocument/2006/relationships/image" Target="media/image09.png"/><Relationship Id="rId10" Type="http://schemas.openxmlformats.org/officeDocument/2006/relationships/image" Target="media/image31.png"/><Relationship Id="rId21" Type="http://schemas.openxmlformats.org/officeDocument/2006/relationships/image" Target="media/image19.png"/><Relationship Id="rId13" Type="http://schemas.openxmlformats.org/officeDocument/2006/relationships/image" Target="media/image10.png"/><Relationship Id="rId24" Type="http://schemas.openxmlformats.org/officeDocument/2006/relationships/image" Target="media/image30.jpg"/><Relationship Id="rId12" Type="http://schemas.openxmlformats.org/officeDocument/2006/relationships/image" Target="media/image37.png"/><Relationship Id="rId23" Type="http://schemas.openxmlformats.org/officeDocument/2006/relationships/image" Target="media/image3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34.png"/><Relationship Id="rId14" Type="http://schemas.openxmlformats.org/officeDocument/2006/relationships/image" Target="media/image29.png"/><Relationship Id="rId17" Type="http://schemas.openxmlformats.org/officeDocument/2006/relationships/image" Target="media/image20.png"/><Relationship Id="rId16" Type="http://schemas.openxmlformats.org/officeDocument/2006/relationships/image" Target="media/image28.png"/><Relationship Id="rId5" Type="http://schemas.openxmlformats.org/officeDocument/2006/relationships/image" Target="media/image36.gif"/><Relationship Id="rId19" Type="http://schemas.openxmlformats.org/officeDocument/2006/relationships/image" Target="media/image21.png"/><Relationship Id="rId6" Type="http://schemas.openxmlformats.org/officeDocument/2006/relationships/image" Target="media/image39.png"/><Relationship Id="rId18" Type="http://schemas.openxmlformats.org/officeDocument/2006/relationships/image" Target="media/image33.png"/><Relationship Id="rId7" Type="http://schemas.openxmlformats.org/officeDocument/2006/relationships/image" Target="media/image03.png"/><Relationship Id="rId8" Type="http://schemas.openxmlformats.org/officeDocument/2006/relationships/image" Target="media/image35.png"/></Relationships>
</file>