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vp4y13nt4usi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【信远资讯】养老金入市！还是传言？？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2017-02-20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今早，有关国内养老金入市的新闻又占据了各大媒体财经版的首页：市场传七省市养老金开始入市！还是传言！身在澳洲的小编看到这个新闻，又情不自禁地操心起国内的养老金制度。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要知道，国内养老金入市，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从2011年就开始提了，直到现在还是传言！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而澳洲的养老保险制度，自1909年就已经创立，管理体系灵活自主，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被公认为世界上最成功的养老保险体系之一。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那么今天，小编就来为大家简单对比一下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中澳养老体系的区别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098800"/>
            <wp:effectExtent b="0" l="0" r="0" t="0"/>
            <wp:docPr id="3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澳洲的养老保险体制由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政府养老金(Age pension)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、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企业年金(Superannuation)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个人储蓄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(Voluntary private superannuationand other savings)三部分组成。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澳洲：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政府养老金是澳洲政府为老年人提供的基本生活保障，由国家税收来支付；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国内：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而对比国内，</w:t>
      </w:r>
      <w:r w:rsidDel="00000000" w:rsidR="00000000" w:rsidRPr="00000000">
        <w:rPr>
          <w:rFonts w:ascii="Microsoft Yahei" w:cs="Microsoft Yahei" w:eastAsia="Microsoft Yahei" w:hAnsi="Microsoft Yahei"/>
          <w:color w:val="ff0000"/>
          <w:sz w:val="27"/>
          <w:szCs w:val="27"/>
          <w:highlight w:val="white"/>
          <w:rtl w:val="0"/>
        </w:rPr>
        <w:t xml:space="preserve">并没有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和澳洲一样对低收入老年人进行慷慨的财政支出。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企业年金(Superannuation)则是企业为员工缴纳的养老金，这一点中澳双方有很多相似的地方。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最大的不同点在于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：澳洲企业缴纳的养老金进入的是员工个人账户，员工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有权选择基金或者自行管理其养老金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。而国内的企业养老金则进入社会统筹基金，由政府财政部门管理，个人没有投资的选择权和话语权。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同样的，在个人缴纳部分，澳洲政府也是给了个人极大的自主权。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个人可以选择超额缴纳养老金或者不缴纳养老金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，而在国内，个人则必须按照其工资的8%缴纳养老金，同样由国家管理，个人无权选择。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从上面的简单对比中，我们不难看出中澳养老金体系的差别，其中很大一部分的差距就在于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自主权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。自主权给我们来了许多好处，通过积极主动地管理养老金，我们可以实现合理避税、资产保值增值的效果，让养老金发挥更大的作用。那么应该如何通过养老金账户实现避税、资产增值呢？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小编在此卖个关子，下次揭晓！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你需要趁早了解你的养老金，一笔将来的财富得利于当下的管理！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想拥有更好的投资回报,请联系我们信远财富管理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07.jpg"/><Relationship Id="rId6" Type="http://schemas.openxmlformats.org/officeDocument/2006/relationships/image" Target="media/image09.png"/><Relationship Id="rId7" Type="http://schemas.openxmlformats.org/officeDocument/2006/relationships/image" Target="media/image04.png"/><Relationship Id="rId8" Type="http://schemas.openxmlformats.org/officeDocument/2006/relationships/image" Target="media/image01.png"/></Relationships>
</file>