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TEAM ID</w:t>
            </w:r>
          </w:p>
        </w:tc>
        <w:tc>
          <w:tcPr>
            <w:tcW w:w="4675" w:type="dxa"/>
            <w:vAlign w:val="center"/>
          </w:tcPr>
          <w:p w:rsidR="006D3EEA" w:rsidRPr="006D3EEA" w:rsidRDefault="004D6C5A" w:rsidP="006D3EEA">
            <w:pPr>
              <w:spacing w:line="360" w:lineRule="auto"/>
              <w:jc w:val="center"/>
              <w:rPr>
                <w:rFonts w:ascii="Segoe UI" w:hAnsi="Segoe UI" w:cs="Segoe UI"/>
                <w:sz w:val="28"/>
                <w:szCs w:val="28"/>
              </w:rPr>
            </w:pPr>
            <w:r>
              <w:rPr>
                <w:rFonts w:ascii="Segoe UI" w:hAnsi="Segoe UI" w:cs="Segoe UI"/>
                <w:sz w:val="28"/>
                <w:szCs w:val="28"/>
              </w:rPr>
              <w:t>SWTID -2026-5976</w:t>
            </w:r>
          </w:p>
        </w:tc>
      </w:tr>
      <w:tr w:rsidR="00FB1BED" w:rsidRPr="006D3EEA" w:rsidTr="006D3EEA">
        <w:tc>
          <w:tcPr>
            <w:tcW w:w="4675" w:type="dxa"/>
            <w:vAlign w:val="center"/>
          </w:tcPr>
          <w:p w:rsidR="00FB1BED" w:rsidRPr="006D3EEA" w:rsidRDefault="00FB1BED" w:rsidP="00FB1BED">
            <w:pPr>
              <w:spacing w:line="360" w:lineRule="auto"/>
              <w:jc w:val="center"/>
              <w:rPr>
                <w:rFonts w:ascii="Segoe UI" w:hAnsi="Segoe UI" w:cs="Segoe UI"/>
                <w:sz w:val="28"/>
                <w:szCs w:val="28"/>
              </w:rPr>
            </w:pPr>
            <w:r w:rsidRPr="006D3EEA">
              <w:rPr>
                <w:rFonts w:ascii="Segoe UI" w:hAnsi="Segoe UI" w:cs="Segoe UI"/>
                <w:sz w:val="28"/>
                <w:szCs w:val="28"/>
              </w:rPr>
              <w:t>PROJECT TITLE</w:t>
            </w:r>
          </w:p>
        </w:tc>
        <w:tc>
          <w:tcPr>
            <w:tcW w:w="4675" w:type="dxa"/>
            <w:vAlign w:val="center"/>
          </w:tcPr>
          <w:p w:rsidR="00FB1BED" w:rsidRPr="006D3EEA" w:rsidRDefault="00FB1BED" w:rsidP="00FB1BED">
            <w:pPr>
              <w:spacing w:line="360" w:lineRule="auto"/>
              <w:jc w:val="center"/>
              <w:rPr>
                <w:rFonts w:ascii="Segoe UI" w:hAnsi="Segoe UI" w:cs="Segoe UI"/>
                <w:sz w:val="28"/>
                <w:szCs w:val="28"/>
              </w:rPr>
            </w:pPr>
            <w:r>
              <w:rPr>
                <w:rFonts w:ascii="Calibri" w:eastAsia="Calibri" w:hAnsi="Calibri" w:cs="Calibri"/>
              </w:rPr>
              <w:t>Visualizing housing market trends: an analysis of sale prices and features using tableau</w:t>
            </w:r>
          </w:p>
        </w:tc>
      </w:tr>
      <w:tr w:rsidR="00FB1BED" w:rsidRPr="006D3EEA" w:rsidTr="006D3EEA">
        <w:tc>
          <w:tcPr>
            <w:tcW w:w="4675" w:type="dxa"/>
            <w:vAlign w:val="center"/>
          </w:tcPr>
          <w:p w:rsidR="00FB1BED" w:rsidRPr="006D3EEA" w:rsidRDefault="00FB1BED" w:rsidP="00FB1BED">
            <w:pPr>
              <w:spacing w:line="360" w:lineRule="auto"/>
              <w:jc w:val="center"/>
              <w:rPr>
                <w:rFonts w:ascii="Segoe UI" w:hAnsi="Segoe UI" w:cs="Segoe UI"/>
                <w:sz w:val="28"/>
                <w:szCs w:val="28"/>
              </w:rPr>
            </w:pPr>
            <w:r w:rsidRPr="006D3EEA">
              <w:rPr>
                <w:rFonts w:ascii="Segoe UI" w:hAnsi="Segoe UI" w:cs="Segoe UI"/>
                <w:sz w:val="28"/>
                <w:szCs w:val="28"/>
              </w:rPr>
              <w:t>MAX MARKS</w:t>
            </w:r>
          </w:p>
        </w:tc>
        <w:tc>
          <w:tcPr>
            <w:tcW w:w="4675" w:type="dxa"/>
            <w:vAlign w:val="center"/>
          </w:tcPr>
          <w:p w:rsidR="00FB1BED" w:rsidRPr="006D3EEA" w:rsidRDefault="00FB1BED" w:rsidP="00FB1BED">
            <w:pPr>
              <w:spacing w:line="360" w:lineRule="auto"/>
              <w:jc w:val="center"/>
              <w:rPr>
                <w:rFonts w:ascii="Segoe UI" w:hAnsi="Segoe UI" w:cs="Segoe UI"/>
                <w:sz w:val="28"/>
                <w:szCs w:val="28"/>
              </w:rPr>
            </w:pPr>
            <w:r>
              <w:rPr>
                <w:rFonts w:ascii="Segoe UI" w:hAnsi="Segoe UI" w:cs="Segoe UI"/>
                <w:sz w:val="28"/>
                <w:szCs w:val="28"/>
              </w:rPr>
              <w:t>5</w:t>
            </w:r>
            <w:r w:rsidRPr="006D3EEA">
              <w:rPr>
                <w:rFonts w:ascii="Segoe UI" w:hAnsi="Segoe UI" w:cs="Segoe UI"/>
                <w:sz w:val="28"/>
                <w:szCs w:val="28"/>
              </w:rPr>
              <w:t xml:space="preserve"> MARKS</w:t>
            </w:r>
          </w:p>
        </w:tc>
        <w:bookmarkStart w:id="0" w:name="_GoBack"/>
        <w:bookmarkEnd w:id="0"/>
      </w:tr>
    </w:tbl>
    <w:p w:rsidR="0009586F" w:rsidRDefault="0009586F" w:rsidP="006D3EEA">
      <w:pPr>
        <w:spacing w:after="0" w:line="360" w:lineRule="auto"/>
        <w:jc w:val="both"/>
        <w:rPr>
          <w:rFonts w:ascii="Candara" w:hAnsi="Candara"/>
          <w:sz w:val="28"/>
          <w:szCs w:val="28"/>
        </w:rPr>
      </w:pPr>
    </w:p>
    <w:p w:rsidR="006D3EEA" w:rsidRDefault="006973AA" w:rsidP="006973AA">
      <w:pPr>
        <w:spacing w:after="0" w:line="360" w:lineRule="auto"/>
        <w:jc w:val="both"/>
        <w:rPr>
          <w:rFonts w:ascii="Candara" w:hAnsi="Candara"/>
          <w:b/>
          <w:sz w:val="28"/>
          <w:szCs w:val="28"/>
        </w:rPr>
      </w:pPr>
      <w:r w:rsidRPr="00563D16">
        <w:rPr>
          <w:rFonts w:ascii="Candara" w:hAnsi="Candara"/>
          <w:b/>
          <w:sz w:val="28"/>
          <w:szCs w:val="28"/>
        </w:rPr>
        <w:t>4.3 – Solution Architecture</w:t>
      </w:r>
    </w:p>
    <w:p w:rsidR="004D6C5A" w:rsidRDefault="004D6C5A" w:rsidP="004D6C5A">
      <w:pPr>
        <w:spacing w:after="0" w:line="360" w:lineRule="auto"/>
        <w:jc w:val="both"/>
        <w:rPr>
          <w:rFonts w:ascii="Segoe UI" w:hAnsi="Segoe UI" w:cs="Segoe UI"/>
          <w:b/>
          <w:color w:val="1F243C"/>
          <w:shd w:val="clear" w:color="auto" w:fill="FFFFFF"/>
        </w:rPr>
      </w:pPr>
      <w:r w:rsidRPr="004D6C5A">
        <w:rPr>
          <w:rFonts w:ascii="Candara" w:hAnsi="Candara"/>
          <w:b/>
          <w:sz w:val="28"/>
          <w:szCs w:val="28"/>
        </w:rPr>
        <w:t>The solution architecture is built to collect, process, analyze, and visualize housing market data. It aims to provide clear insights into property prices and market trends. The archite</w:t>
      </w:r>
      <w:r>
        <w:rPr>
          <w:rFonts w:ascii="Candara" w:hAnsi="Candara"/>
          <w:b/>
          <w:sz w:val="28"/>
          <w:szCs w:val="28"/>
        </w:rPr>
        <w:t>cture has five main components.</w:t>
      </w:r>
      <w:r w:rsidRPr="004D6C5A">
        <w:rPr>
          <w:rFonts w:ascii="Candara" w:hAnsi="Candara"/>
          <w:b/>
          <w:sz w:val="28"/>
          <w:szCs w:val="28"/>
        </w:rPr>
        <w:t>This layer collects housing-related data from different sources like real estate websites, property transaction records, government housing datasets, and CSV/Excel files. The data includes property sale prices, location, square footage, number of bedrooms and bathrooms, year built, lot si</w:t>
      </w:r>
      <w:r>
        <w:rPr>
          <w:rFonts w:ascii="Candara" w:hAnsi="Candara"/>
          <w:b/>
          <w:sz w:val="28"/>
          <w:szCs w:val="28"/>
        </w:rPr>
        <w:t>ze, and other property details.</w:t>
      </w:r>
      <w:r w:rsidRPr="004D6C5A">
        <w:rPr>
          <w:rFonts w:ascii="Candara" w:hAnsi="Candara"/>
          <w:b/>
          <w:sz w:val="28"/>
          <w:szCs w:val="28"/>
        </w:rPr>
        <w:t>The collected data is cleaned and transformed before analysis. It removes or corrects missing values, duplicate records, and inconsistent formats. You can use spreadsheet tools, SQL queries, or Tableau Prep for data preparation to make sure the dataset is accurate and reliable.</w:t>
      </w:r>
      <w:r w:rsidRPr="004D6C5A">
        <w:rPr>
          <w:rFonts w:ascii="Segoe UI" w:hAnsi="Segoe UI" w:cs="Segoe UI"/>
          <w:color w:val="1F243C"/>
          <w:shd w:val="clear" w:color="auto" w:fill="FFFFFF"/>
        </w:rPr>
        <w:t xml:space="preserve"> </w:t>
      </w:r>
    </w:p>
    <w:p w:rsidR="004D6C5A" w:rsidRPr="004D6C5A" w:rsidRDefault="004D6C5A" w:rsidP="004D6C5A">
      <w:pPr>
        <w:spacing w:after="0" w:line="360" w:lineRule="auto"/>
        <w:jc w:val="both"/>
        <w:rPr>
          <w:rFonts w:ascii="Candara" w:hAnsi="Candara"/>
          <w:b/>
          <w:sz w:val="28"/>
          <w:szCs w:val="28"/>
        </w:rPr>
      </w:pPr>
      <w:r w:rsidRPr="004D6C5A">
        <w:rPr>
          <w:rFonts w:ascii="Candara" w:hAnsi="Candara"/>
          <w:b/>
          <w:sz w:val="28"/>
          <w:szCs w:val="28"/>
        </w:rPr>
        <w:t>After preprocessing, the cleaned dataset is stored in a centralized repository, like a relational database (MySQL, PostgreSQL, SQL Server) or a data warehouse. This layer ensures efficient data management and allows for quick access for analytical processi</w:t>
      </w:r>
      <w:r>
        <w:rPr>
          <w:rFonts w:ascii="Candara" w:hAnsi="Candara"/>
          <w:b/>
          <w:sz w:val="28"/>
          <w:szCs w:val="28"/>
        </w:rPr>
        <w:t>ng.</w:t>
      </w:r>
      <w:r w:rsidRPr="004D6C5A">
        <w:rPr>
          <w:rFonts w:ascii="Candara" w:hAnsi="Candara"/>
          <w:b/>
          <w:sz w:val="28"/>
          <w:szCs w:val="28"/>
        </w:rPr>
        <w:t xml:space="preserve">The processed data connects to Tableau, where calculations and aggregations happen. Tableau creates interactive visualizations, including line charts, bar charts, scatter plots, heat maps, and geographical maps. These visualizations help identify housing price trends, </w:t>
      </w:r>
      <w:r w:rsidRPr="004D6C5A">
        <w:rPr>
          <w:rFonts w:ascii="Candara" w:hAnsi="Candara"/>
          <w:b/>
          <w:sz w:val="28"/>
          <w:szCs w:val="28"/>
        </w:rPr>
        <w:lastRenderedPageBreak/>
        <w:t>regional variations, and relationships between property features and sale prices.</w:t>
      </w:r>
    </w:p>
    <w:p w:rsidR="004D6C5A" w:rsidRPr="004D6C5A" w:rsidRDefault="004D6C5A" w:rsidP="004D6C5A">
      <w:pPr>
        <w:spacing w:after="0" w:line="360" w:lineRule="auto"/>
        <w:jc w:val="both"/>
        <w:rPr>
          <w:rFonts w:ascii="Candara" w:hAnsi="Candara"/>
          <w:b/>
          <w:sz w:val="28"/>
          <w:szCs w:val="28"/>
        </w:rPr>
      </w:pPr>
    </w:p>
    <w:p w:rsidR="004D6C5A" w:rsidRPr="004D6C5A" w:rsidRDefault="004D6C5A" w:rsidP="004D6C5A">
      <w:pPr>
        <w:spacing w:after="0" w:line="360" w:lineRule="auto"/>
        <w:jc w:val="both"/>
        <w:rPr>
          <w:rFonts w:ascii="Candara" w:hAnsi="Candara"/>
          <w:b/>
          <w:sz w:val="28"/>
          <w:szCs w:val="28"/>
        </w:rPr>
      </w:pPr>
    </w:p>
    <w:p w:rsidR="004D6C5A" w:rsidRPr="004D6C5A" w:rsidRDefault="004D6C5A" w:rsidP="004D6C5A">
      <w:pPr>
        <w:spacing w:after="0" w:line="360" w:lineRule="auto"/>
        <w:jc w:val="both"/>
        <w:rPr>
          <w:rFonts w:ascii="Candara" w:hAnsi="Candara"/>
          <w:b/>
          <w:sz w:val="28"/>
          <w:szCs w:val="28"/>
        </w:rPr>
      </w:pPr>
      <w:r w:rsidRPr="004D6C5A">
        <w:rPr>
          <w:rFonts w:ascii="Candara" w:hAnsi="Candara"/>
          <w:b/>
          <w:sz w:val="28"/>
          <w:szCs w:val="28"/>
        </w:rPr>
        <w:t>The final layer provides dashboards and reports to end users, such as real estate agents, investors, policymakers, and homebuyers. Users can interact with dashboards using filters, drill-down options, and KPI indicators to gain useful insights. The visual reports support decisions about property valuation, investment opportunities, market forecasting, and housing policy planning.</w:t>
      </w:r>
    </w:p>
    <w:p w:rsidR="004D6C5A" w:rsidRPr="004D6C5A" w:rsidRDefault="004D6C5A" w:rsidP="004D6C5A">
      <w:pPr>
        <w:spacing w:after="0" w:line="360" w:lineRule="auto"/>
        <w:jc w:val="both"/>
        <w:rPr>
          <w:rFonts w:ascii="Candara" w:hAnsi="Candara"/>
          <w:b/>
          <w:sz w:val="28"/>
          <w:szCs w:val="28"/>
        </w:rPr>
      </w:pPr>
    </w:p>
    <w:p w:rsidR="004D6C5A" w:rsidRPr="004D6C5A" w:rsidRDefault="004D6C5A" w:rsidP="004D6C5A">
      <w:pPr>
        <w:spacing w:after="0" w:line="360" w:lineRule="auto"/>
        <w:jc w:val="both"/>
        <w:rPr>
          <w:rFonts w:ascii="Candara" w:hAnsi="Candara"/>
          <w:b/>
          <w:sz w:val="28"/>
          <w:szCs w:val="28"/>
        </w:rPr>
      </w:pPr>
    </w:p>
    <w:sectPr w:rsidR="004D6C5A" w:rsidRPr="004D6C5A">
      <w:headerReference w:type="even" r:id="rId6"/>
      <w:headerReference w:type="default" r:id="rId7"/>
      <w:foot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7BBA" w:rsidRDefault="00757BBA" w:rsidP="00121E64">
      <w:pPr>
        <w:spacing w:after="0" w:line="240" w:lineRule="auto"/>
      </w:pPr>
      <w:r>
        <w:separator/>
      </w:r>
    </w:p>
  </w:endnote>
  <w:endnote w:type="continuationSeparator" w:id="0">
    <w:p w:rsidR="00757BBA" w:rsidRDefault="00757BBA"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FB1BED">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FB1BED">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D32CC4F"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7BBA" w:rsidRDefault="00757BBA" w:rsidP="00121E64">
      <w:pPr>
        <w:spacing w:after="0" w:line="240" w:lineRule="auto"/>
      </w:pPr>
      <w:r>
        <w:separator/>
      </w:r>
    </w:p>
  </w:footnote>
  <w:footnote w:type="continuationSeparator" w:id="0">
    <w:p w:rsidR="00757BBA" w:rsidRDefault="00757BBA"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757BB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3DC8" w:rsidRPr="00F705FB" w:rsidRDefault="004D6C5A" w:rsidP="000D3DC8">
    <w:pPr>
      <w:pStyle w:val="Header"/>
      <w:jc w:val="center"/>
      <w:rPr>
        <w:rFonts w:ascii="Candara" w:hAnsi="Candara"/>
        <w:b/>
      </w:rPr>
    </w:pPr>
    <w:r w:rsidRPr="00F705FB">
      <w:rPr>
        <w:b/>
      </w:rPr>
      <w:t>Visualizing Housing Market Trends: An Analysis of Housing Sale Prices and Property Features Using Tableau</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757BB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547C9"/>
    <w:rsid w:val="0009586F"/>
    <w:rsid w:val="000D3DC8"/>
    <w:rsid w:val="00121E64"/>
    <w:rsid w:val="001506FD"/>
    <w:rsid w:val="00317F71"/>
    <w:rsid w:val="004561E8"/>
    <w:rsid w:val="004D6C5A"/>
    <w:rsid w:val="005362D8"/>
    <w:rsid w:val="00563D16"/>
    <w:rsid w:val="006973AA"/>
    <w:rsid w:val="006A4898"/>
    <w:rsid w:val="006D3EEA"/>
    <w:rsid w:val="0074371C"/>
    <w:rsid w:val="00757BBA"/>
    <w:rsid w:val="00817DE2"/>
    <w:rsid w:val="00902403"/>
    <w:rsid w:val="009523B6"/>
    <w:rsid w:val="009561BA"/>
    <w:rsid w:val="009F713F"/>
    <w:rsid w:val="00A85477"/>
    <w:rsid w:val="00A86000"/>
    <w:rsid w:val="00A97F4E"/>
    <w:rsid w:val="00AB344B"/>
    <w:rsid w:val="00B1448A"/>
    <w:rsid w:val="00B9414F"/>
    <w:rsid w:val="00C3041D"/>
    <w:rsid w:val="00F47ADE"/>
    <w:rsid w:val="00F705FB"/>
    <w:rsid w:val="00F7710E"/>
    <w:rsid w:val="00FB1BED"/>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91FB0CC"/>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గాయత్రి డిగ్రీ కళాశాల తిరుపతి</cp:lastModifiedBy>
  <cp:revision>11</cp:revision>
  <dcterms:created xsi:type="dcterms:W3CDTF">2026-06-01T13:03:00Z</dcterms:created>
  <dcterms:modified xsi:type="dcterms:W3CDTF">2026-06-19T07:02:00Z</dcterms:modified>
</cp:coreProperties>
</file>