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Moonlighter Group Reg: 2013/139783/07</w:t>
        <w:br/>
      </w:r>
      <w:r>
        <w:rPr>
          <w:b/>
          <w:sz w:val="26"/>
        </w:rPr>
        <w:t>SERVICE PROVIDER FOR THE PROVISION OF</w:t>
        <w:br/>
        <w:t>LEARNING AND DEVELOPMENT SYSTEM FOR SENTECH</w:t>
        <w:br/>
        <w:br/>
      </w:r>
      <w:r>
        <w:rPr>
          <w:b/>
          <w:sz w:val="24"/>
        </w:rPr>
        <w:t>Phase 2: System Configuration &amp; Customisation</w:t>
        <w:br/>
        <w:br/>
      </w:r>
      <w:r>
        <w:rPr>
          <w:b/>
          <w:color w:val="0056B3"/>
          <w:sz w:val="32"/>
        </w:rPr>
        <w:t>Configuration Workbook</w:t>
        <w:br/>
        <w:br/>
      </w:r>
      <w:r>
        <w:rPr>
          <w:sz w:val="22"/>
        </w:rPr>
        <w:t>Document Date: 24th March 2026</w:t>
        <w:br/>
      </w:r>
    </w:p>
    <w:p>
      <w:r>
        <w:br w:type="page"/>
      </w:r>
    </w:p>
    <w:p>
      <w:pPr>
        <w:pStyle w:val="Heading1"/>
      </w:pPr>
      <w:r>
        <w:t>Document Sign 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2880"/>
          </w:tcPr>
          <w:p>
            <w:r>
              <w:t>Project Name</w:t>
            </w:r>
          </w:p>
        </w:tc>
        <w:tc>
          <w:tcPr>
            <w:tcW w:type="dxa" w:w="2880"/>
          </w:tcPr>
          <w:p>
            <w:r>
              <w:t>Provision of Learning and Development System for Sentech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Project Phase</w:t>
            </w:r>
          </w:p>
        </w:tc>
        <w:tc>
          <w:tcPr>
            <w:tcW w:type="dxa" w:w="2880"/>
          </w:tcPr>
          <w:p>
            <w:r>
              <w:t>2 - System Configuration &amp; Customisation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Configuration Workbook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Document Version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Creation Date</w:t>
            </w:r>
          </w:p>
        </w:tc>
        <w:tc>
          <w:tcPr>
            <w:tcW w:type="dxa" w:w="2880"/>
          </w:tcPr>
          <w:p>
            <w:r>
              <w:t>24th March 2026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2"/>
      </w:pPr>
      <w:r>
        <w:t>Signatories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Moonlighter Group: Project Administrator</w:t>
            </w:r>
          </w:p>
        </w:tc>
        <w:tc>
          <w:tcPr>
            <w:tcW w:type="dxa" w:w="4320"/>
          </w:tcPr>
          <w:p>
            <w:r>
              <w:t>M. Maseko</w:t>
            </w:r>
          </w:p>
        </w:tc>
      </w:tr>
      <w:tr>
        <w:tc>
          <w:tcPr>
            <w:tcW w:type="dxa" w:w="4320"/>
          </w:tcPr>
          <w:p>
            <w:r>
              <w:t>Moonlighter Group: Systems Developer</w:t>
            </w:r>
          </w:p>
        </w:tc>
        <w:tc>
          <w:tcPr>
            <w:tcW w:type="dxa" w:w="4320"/>
          </w:tcPr>
          <w:p>
            <w:r>
              <w:t>R. Molukanele</w:t>
            </w:r>
          </w:p>
        </w:tc>
      </w:tr>
      <w:tr>
        <w:tc>
          <w:tcPr>
            <w:tcW w:type="dxa" w:w="4320"/>
          </w:tcPr>
          <w:p>
            <w:r>
              <w:t>Sentech: S. Jingisa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Sentech: N. Nzama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1. Introduction and Scope</w:t>
      </w:r>
    </w:p>
    <w:p>
      <w:r>
        <w:t>This Configuration Workbook serves as the definitive record of all system configurations, customisations, and parameter settings applied to the Sentech Bursary &amp; Training Management System during the System Configuration &amp; Customisation Phase (Phase 2). It documents the complete technical architecture including the React frontend, FastAPI backend, and MongoDB database layer, along with all integrations, security settings, and custom module configurations.</w:t>
      </w:r>
    </w:p>
    <w:p>
      <w:r>
        <w:t>Scope: All non-default settings, custom code, plugin configurations, integration parameters, RBAC rules, email notification settings, and application workflow logic.</w:t>
      </w:r>
    </w:p>
    <w:p>
      <w:pPr>
        <w:pStyle w:val="Heading1"/>
      </w:pPr>
      <w:r>
        <w:t>2. Configuration Management Baseline</w:t>
      </w:r>
    </w:p>
    <w:p>
      <w:r>
        <w:t>This section documents the initial state of the system and its core technology stack.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 /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 Established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Frontend Framework</w:t>
            </w:r>
          </w:p>
        </w:tc>
        <w:tc>
          <w:tcPr>
            <w:tcW w:type="dxa" w:w="2160"/>
          </w:tcPr>
          <w:p>
            <w:r>
              <w:t>React 18 + Tailwind CSS + Shadcn/UI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package.json</w:t>
            </w:r>
          </w:p>
        </w:tc>
      </w:tr>
      <w:tr>
        <w:tc>
          <w:tcPr>
            <w:tcW w:type="dxa" w:w="2160"/>
          </w:tcPr>
          <w:p>
            <w:r>
              <w:t>Backend Framework</w:t>
            </w:r>
          </w:p>
        </w:tc>
        <w:tc>
          <w:tcPr>
            <w:tcW w:type="dxa" w:w="2160"/>
          </w:tcPr>
          <w:p>
            <w:r>
              <w:t>FastAPI (Python 3.12) with Motor async driver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requirements.txt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MongoDB 7.x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backend/.env</w:t>
            </w:r>
          </w:p>
        </w:tc>
      </w:tr>
      <w:tr>
        <w:tc>
          <w:tcPr>
            <w:tcW w:type="dxa" w:w="2160"/>
          </w:tcPr>
          <w:p>
            <w:r>
              <w:t>Operating System</w:t>
            </w:r>
          </w:p>
        </w:tc>
        <w:tc>
          <w:tcPr>
            <w:tcW w:type="dxa" w:w="2160"/>
          </w:tcPr>
          <w:p>
            <w:r>
              <w:t>Ubuntu Server 24.04 LTS (Azure VM)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Azure Portal</w:t>
            </w:r>
          </w:p>
        </w:tc>
      </w:tr>
      <w:tr>
        <w:tc>
          <w:tcPr>
            <w:tcW w:type="dxa" w:w="2160"/>
          </w:tcPr>
          <w:p>
            <w:r>
              <w:t>Web Server</w:t>
            </w:r>
          </w:p>
        </w:tc>
        <w:tc>
          <w:tcPr>
            <w:tcW w:type="dxa" w:w="2160"/>
          </w:tcPr>
          <w:p>
            <w:r>
              <w:t>Nginx (reverse proxy) + Uvicorn (ASGI)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nginx.conf</w:t>
            </w:r>
          </w:p>
        </w:tc>
      </w:tr>
      <w:tr>
        <w:tc>
          <w:tcPr>
            <w:tcW w:type="dxa" w:w="2160"/>
          </w:tcPr>
          <w:p>
            <w:r>
              <w:t>Charts Library</w:t>
            </w:r>
          </w:p>
        </w:tc>
        <w:tc>
          <w:tcPr>
            <w:tcW w:type="dxa" w:w="2160"/>
          </w:tcPr>
          <w:p>
            <w:r>
              <w:t>Recharts 3.6.0</w:t>
            </w:r>
          </w:p>
        </w:tc>
        <w:tc>
          <w:tcPr>
            <w:tcW w:type="dxa" w:w="2160"/>
          </w:tcPr>
          <w:p>
            <w:r>
              <w:t>April 2026</w:t>
            </w:r>
          </w:p>
        </w:tc>
        <w:tc>
          <w:tcPr>
            <w:tcW w:type="dxa" w:w="2160"/>
          </w:tcPr>
          <w:p>
            <w:r>
              <w:t>package.json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JWT (JSON Web Tokens) with bcrypt hashing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routers/auth.py</w:t>
            </w:r>
          </w:p>
        </w:tc>
      </w:tr>
      <w:tr>
        <w:tc>
          <w:tcPr>
            <w:tcW w:type="dxa" w:w="2160"/>
          </w:tcPr>
          <w:p>
            <w:r>
              <w:t>Theme</w:t>
            </w:r>
          </w:p>
        </w:tc>
        <w:tc>
          <w:tcPr>
            <w:tcW w:type="dxa" w:w="2160"/>
          </w:tcPr>
          <w:p>
            <w:r>
              <w:t>Custom Sentech theme (Tailwind + CSS variables)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tailwind.config.js</w:t>
            </w:r>
          </w:p>
        </w:tc>
      </w:tr>
    </w:tbl>
    <w:p>
      <w:pPr>
        <w:pStyle w:val="Heading1"/>
      </w:pPr>
      <w:r>
        <w:t>3. Detailed Configuration Records (Customisations)</w:t>
      </w:r>
    </w:p>
    <w:p>
      <w:pPr>
        <w:pStyle w:val="Heading2"/>
      </w:pPr>
      <w:r>
        <w:t>3.1. System Environment and Infrastructure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Configuration 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Location / File Path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Default 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New 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234"/>
          </w:tcPr>
          <w:p>
            <w:r>
              <w:t>ENV-001</w:t>
            </w:r>
          </w:p>
        </w:tc>
        <w:tc>
          <w:tcPr>
            <w:tcW w:type="dxa" w:w="1234"/>
          </w:tcPr>
          <w:p>
            <w:r>
              <w:t>Backend Host/Port</w:t>
            </w:r>
          </w:p>
        </w:tc>
        <w:tc>
          <w:tcPr>
            <w:tcW w:type="dxa" w:w="1234"/>
          </w:tcPr>
          <w:p>
            <w:r>
              <w:t>backend/.env, supervisor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0.0.0.0:8001 (Uvicorn, 4 workers)</w:t>
            </w:r>
          </w:p>
        </w:tc>
        <w:tc>
          <w:tcPr>
            <w:tcW w:type="dxa" w:w="1234"/>
          </w:tcPr>
          <w:p>
            <w:r>
              <w:t>Production ASGI server config</w:t>
            </w:r>
          </w:p>
        </w:tc>
        <w:tc>
          <w:tcPr>
            <w:tcW w:type="dxa" w:w="1234"/>
          </w:tcPr>
          <w:p>
            <w:r>
              <w:t>curl /api/health</w:t>
            </w:r>
          </w:p>
        </w:tc>
      </w:tr>
      <w:tr>
        <w:tc>
          <w:tcPr>
            <w:tcW w:type="dxa" w:w="1234"/>
          </w:tcPr>
          <w:p>
            <w:r>
              <w:t>ENV-002</w:t>
            </w:r>
          </w:p>
        </w:tc>
        <w:tc>
          <w:tcPr>
            <w:tcW w:type="dxa" w:w="1234"/>
          </w:tcPr>
          <w:p>
            <w:r>
              <w:t>Frontend Build</w:t>
            </w:r>
          </w:p>
        </w:tc>
        <w:tc>
          <w:tcPr>
            <w:tcW w:type="dxa" w:w="1234"/>
          </w:tcPr>
          <w:p>
            <w:r>
              <w:t>frontend/</w:t>
            </w:r>
          </w:p>
        </w:tc>
        <w:tc>
          <w:tcPr>
            <w:tcW w:type="dxa" w:w="1234"/>
          </w:tcPr>
          <w:p>
            <w:r>
              <w:t>Dev server</w:t>
            </w:r>
          </w:p>
        </w:tc>
        <w:tc>
          <w:tcPr>
            <w:tcW w:type="dxa" w:w="1234"/>
          </w:tcPr>
          <w:p>
            <w:r>
              <w:t>yarn build (static, served by Nginx)</w:t>
            </w:r>
          </w:p>
        </w:tc>
        <w:tc>
          <w:tcPr>
            <w:tcW w:type="dxa" w:w="1234"/>
          </w:tcPr>
          <w:p>
            <w:r>
              <w:t>Production optimisation</w:t>
            </w:r>
          </w:p>
        </w:tc>
        <w:tc>
          <w:tcPr>
            <w:tcW w:type="dxa" w:w="1234"/>
          </w:tcPr>
          <w:p>
            <w:r>
              <w:t>Browser load test</w:t>
            </w:r>
          </w:p>
        </w:tc>
      </w:tr>
      <w:tr>
        <w:tc>
          <w:tcPr>
            <w:tcW w:type="dxa" w:w="1234"/>
          </w:tcPr>
          <w:p>
            <w:r>
              <w:t>ENV-003</w:t>
            </w:r>
          </w:p>
        </w:tc>
        <w:tc>
          <w:tcPr>
            <w:tcW w:type="dxa" w:w="1234"/>
          </w:tcPr>
          <w:p>
            <w:r>
              <w:t>MongoDB Connection</w:t>
            </w:r>
          </w:p>
        </w:tc>
        <w:tc>
          <w:tcPr>
            <w:tcW w:type="dxa" w:w="1234"/>
          </w:tcPr>
          <w:p>
            <w:r>
              <w:t>backend/.env (MONGO_URL)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mongodb://localhost:27017 (DB: sentech)</w:t>
            </w:r>
          </w:p>
        </w:tc>
        <w:tc>
          <w:tcPr>
            <w:tcW w:type="dxa" w:w="1234"/>
          </w:tcPr>
          <w:p>
            <w:r>
              <w:t>Primary data store</w:t>
            </w:r>
          </w:p>
        </w:tc>
        <w:tc>
          <w:tcPr>
            <w:tcW w:type="dxa" w:w="1234"/>
          </w:tcPr>
          <w:p>
            <w:r>
              <w:t>Backend startup logs</w:t>
            </w:r>
          </w:p>
        </w:tc>
      </w:tr>
      <w:tr>
        <w:tc>
          <w:tcPr>
            <w:tcW w:type="dxa" w:w="1234"/>
          </w:tcPr>
          <w:p>
            <w:r>
              <w:t>ENV-004</w:t>
            </w:r>
          </w:p>
        </w:tc>
        <w:tc>
          <w:tcPr>
            <w:tcW w:type="dxa" w:w="1234"/>
          </w:tcPr>
          <w:p>
            <w:r>
              <w:t>SMTP Configuration</w:t>
            </w:r>
          </w:p>
        </w:tc>
        <w:tc>
          <w:tcPr>
            <w:tcW w:type="dxa" w:w="1234"/>
          </w:tcPr>
          <w:p>
            <w:r>
              <w:t>backend/.env</w:t>
            </w:r>
          </w:p>
        </w:tc>
        <w:tc>
          <w:tcPr>
            <w:tcW w:type="dxa" w:w="1234"/>
          </w:tcPr>
          <w:p>
            <w:r>
              <w:t>None (mocked)</w:t>
            </w:r>
          </w:p>
        </w:tc>
        <w:tc>
          <w:tcPr>
            <w:tcW w:type="dxa" w:w="1234"/>
          </w:tcPr>
          <w:p>
            <w:r>
              <w:t>mail.exclusivehosting.net:465 (SSL)</w:t>
            </w:r>
          </w:p>
        </w:tc>
        <w:tc>
          <w:tcPr>
            <w:tcW w:type="dxa" w:w="1234"/>
          </w:tcPr>
          <w:p>
            <w:r>
              <w:t>Email notifications for applications</w:t>
            </w:r>
          </w:p>
        </w:tc>
        <w:tc>
          <w:tcPr>
            <w:tcW w:type="dxa" w:w="1234"/>
          </w:tcPr>
          <w:p>
            <w:r>
              <w:t>Send test email</w:t>
            </w:r>
          </w:p>
        </w:tc>
      </w:tr>
      <w:tr>
        <w:tc>
          <w:tcPr>
            <w:tcW w:type="dxa" w:w="1234"/>
          </w:tcPr>
          <w:p>
            <w:r>
              <w:t>ENV-005</w:t>
            </w:r>
          </w:p>
        </w:tc>
        <w:tc>
          <w:tcPr>
            <w:tcW w:type="dxa" w:w="1234"/>
          </w:tcPr>
          <w:p>
            <w:r>
              <w:t>Session/JWT Expiry</w:t>
            </w:r>
          </w:p>
        </w:tc>
        <w:tc>
          <w:tcPr>
            <w:tcW w:type="dxa" w:w="1234"/>
          </w:tcPr>
          <w:p>
            <w:r>
              <w:t>routers/auth.py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24 hours (JWT_EXPIRATION)</w:t>
            </w:r>
          </w:p>
        </w:tc>
        <w:tc>
          <w:tcPr>
            <w:tcW w:type="dxa" w:w="1234"/>
          </w:tcPr>
          <w:p>
            <w:r>
              <w:t>User session management</w:t>
            </w:r>
          </w:p>
        </w:tc>
        <w:tc>
          <w:tcPr>
            <w:tcW w:type="dxa" w:w="1234"/>
          </w:tcPr>
          <w:p>
            <w:r>
              <w:t>Token decode test</w:t>
            </w:r>
          </w:p>
        </w:tc>
      </w:tr>
      <w:tr>
        <w:tc>
          <w:tcPr>
            <w:tcW w:type="dxa" w:w="1234"/>
          </w:tcPr>
          <w:p>
            <w:r>
              <w:t>ENV-006</w:t>
            </w:r>
          </w:p>
        </w:tc>
        <w:tc>
          <w:tcPr>
            <w:tcW w:type="dxa" w:w="1234"/>
          </w:tcPr>
          <w:p>
            <w:r>
              <w:t>File Upload</w:t>
            </w:r>
          </w:p>
        </w:tc>
        <w:tc>
          <w:tcPr>
            <w:tcW w:type="dxa" w:w="1234"/>
          </w:tcPr>
          <w:p>
            <w:r>
              <w:t>Frontend (base64)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Base64 JSON encoding in browser</w:t>
            </w:r>
          </w:p>
        </w:tc>
        <w:tc>
          <w:tcPr>
            <w:tcW w:type="dxa" w:w="1234"/>
          </w:tcPr>
          <w:p>
            <w:r>
              <w:t>Document upload for applications</w:t>
            </w:r>
          </w:p>
        </w:tc>
        <w:tc>
          <w:tcPr>
            <w:tcW w:type="dxa" w:w="1234"/>
          </w:tcPr>
          <w:p>
            <w:r>
              <w:t>Upload + view test</w:t>
            </w:r>
          </w:p>
        </w:tc>
      </w:tr>
      <w:tr>
        <w:tc>
          <w:tcPr>
            <w:tcW w:type="dxa" w:w="1234"/>
          </w:tcPr>
          <w:p>
            <w:r>
              <w:t>ENV-007</w:t>
            </w:r>
          </w:p>
        </w:tc>
        <w:tc>
          <w:tcPr>
            <w:tcW w:type="dxa" w:w="1234"/>
          </w:tcPr>
          <w:p>
            <w:r>
              <w:t>Application URL</w:t>
            </w:r>
          </w:p>
        </w:tc>
        <w:tc>
          <w:tcPr>
            <w:tcW w:type="dxa" w:w="1234"/>
          </w:tcPr>
          <w:p>
            <w:r>
              <w:t>backend/.env (APP_URL)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https://[production-domain]</w:t>
            </w:r>
          </w:p>
        </w:tc>
        <w:tc>
          <w:tcPr>
            <w:tcW w:type="dxa" w:w="1234"/>
          </w:tcPr>
          <w:p>
            <w:r>
              <w:t>Email notification links</w:t>
            </w:r>
          </w:p>
        </w:tc>
        <w:tc>
          <w:tcPr>
            <w:tcW w:type="dxa" w:w="1234"/>
          </w:tcPr>
          <w:p>
            <w:r>
              <w:t>Click link in email</w:t>
            </w:r>
          </w:p>
        </w:tc>
      </w:tr>
    </w:tbl>
    <w:p>
      <w:pPr>
        <w:pStyle w:val="Heading2"/>
      </w:pPr>
      <w:r>
        <w:t>3.2. Branding and User Interface (UI/UX)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Configuration 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New 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234"/>
          </w:tcPr>
          <w:p>
            <w:r>
              <w:t>UI-001</w:t>
            </w:r>
          </w:p>
        </w:tc>
        <w:tc>
          <w:tcPr>
            <w:tcW w:type="dxa" w:w="1234"/>
          </w:tcPr>
          <w:p>
            <w:r>
              <w:t>Primary Color</w:t>
            </w:r>
          </w:p>
        </w:tc>
        <w:tc>
          <w:tcPr>
            <w:tcW w:type="dxa" w:w="1234"/>
          </w:tcPr>
          <w:p>
            <w:r>
              <w:t>tailwind.config.js / CSS vars</w:t>
            </w:r>
          </w:p>
        </w:tc>
        <w:tc>
          <w:tcPr>
            <w:tcW w:type="dxa" w:w="1234"/>
          </w:tcPr>
          <w:p>
            <w:r>
              <w:t>#000000</w:t>
            </w:r>
          </w:p>
        </w:tc>
        <w:tc>
          <w:tcPr>
            <w:tcW w:type="dxa" w:w="1234"/>
          </w:tcPr>
          <w:p>
            <w:r>
              <w:t>#0056B3 (Sentech Blue)</w:t>
            </w:r>
          </w:p>
        </w:tc>
        <w:tc>
          <w:tcPr>
            <w:tcW w:type="dxa" w:w="1234"/>
          </w:tcPr>
          <w:p>
            <w:r>
              <w:t>Corporate Identity</w:t>
            </w:r>
          </w:p>
        </w:tc>
        <w:tc>
          <w:tcPr>
            <w:tcW w:type="dxa" w:w="1234"/>
          </w:tcPr>
          <w:p>
            <w:r>
              <w:t>Visual inspection</w:t>
            </w:r>
          </w:p>
        </w:tc>
      </w:tr>
      <w:tr>
        <w:tc>
          <w:tcPr>
            <w:tcW w:type="dxa" w:w="1234"/>
          </w:tcPr>
          <w:p>
            <w:r>
              <w:t>UI-002</w:t>
            </w:r>
          </w:p>
        </w:tc>
        <w:tc>
          <w:tcPr>
            <w:tcW w:type="dxa" w:w="1234"/>
          </w:tcPr>
          <w:p>
            <w:r>
              <w:t>Logo</w:t>
            </w:r>
          </w:p>
        </w:tc>
        <w:tc>
          <w:tcPr>
            <w:tcW w:type="dxa" w:w="1234"/>
          </w:tcPr>
          <w:p>
            <w:r>
              <w:t>Sidebar component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Sentech logo (SVG)</w:t>
            </w:r>
          </w:p>
        </w:tc>
        <w:tc>
          <w:tcPr>
            <w:tcW w:type="dxa" w:w="1234"/>
          </w:tcPr>
          <w:p>
            <w:r>
              <w:t>Brand recognition</w:t>
            </w:r>
          </w:p>
        </w:tc>
        <w:tc>
          <w:tcPr>
            <w:tcW w:type="dxa" w:w="1234"/>
          </w:tcPr>
          <w:p>
            <w:r>
              <w:t>Visual check</w:t>
            </w:r>
          </w:p>
        </w:tc>
      </w:tr>
      <w:tr>
        <w:tc>
          <w:tcPr>
            <w:tcW w:type="dxa" w:w="1234"/>
          </w:tcPr>
          <w:p>
            <w:r>
              <w:t>UI-003</w:t>
            </w:r>
          </w:p>
        </w:tc>
        <w:tc>
          <w:tcPr>
            <w:tcW w:type="dxa" w:w="1234"/>
          </w:tcPr>
          <w:p>
            <w:r>
              <w:t>Dashboard Layout</w:t>
            </w:r>
          </w:p>
        </w:tc>
        <w:tc>
          <w:tcPr>
            <w:tcW w:type="dxa" w:w="1234"/>
          </w:tcPr>
          <w:p>
            <w:r>
              <w:t>DashboardPage.jsx</w:t>
            </w:r>
          </w:p>
        </w:tc>
        <w:tc>
          <w:tcPr>
            <w:tcW w:type="dxa" w:w="1234"/>
          </w:tcPr>
          <w:p>
            <w:r>
              <w:t>Standard</w:t>
            </w:r>
          </w:p>
        </w:tc>
        <w:tc>
          <w:tcPr>
            <w:tcW w:type="dxa" w:w="1234"/>
          </w:tcPr>
          <w:p>
            <w:r>
              <w:t>Custom: Stat cards + Training Insights pie chart (Digital/All Trainings/Spend/Interns)</w:t>
            </w:r>
          </w:p>
        </w:tc>
        <w:tc>
          <w:tcPr>
            <w:tcW w:type="dxa" w:w="1234"/>
          </w:tcPr>
          <w:p>
            <w:r>
              <w:t>Executive KPI overview</w:t>
            </w:r>
          </w:p>
        </w:tc>
        <w:tc>
          <w:tcPr>
            <w:tcW w:type="dxa" w:w="1234"/>
          </w:tcPr>
          <w:p>
            <w:r>
              <w:t>Admin login test</w:t>
            </w:r>
          </w:p>
        </w:tc>
      </w:tr>
      <w:tr>
        <w:tc>
          <w:tcPr>
            <w:tcW w:type="dxa" w:w="1234"/>
          </w:tcPr>
          <w:p>
            <w:r>
              <w:t>UI-004</w:t>
            </w:r>
          </w:p>
        </w:tc>
        <w:tc>
          <w:tcPr>
            <w:tcW w:type="dxa" w:w="1234"/>
          </w:tcPr>
          <w:p>
            <w:r>
              <w:t>Font</w:t>
            </w:r>
          </w:p>
        </w:tc>
        <w:tc>
          <w:tcPr>
            <w:tcW w:type="dxa" w:w="1234"/>
          </w:tcPr>
          <w:p>
            <w:r>
              <w:t>index.css / Tailwind</w:t>
            </w:r>
          </w:p>
        </w:tc>
        <w:tc>
          <w:tcPr>
            <w:tcW w:type="dxa" w:w="1234"/>
          </w:tcPr>
          <w:p>
            <w:r>
              <w:t>System fonts</w:t>
            </w:r>
          </w:p>
        </w:tc>
        <w:tc>
          <w:tcPr>
            <w:tcW w:type="dxa" w:w="1234"/>
          </w:tcPr>
          <w:p>
            <w:r>
              <w:t>Custom heading + body fonts via CSS variables</w:t>
            </w:r>
          </w:p>
        </w:tc>
        <w:tc>
          <w:tcPr>
            <w:tcW w:type="dxa" w:w="1234"/>
          </w:tcPr>
          <w:p>
            <w:r>
              <w:t>Brand alignment</w:t>
            </w:r>
          </w:p>
        </w:tc>
        <w:tc>
          <w:tcPr>
            <w:tcW w:type="dxa" w:w="1234"/>
          </w:tcPr>
          <w:p>
            <w:r>
              <w:t>Visual check</w:t>
            </w:r>
          </w:p>
        </w:tc>
      </w:tr>
      <w:tr>
        <w:tc>
          <w:tcPr>
            <w:tcW w:type="dxa" w:w="1234"/>
          </w:tcPr>
          <w:p>
            <w:r>
              <w:t>UI-005</w:t>
            </w:r>
          </w:p>
        </w:tc>
        <w:tc>
          <w:tcPr>
            <w:tcW w:type="dxa" w:w="1234"/>
          </w:tcPr>
          <w:p>
            <w:r>
              <w:t>Sidebar Navigation</w:t>
            </w:r>
          </w:p>
        </w:tc>
        <w:tc>
          <w:tcPr>
            <w:tcW w:type="dxa" w:w="1234"/>
          </w:tcPr>
          <w:p>
            <w:r>
              <w:t>Layout.jsx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16 menu items: Dashboard, Bursary Apps, Training Apps, PDP, Training Track, Meetings, Events, Messages, Notes, MICTSETA Docs, Tickets, Notifications, Reports, Users, Settings, Udemy (external link to sentech.udemy.com)</w:t>
            </w:r>
          </w:p>
        </w:tc>
        <w:tc>
          <w:tcPr>
            <w:tcW w:type="dxa" w:w="1234"/>
          </w:tcPr>
          <w:p>
            <w:r>
              <w:t>Complete module access</w:t>
            </w:r>
          </w:p>
        </w:tc>
        <w:tc>
          <w:tcPr>
            <w:tcW w:type="dxa" w:w="1234"/>
          </w:tcPr>
          <w:p>
            <w:r>
              <w:t>Navigation test</w:t>
            </w:r>
          </w:p>
        </w:tc>
      </w:tr>
      <w:tr>
        <w:tc>
          <w:tcPr>
            <w:tcW w:type="dxa" w:w="1234"/>
          </w:tcPr>
          <w:p>
            <w:r>
              <w:t>UI-006</w:t>
            </w:r>
          </w:p>
        </w:tc>
        <w:tc>
          <w:tcPr>
            <w:tcW w:type="dxa" w:w="1234"/>
          </w:tcPr>
          <w:p>
            <w:r>
              <w:t>Reports Charts</w:t>
            </w:r>
          </w:p>
        </w:tc>
        <w:tc>
          <w:tcPr>
            <w:tcW w:type="dxa" w:w="1234"/>
          </w:tcPr>
          <w:p>
            <w:r>
              <w:t>ReportsPage.jsx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Recharts: Pie, Bar, Horizontal Bar, Donut, Line, Area + zoom modal. Tabs: Demographics, Applications, Expenses, Tickets</w:t>
            </w:r>
          </w:p>
        </w:tc>
        <w:tc>
          <w:tcPr>
            <w:tcW w:type="dxa" w:w="1234"/>
          </w:tcPr>
          <w:p>
            <w:r>
              <w:t>Interactive data analysis</w:t>
            </w:r>
          </w:p>
        </w:tc>
        <w:tc>
          <w:tcPr>
            <w:tcW w:type="dxa" w:w="1234"/>
          </w:tcPr>
          <w:p>
            <w:r>
              <w:t>Visual + data check</w:t>
            </w:r>
          </w:p>
        </w:tc>
      </w:tr>
    </w:tbl>
    <w:p>
      <w:pPr>
        <w:pStyle w:val="Heading2"/>
      </w:pPr>
      <w:r>
        <w:t>3.3. Integration and External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Integration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INT-001</w:t>
            </w:r>
          </w:p>
        </w:tc>
        <w:tc>
          <w:tcPr>
            <w:tcW w:type="dxa" w:w="1440"/>
          </w:tcPr>
          <w:p>
            <w:r>
              <w:t>SMTP Email (SSL)</w:t>
            </w:r>
          </w:p>
        </w:tc>
        <w:tc>
          <w:tcPr>
            <w:tcW w:type="dxa" w:w="1440"/>
          </w:tcPr>
          <w:p>
            <w:r>
              <w:t>SMTP Host</w:t>
            </w:r>
          </w:p>
        </w:tc>
        <w:tc>
          <w:tcPr>
            <w:tcW w:type="dxa" w:w="1440"/>
          </w:tcPr>
          <w:p>
            <w:r>
              <w:t>backend/.env</w:t>
            </w:r>
          </w:p>
        </w:tc>
        <w:tc>
          <w:tcPr>
            <w:tcW w:type="dxa" w:w="1440"/>
          </w:tcPr>
          <w:p>
            <w:r>
              <w:t>mail.exclusivehosting.net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INT-002</w:t>
            </w:r>
          </w:p>
        </w:tc>
        <w:tc>
          <w:tcPr>
            <w:tcW w:type="dxa" w:w="1440"/>
          </w:tcPr>
          <w:p>
            <w:r>
              <w:t>SMTP Email (SSL)</w:t>
            </w:r>
          </w:p>
        </w:tc>
        <w:tc>
          <w:tcPr>
            <w:tcW w:type="dxa" w:w="1440"/>
          </w:tcPr>
          <w:p>
            <w:r>
              <w:t>SMTP Port / Username</w:t>
            </w:r>
          </w:p>
        </w:tc>
        <w:tc>
          <w:tcPr>
            <w:tcW w:type="dxa" w:w="1440"/>
          </w:tcPr>
          <w:p>
            <w:r>
              <w:t>backend/.env</w:t>
            </w:r>
          </w:p>
        </w:tc>
        <w:tc>
          <w:tcPr>
            <w:tcW w:type="dxa" w:w="1440"/>
          </w:tcPr>
          <w:p>
            <w:r>
              <w:t>465 / hr@sentechportal.com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INT-003</w:t>
            </w:r>
          </w:p>
        </w:tc>
        <w:tc>
          <w:tcPr>
            <w:tcW w:type="dxa" w:w="1440"/>
          </w:tcPr>
          <w:p>
            <w:r>
              <w:t>SMTP Email (SSL)</w:t>
            </w:r>
          </w:p>
        </w:tc>
        <w:tc>
          <w:tcPr>
            <w:tcW w:type="dxa" w:w="1440"/>
          </w:tcPr>
          <w:p>
            <w:r>
              <w:t>SMTP Password</w:t>
            </w:r>
          </w:p>
        </w:tc>
        <w:tc>
          <w:tcPr>
            <w:tcW w:type="dxa" w:w="1440"/>
          </w:tcPr>
          <w:p>
            <w:r>
              <w:t>backend/.env</w:t>
            </w:r>
          </w:p>
        </w:tc>
        <w:tc>
          <w:tcPr>
            <w:tcW w:type="dxa" w:w="1440"/>
          </w:tcPr>
          <w:p>
            <w:r>
              <w:t>[MASKED]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INT-004</w:t>
            </w:r>
          </w:p>
        </w:tc>
        <w:tc>
          <w:tcPr>
            <w:tcW w:type="dxa" w:w="1440"/>
          </w:tcPr>
          <w:p>
            <w:r>
              <w:t>Udemy (External Link)</w:t>
            </w:r>
          </w:p>
        </w:tc>
        <w:tc>
          <w:tcPr>
            <w:tcW w:type="dxa" w:w="1440"/>
          </w:tcPr>
          <w:p>
            <w:r>
              <w:t>URL</w:t>
            </w:r>
          </w:p>
        </w:tc>
        <w:tc>
          <w:tcPr>
            <w:tcW w:type="dxa" w:w="1440"/>
          </w:tcPr>
          <w:p>
            <w:r>
              <w:t>Layout.jsx sidebar</w:t>
            </w:r>
          </w:p>
        </w:tc>
        <w:tc>
          <w:tcPr>
            <w:tcW w:type="dxa" w:w="1440"/>
          </w:tcPr>
          <w:p>
            <w:r>
              <w:t>https://sentech.udemy.com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INT-005</w:t>
            </w:r>
          </w:p>
        </w:tc>
        <w:tc>
          <w:tcPr>
            <w:tcW w:type="dxa" w:w="1440"/>
          </w:tcPr>
          <w:p>
            <w:r>
              <w:t>Microsoft SSO (OAuth)</w:t>
            </w:r>
          </w:p>
        </w:tc>
        <w:tc>
          <w:tcPr>
            <w:tcW w:type="dxa" w:w="1440"/>
          </w:tcPr>
          <w:p>
            <w:r>
              <w:t>Client ID / Tenant ID</w:t>
            </w:r>
          </w:p>
        </w:tc>
        <w:tc>
          <w:tcPr>
            <w:tcW w:type="dxa" w:w="1440"/>
          </w:tcPr>
          <w:p>
            <w:r>
              <w:t>backend/.env</w:t>
            </w:r>
          </w:p>
        </w:tc>
        <w:tc>
          <w:tcPr>
            <w:tcW w:type="dxa" w:w="1440"/>
          </w:tcPr>
          <w:p>
            <w:r>
              <w:t>[PENDING - Requires Azure AD credentials from Sentech IT]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</w:tbl>
    <w:p>
      <w:pPr>
        <w:pStyle w:val="Heading2"/>
      </w:pPr>
      <w:r>
        <w:t>3.4. Custom Modules and Functional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Setting/File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1440"/>
          </w:tcPr>
          <w:p>
            <w:r>
              <w:t>MOD-001</w:t>
            </w:r>
          </w:p>
        </w:tc>
        <w:tc>
          <w:tcPr>
            <w:tcW w:type="dxa" w:w="1440"/>
          </w:tcPr>
          <w:p>
            <w:r>
              <w:t>Bursary Applications</w:t>
            </w:r>
          </w:p>
        </w:tc>
        <w:tc>
          <w:tcPr>
            <w:tcW w:type="dxa" w:w="1440"/>
          </w:tcPr>
          <w:p>
            <w:r>
              <w:t>Application workflow</w:t>
            </w:r>
          </w:p>
        </w:tc>
        <w:tc>
          <w:tcPr>
            <w:tcW w:type="dxa" w:w="1440"/>
          </w:tcPr>
          <w:p>
            <w:r>
              <w:t>NewApplicationPage.jsx + applications.py</w:t>
            </w:r>
          </w:p>
        </w:tc>
        <w:tc>
          <w:tcPr>
            <w:tcW w:type="dxa" w:w="1440"/>
          </w:tcPr>
          <w:p>
            <w:r>
              <w:t>4-step form: Personal Info &gt; Employment &gt; Academic/Bursary &gt; Documents. Status: draft &gt; pending &gt; approved/rejected</w:t>
            </w:r>
          </w:p>
        </w:tc>
        <w:tc>
          <w:tcPr>
            <w:tcW w:type="dxa" w:w="1440"/>
          </w:tcPr>
          <w:p>
            <w:r>
              <w:t>Structured application process</w:t>
            </w:r>
          </w:p>
        </w:tc>
      </w:tr>
      <w:tr>
        <w:tc>
          <w:tcPr>
            <w:tcW w:type="dxa" w:w="1440"/>
          </w:tcPr>
          <w:p>
            <w:r>
              <w:t>MOD-002</w:t>
            </w:r>
          </w:p>
        </w:tc>
        <w:tc>
          <w:tcPr>
            <w:tcW w:type="dxa" w:w="1440"/>
          </w:tcPr>
          <w:p>
            <w:r>
              <w:t>Bursary Applications</w:t>
            </w:r>
          </w:p>
        </w:tc>
        <w:tc>
          <w:tcPr>
            <w:tcW w:type="dxa" w:w="1440"/>
          </w:tcPr>
          <w:p>
            <w:r>
              <w:t>ID auto-populate</w:t>
            </w:r>
          </w:p>
        </w:tc>
        <w:tc>
          <w:tcPr>
            <w:tcW w:type="dxa" w:w="1440"/>
          </w:tcPr>
          <w:p>
            <w:r>
              <w:t>users.py (lookup-by-id)</w:t>
            </w:r>
          </w:p>
        </w:tc>
        <w:tc>
          <w:tcPr>
            <w:tcW w:type="dxa" w:w="1440"/>
          </w:tcPr>
          <w:p>
            <w:r>
              <w:t>Enter 13-digit SA ID &gt; auto-fills: Name, Surname, Race, Gender, Division, Department, Position, Municipality, Date of Appointment, Years of Service. Fields become read-only after populate.</w:t>
            </w:r>
          </w:p>
        </w:tc>
        <w:tc>
          <w:tcPr>
            <w:tcW w:type="dxa" w:w="1440"/>
          </w:tcPr>
          <w:p>
            <w:r>
              <w:t>Prevent duplicate entry and data errors</w:t>
            </w:r>
          </w:p>
        </w:tc>
      </w:tr>
      <w:tr>
        <w:tc>
          <w:tcPr>
            <w:tcW w:type="dxa" w:w="1440"/>
          </w:tcPr>
          <w:p>
            <w:r>
              <w:t>MOD-003</w:t>
            </w:r>
          </w:p>
        </w:tc>
        <w:tc>
          <w:tcPr>
            <w:tcW w:type="dxa" w:w="1440"/>
          </w:tcPr>
          <w:p>
            <w:r>
              <w:t>Bursary Applications</w:t>
            </w:r>
          </w:p>
        </w:tc>
        <w:tc>
          <w:tcPr>
            <w:tcW w:type="dxa" w:w="1440"/>
          </w:tcPr>
          <w:p>
            <w:r>
              <w:t>Employment eligibility</w:t>
            </w:r>
          </w:p>
        </w:tc>
        <w:tc>
          <w:tcPr>
            <w:tcW w:type="dxa" w:w="1440"/>
          </w:tcPr>
          <w:p>
            <w:r>
              <w:t>NewApplicationPage.jsx</w:t>
            </w:r>
          </w:p>
        </w:tc>
        <w:tc>
          <w:tcPr>
            <w:tcW w:type="dxa" w:w="1440"/>
          </w:tcPr>
          <w:p>
            <w:r>
              <w:t>Block: Performance score &lt; 3, Temporary Contract, Permanent/5yr/3yr with &lt; 1 year service. Submit greyed out until all mandatory fields + docs filled.</w:t>
            </w:r>
          </w:p>
        </w:tc>
        <w:tc>
          <w:tcPr>
            <w:tcW w:type="dxa" w:w="1440"/>
          </w:tcPr>
          <w:p>
            <w:r>
              <w:t>Compliance with HR policy</w:t>
            </w:r>
          </w:p>
        </w:tc>
      </w:tr>
      <w:tr>
        <w:tc>
          <w:tcPr>
            <w:tcW w:type="dxa" w:w="1440"/>
          </w:tcPr>
          <w:p>
            <w:r>
              <w:t>MOD-004</w:t>
            </w:r>
          </w:p>
        </w:tc>
        <w:tc>
          <w:tcPr>
            <w:tcW w:type="dxa" w:w="1440"/>
          </w:tcPr>
          <w:p>
            <w:r>
              <w:t>Bursary Applications</w:t>
            </w:r>
          </w:p>
        </w:tc>
        <w:tc>
          <w:tcPr>
            <w:tcW w:type="dxa" w:w="1440"/>
          </w:tcPr>
          <w:p>
            <w:r>
              <w:t>Deadline enforcement</w:t>
            </w:r>
          </w:p>
        </w:tc>
        <w:tc>
          <w:tcPr>
            <w:tcW w:type="dxa" w:w="1440"/>
          </w:tcPr>
          <w:p>
            <w:r>
              <w:t>applications.py</w:t>
            </w:r>
          </w:p>
        </w:tc>
        <w:tc>
          <w:tcPr>
            <w:tcW w:type="dxa" w:w="1440"/>
          </w:tcPr>
          <w:p>
            <w:r>
              <w:t>Backend rejects submissions after bursary_deadline date at 23:59:59 UTC. Frontend disables submit.</w:t>
            </w:r>
          </w:p>
        </w:tc>
        <w:tc>
          <w:tcPr>
            <w:tcW w:type="dxa" w:w="1440"/>
          </w:tcPr>
          <w:p>
            <w:r>
              <w:t>Application period control</w:t>
            </w:r>
          </w:p>
        </w:tc>
      </w:tr>
      <w:tr>
        <w:tc>
          <w:tcPr>
            <w:tcW w:type="dxa" w:w="1440"/>
          </w:tcPr>
          <w:p>
            <w:r>
              <w:t>MOD-005</w:t>
            </w:r>
          </w:p>
        </w:tc>
        <w:tc>
          <w:tcPr>
            <w:tcW w:type="dxa" w:w="1440"/>
          </w:tcPr>
          <w:p>
            <w:r>
              <w:t>Training Applications</w:t>
            </w:r>
          </w:p>
        </w:tc>
        <w:tc>
          <w:tcPr>
            <w:tcW w:type="dxa" w:w="1440"/>
          </w:tcPr>
          <w:p>
            <w:r>
              <w:t>Application workflow</w:t>
            </w:r>
          </w:p>
        </w:tc>
        <w:tc>
          <w:tcPr>
            <w:tcW w:type="dxa" w:w="1440"/>
          </w:tcPr>
          <w:p>
            <w:r>
              <w:t>TrainingApplicationPage.jsx + applications.py</w:t>
            </w:r>
          </w:p>
        </w:tc>
        <w:tc>
          <w:tcPr>
            <w:tcW w:type="dxa" w:w="1440"/>
          </w:tcPr>
          <w:p>
            <w:r>
              <w:t>4-step form. Supplier Types: Preferred Local, Preferred International, SCM Route, Internal Training (Sentech). No performance/service restrictions.</w:t>
            </w:r>
          </w:p>
        </w:tc>
        <w:tc>
          <w:tcPr>
            <w:tcW w:type="dxa" w:w="1440"/>
          </w:tcPr>
          <w:p>
            <w:r>
              <w:t>Flexible training request process</w:t>
            </w:r>
          </w:p>
        </w:tc>
      </w:tr>
      <w:tr>
        <w:tc>
          <w:tcPr>
            <w:tcW w:type="dxa" w:w="1440"/>
          </w:tcPr>
          <w:p>
            <w:r>
              <w:t>MOD-006</w:t>
            </w:r>
          </w:p>
        </w:tc>
        <w:tc>
          <w:tcPr>
            <w:tcW w:type="dxa" w:w="1440"/>
          </w:tcPr>
          <w:p>
            <w:r>
              <w:t>Training Applications</w:t>
            </w:r>
          </w:p>
        </w:tc>
        <w:tc>
          <w:tcPr>
            <w:tcW w:type="dxa" w:w="1440"/>
          </w:tcPr>
          <w:p>
            <w:r>
              <w:t>Document rules</w:t>
            </w:r>
          </w:p>
        </w:tc>
        <w:tc>
          <w:tcPr>
            <w:tcW w:type="dxa" w:w="1440"/>
          </w:tcPr>
          <w:p>
            <w:r>
              <w:t>TrainingApplicationPage.jsx</w:t>
            </w:r>
          </w:p>
        </w:tc>
        <w:tc>
          <w:tcPr>
            <w:tcW w:type="dxa" w:w="1440"/>
          </w:tcPr>
          <w:p>
            <w:r>
              <w:t>Internal Training: no docs. SCM: scope of work only. Preferred Local: Quotation, SBD4, Consent, CSD, BBBEE. Preferred International: Quotation, SBD1, Consent (no CSD/BBBEE). Over R15k: add Motivation. Performance Contract removed entirely.</w:t>
            </w:r>
          </w:p>
        </w:tc>
        <w:tc>
          <w:tcPr>
            <w:tcW w:type="dxa" w:w="1440"/>
          </w:tcPr>
          <w:p>
            <w:r>
              <w:t>Procurement compliance</w:t>
            </w:r>
          </w:p>
        </w:tc>
      </w:tr>
      <w:tr>
        <w:tc>
          <w:tcPr>
            <w:tcW w:type="dxa" w:w="1440"/>
          </w:tcPr>
          <w:p>
            <w:r>
              <w:t>MOD-007</w:t>
            </w:r>
          </w:p>
        </w:tc>
        <w:tc>
          <w:tcPr>
            <w:tcW w:type="dxa" w:w="1440"/>
          </w:tcPr>
          <w:p>
            <w:r>
              <w:t>Training Applications</w:t>
            </w:r>
          </w:p>
        </w:tc>
        <w:tc>
          <w:tcPr>
            <w:tcW w:type="dxa" w:w="1440"/>
          </w:tcPr>
          <w:p>
            <w:r>
              <w:t>8-day training date rule</w:t>
            </w:r>
          </w:p>
        </w:tc>
        <w:tc>
          <w:tcPr>
            <w:tcW w:type="dxa" w:w="1440"/>
          </w:tcPr>
          <w:p>
            <w:r>
              <w:t>applications.py + TrainingApplicationPage.jsx</w:t>
            </w:r>
          </w:p>
        </w:tc>
        <w:tc>
          <w:tcPr>
            <w:tcW w:type="dxa" w:w="1440"/>
          </w:tcPr>
          <w:p>
            <w:r>
              <w:t>Training date must be &gt;= 8 days from today. Backend rejects, frontend prevents selection and greys out submit.</w:t>
            </w:r>
          </w:p>
        </w:tc>
        <w:tc>
          <w:tcPr>
            <w:tcW w:type="dxa" w:w="1440"/>
          </w:tcPr>
          <w:p>
            <w:r>
              <w:t>Approval lead time requirement</w:t>
            </w:r>
          </w:p>
        </w:tc>
      </w:tr>
      <w:tr>
        <w:tc>
          <w:tcPr>
            <w:tcW w:type="dxa" w:w="1440"/>
          </w:tcPr>
          <w:p>
            <w:r>
              <w:t>MOD-008</w:t>
            </w:r>
          </w:p>
        </w:tc>
        <w:tc>
          <w:tcPr>
            <w:tcW w:type="dxa" w:w="1440"/>
          </w:tcPr>
          <w:p>
            <w:r>
              <w:t>Training Applications</w:t>
            </w:r>
          </w:p>
        </w:tc>
        <w:tc>
          <w:tcPr>
            <w:tcW w:type="dxa" w:w="1440"/>
          </w:tcPr>
          <w:p>
            <w:r>
              <w:t>Field labels</w:t>
            </w:r>
          </w:p>
        </w:tc>
        <w:tc>
          <w:tcPr>
            <w:tcW w:type="dxa" w:w="1440"/>
          </w:tcPr>
          <w:p>
            <w:r>
              <w:t>TrainingApplicationPage.jsx</w:t>
            </w:r>
          </w:p>
        </w:tc>
        <w:tc>
          <w:tcPr>
            <w:tcW w:type="dxa" w:w="1440"/>
          </w:tcPr>
          <w:p>
            <w:r>
              <w:t>Training Delivery renamed to Training Type. Training Type renamed to Training Name.</w:t>
            </w:r>
          </w:p>
        </w:tc>
        <w:tc>
          <w:tcPr>
            <w:tcW w:type="dxa" w:w="1440"/>
          </w:tcPr>
          <w:p>
            <w:r>
              <w:t>User clarity per Sentech request</w:t>
            </w:r>
          </w:p>
        </w:tc>
      </w:tr>
      <w:tr>
        <w:tc>
          <w:tcPr>
            <w:tcW w:type="dxa" w:w="1440"/>
          </w:tcPr>
          <w:p>
            <w:r>
              <w:t>MOD-009</w:t>
            </w:r>
          </w:p>
        </w:tc>
        <w:tc>
          <w:tcPr>
            <w:tcW w:type="dxa" w:w="1440"/>
          </w:tcPr>
          <w:p>
            <w:r>
              <w:t>PDP Module</w:t>
            </w:r>
          </w:p>
        </w:tc>
        <w:tc>
          <w:tcPr>
            <w:tcW w:type="dxa" w:w="1440"/>
          </w:tcPr>
          <w:p>
            <w:r>
              <w:t>Approval workflow</w:t>
            </w:r>
          </w:p>
        </w:tc>
        <w:tc>
          <w:tcPr>
            <w:tcW w:type="dxa" w:w="1440"/>
          </w:tcPr>
          <w:p>
            <w:r>
              <w:t>pdp.py + PDPPage.jsx</w:t>
            </w:r>
          </w:p>
        </w:tc>
        <w:tc>
          <w:tcPr>
            <w:tcW w:type="dxa" w:w="1440"/>
          </w:tcPr>
          <w:p>
            <w:r>
              <w:t>Statuses: not_started &gt; in_progress &gt; pending_approval &gt; approved/rejected &gt; completed. Submit/Approve/Reject/L&amp;D Track buttons restricted by RBAC.</w:t>
            </w:r>
          </w:p>
        </w:tc>
        <w:tc>
          <w:tcPr>
            <w:tcW w:type="dxa" w:w="1440"/>
          </w:tcPr>
          <w:p>
            <w:r>
              <w:t>Performance development tracking</w:t>
            </w:r>
          </w:p>
        </w:tc>
      </w:tr>
      <w:tr>
        <w:tc>
          <w:tcPr>
            <w:tcW w:type="dxa" w:w="1440"/>
          </w:tcPr>
          <w:p>
            <w:r>
              <w:t>MOD-010</w:t>
            </w:r>
          </w:p>
        </w:tc>
        <w:tc>
          <w:tcPr>
            <w:tcW w:type="dxa" w:w="1440"/>
          </w:tcPr>
          <w:p>
            <w:r>
              <w:t>Reports &amp; Export</w:t>
            </w:r>
          </w:p>
        </w:tc>
        <w:tc>
          <w:tcPr>
            <w:tcW w:type="dxa" w:w="1440"/>
          </w:tcPr>
          <w:p>
            <w:r>
              <w:t>Sentech template export</w:t>
            </w:r>
          </w:p>
        </w:tc>
        <w:tc>
          <w:tcPr>
            <w:tcW w:type="dxa" w:w="1440"/>
          </w:tcPr>
          <w:p>
            <w:r>
              <w:t>reports.py + ReportsPage.jsx</w:t>
            </w:r>
          </w:p>
        </w:tc>
        <w:tc>
          <w:tcPr>
            <w:tcW w:type="dxa" w:w="1440"/>
          </w:tcPr>
          <w:p>
            <w:r>
              <w:t>All exports use Skills Development sheet (21 columns: Course name, Digital/non-digital, Provider, Date, Learner, ID, Gender, Race, Disabled, Age, Municipality, Costs x5, Business Unit, OFO x4) + Overhead Costs sheet. Only application-linked users exported.</w:t>
            </w:r>
          </w:p>
        </w:tc>
        <w:tc>
          <w:tcPr>
            <w:tcW w:type="dxa" w:w="1440"/>
          </w:tcPr>
          <w:p>
            <w:r>
              <w:t>MICT SETA reporting compliance</w:t>
            </w:r>
          </w:p>
        </w:tc>
      </w:tr>
      <w:tr>
        <w:tc>
          <w:tcPr>
            <w:tcW w:type="dxa" w:w="1440"/>
          </w:tcPr>
          <w:p>
            <w:r>
              <w:t>MOD-011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Demographic filters</w:t>
            </w:r>
          </w:p>
        </w:tc>
        <w:tc>
          <w:tcPr>
            <w:tcW w:type="dxa" w:w="1440"/>
          </w:tcPr>
          <w:p>
            <w:r>
              <w:t>reports.py + ReportsPage.jsx</w:t>
            </w:r>
          </w:p>
        </w:tc>
        <w:tc>
          <w:tcPr>
            <w:tcW w:type="dxa" w:w="1440"/>
          </w:tcPr>
          <w:p>
            <w:r>
              <w:t>Filters: Division, Department, Race, Gender, Application Status, Application Type (Bursary/Training), Age range, Date range. Gender chart added.</w:t>
            </w:r>
          </w:p>
        </w:tc>
        <w:tc>
          <w:tcPr>
            <w:tcW w:type="dxa" w:w="1440"/>
          </w:tcPr>
          <w:p>
            <w:r>
              <w:t>Granular analysis</w:t>
            </w:r>
          </w:p>
        </w:tc>
      </w:tr>
      <w:tr>
        <w:tc>
          <w:tcPr>
            <w:tcW w:type="dxa" w:w="1440"/>
          </w:tcPr>
          <w:p>
            <w:r>
              <w:t>MOD-012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Training Insights</w:t>
            </w:r>
          </w:p>
        </w:tc>
        <w:tc>
          <w:tcPr>
            <w:tcW w:type="dxa" w:w="1440"/>
          </w:tcPr>
          <w:p>
            <w:r>
              <w:t>DashboardPage.jsx + reports.py</w:t>
            </w:r>
          </w:p>
        </w:tc>
        <w:tc>
          <w:tcPr>
            <w:tcW w:type="dxa" w:w="1440"/>
          </w:tcPr>
          <w:p>
            <w:r>
              <w:t>Pie chart: Digital Trainings, All Trainings, Total Spend, Total Interns. 4 stat cards. Visible to admins/heads only.</w:t>
            </w:r>
          </w:p>
        </w:tc>
        <w:tc>
          <w:tcPr>
            <w:tcW w:type="dxa" w:w="1440"/>
          </w:tcPr>
          <w:p>
            <w:r>
              <w:t>Executive overview</w:t>
            </w:r>
          </w:p>
        </w:tc>
      </w:tr>
      <w:tr>
        <w:tc>
          <w:tcPr>
            <w:tcW w:type="dxa" w:w="1440"/>
          </w:tcPr>
          <w:p>
            <w:r>
              <w:t>MOD-013</w:t>
            </w:r>
          </w:p>
        </w:tc>
        <w:tc>
          <w:tcPr>
            <w:tcW w:type="dxa" w:w="1440"/>
          </w:tcPr>
          <w:p>
            <w:r>
              <w:t>Email Notifications</w:t>
            </w:r>
          </w:p>
        </w:tc>
        <w:tc>
          <w:tcPr>
            <w:tcW w:type="dxa" w:w="1440"/>
          </w:tcPr>
          <w:p>
            <w:r>
              <w:t>SMTP delivery</w:t>
            </w:r>
          </w:p>
        </w:tc>
        <w:tc>
          <w:tcPr>
            <w:tcW w:type="dxa" w:w="1440"/>
          </w:tcPr>
          <w:p>
            <w:r>
              <w:t>__init__.py + applications.py</w:t>
            </w:r>
          </w:p>
        </w:tc>
        <w:tc>
          <w:tcPr>
            <w:tcW w:type="dxa" w:w="1440"/>
          </w:tcPr>
          <w:p>
            <w:r>
              <w:t>HTML branded emails with "View in Sentech Portal" link. Triggered on: application submit (to admins/heads), status change (to applicant), unlock, re-edit request/approval.</w:t>
            </w:r>
          </w:p>
        </w:tc>
        <w:tc>
          <w:tcPr>
            <w:tcW w:type="dxa" w:w="1440"/>
          </w:tcPr>
          <w:p>
            <w:r>
              <w:t>Stakeholder communication</w:t>
            </w:r>
          </w:p>
        </w:tc>
      </w:tr>
      <w:tr>
        <w:tc>
          <w:tcPr>
            <w:tcW w:type="dxa" w:w="1440"/>
          </w:tcPr>
          <w:p>
            <w:r>
              <w:t>MOD-014</w:t>
            </w:r>
          </w:p>
        </w:tc>
        <w:tc>
          <w:tcPr>
            <w:tcW w:type="dxa" w:w="1440"/>
          </w:tcPr>
          <w:p>
            <w:r>
              <w:t>User Management</w:t>
            </w:r>
          </w:p>
        </w:tc>
        <w:tc>
          <w:tcPr>
            <w:tcW w:type="dxa" w:w="1440"/>
          </w:tcPr>
          <w:p>
            <w:r>
              <w:t>Manual add user</w:t>
            </w:r>
          </w:p>
        </w:tc>
        <w:tc>
          <w:tcPr>
            <w:tcW w:type="dxa" w:w="1440"/>
          </w:tcPr>
          <w:p>
            <w:r>
              <w:t>UsersPage.jsx + users.py</w:t>
            </w:r>
          </w:p>
        </w:tc>
        <w:tc>
          <w:tcPr>
            <w:tcW w:type="dxa" w:w="1440"/>
          </w:tcPr>
          <w:p>
            <w:r>
              <w:t>Admin "Add User" dialog: Email, Password, Name, Surname, ID Number, Role, Division, Department, Position, Gender, Race, Phone. Also CSV bulk import.</w:t>
            </w:r>
          </w:p>
        </w:tc>
        <w:tc>
          <w:tcPr>
            <w:tcW w:type="dxa" w:w="1440"/>
          </w:tcPr>
          <w:p>
            <w:r>
              <w:t>User provisioning</w:t>
            </w:r>
          </w:p>
        </w:tc>
      </w:tr>
      <w:tr>
        <w:tc>
          <w:tcPr>
            <w:tcW w:type="dxa" w:w="1440"/>
          </w:tcPr>
          <w:p>
            <w:r>
              <w:t>MOD-015</w:t>
            </w:r>
          </w:p>
        </w:tc>
        <w:tc>
          <w:tcPr>
            <w:tcW w:type="dxa" w:w="1440"/>
          </w:tcPr>
          <w:p>
            <w:r>
              <w:t>Years of Service</w:t>
            </w:r>
          </w:p>
        </w:tc>
        <w:tc>
          <w:tcPr>
            <w:tcW w:type="dxa" w:w="1440"/>
          </w:tcPr>
          <w:p>
            <w:r>
              <w:t>Display format</w:t>
            </w:r>
          </w:p>
        </w:tc>
        <w:tc>
          <w:tcPr>
            <w:tcW w:type="dxa" w:w="1440"/>
          </w:tcPr>
          <w:p>
            <w:r>
              <w:t>NewApplicationPage.jsx + TrainingApplicationPage.jsx</w:t>
            </w:r>
          </w:p>
        </w:tc>
        <w:tc>
          <w:tcPr>
            <w:tcW w:type="dxa" w:w="1440"/>
          </w:tcPr>
          <w:p>
            <w:r>
              <w:t>Shows "X years Y months" instead of decimal. Date format DD.MM.YYYY from DB converted to YYYY-MM-DD.</w:t>
            </w:r>
          </w:p>
        </w:tc>
        <w:tc>
          <w:tcPr>
            <w:tcW w:type="dxa" w:w="1440"/>
          </w:tcPr>
          <w:p>
            <w:r>
              <w:t>User clarity</w:t>
            </w:r>
          </w:p>
        </w:tc>
      </w:tr>
    </w:tbl>
    <w:p>
      <w:pPr>
        <w:pStyle w:val="Heading2"/>
      </w:pPr>
      <w:r>
        <w:t>3.5. Security and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Configuration 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New 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234"/>
          </w:tcPr>
          <w:p>
            <w:r>
              <w:t>SEC-001</w:t>
            </w:r>
          </w:p>
        </w:tc>
        <w:tc>
          <w:tcPr>
            <w:tcW w:type="dxa" w:w="1234"/>
          </w:tcPr>
          <w:p>
            <w:r>
              <w:t>Password Hashing</w:t>
            </w:r>
          </w:p>
        </w:tc>
        <w:tc>
          <w:tcPr>
            <w:tcW w:type="dxa" w:w="1234"/>
          </w:tcPr>
          <w:p>
            <w:r>
              <w:t>routers/auth.py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bcrypt (12 salt rounds)</w:t>
            </w:r>
          </w:p>
        </w:tc>
        <w:tc>
          <w:tcPr>
            <w:tcW w:type="dxa" w:w="1234"/>
          </w:tcPr>
          <w:p>
            <w:r>
              <w:t>Industry standard secure hashing</w:t>
            </w:r>
          </w:p>
        </w:tc>
        <w:tc>
          <w:tcPr>
            <w:tcW w:type="dxa" w:w="1234"/>
          </w:tcPr>
          <w:p>
            <w:r>
              <w:t>Login test</w:t>
            </w:r>
          </w:p>
        </w:tc>
      </w:tr>
      <w:tr>
        <w:tc>
          <w:tcPr>
            <w:tcW w:type="dxa" w:w="1234"/>
          </w:tcPr>
          <w:p>
            <w:r>
              <w:t>SEC-002</w:t>
            </w:r>
          </w:p>
        </w:tc>
        <w:tc>
          <w:tcPr>
            <w:tcW w:type="dxa" w:w="1234"/>
          </w:tcPr>
          <w:p>
            <w:r>
              <w:t>JWT Authentication</w:t>
            </w:r>
          </w:p>
        </w:tc>
        <w:tc>
          <w:tcPr>
            <w:tcW w:type="dxa" w:w="1234"/>
          </w:tcPr>
          <w:p>
            <w:r>
              <w:t>routers/auth.py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HS256, 24hr expiry, Bearer token scheme</w:t>
            </w:r>
          </w:p>
        </w:tc>
        <w:tc>
          <w:tcPr>
            <w:tcW w:type="dxa" w:w="1234"/>
          </w:tcPr>
          <w:p>
            <w:r>
              <w:t>Stateless API authentication</w:t>
            </w:r>
          </w:p>
        </w:tc>
        <w:tc>
          <w:tcPr>
            <w:tcW w:type="dxa" w:w="1234"/>
          </w:tcPr>
          <w:p>
            <w:r>
              <w:t>Token validation test</w:t>
            </w:r>
          </w:p>
        </w:tc>
      </w:tr>
      <w:tr>
        <w:tc>
          <w:tcPr>
            <w:tcW w:type="dxa" w:w="1234"/>
          </w:tcPr>
          <w:p>
            <w:r>
              <w:t>SEC-003</w:t>
            </w:r>
          </w:p>
        </w:tc>
        <w:tc>
          <w:tcPr>
            <w:tcW w:type="dxa" w:w="1234"/>
          </w:tcPr>
          <w:p>
            <w:r>
              <w:t>RBAC Roles</w:t>
            </w:r>
          </w:p>
        </w:tc>
        <w:tc>
          <w:tcPr>
            <w:tcW w:type="dxa" w:w="1234"/>
          </w:tcPr>
          <w:p>
            <w:r>
              <w:t>routers/__init__.py + auth.py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super_admin, admin, manager, professional, technician, clerical, employee, student. is_head flag for division/subgroup leaders.</w:t>
            </w:r>
          </w:p>
        </w:tc>
        <w:tc>
          <w:tcPr>
            <w:tcW w:type="dxa" w:w="1234"/>
          </w:tcPr>
          <w:p>
            <w:r>
              <w:t>Granular access control</w:t>
            </w:r>
          </w:p>
        </w:tc>
        <w:tc>
          <w:tcPr>
            <w:tcW w:type="dxa" w:w="1234"/>
          </w:tcPr>
          <w:p>
            <w:r>
              <w:t>Role-based UI test</w:t>
            </w:r>
          </w:p>
        </w:tc>
      </w:tr>
      <w:tr>
        <w:tc>
          <w:tcPr>
            <w:tcW w:type="dxa" w:w="1234"/>
          </w:tcPr>
          <w:p>
            <w:r>
              <w:t>SEC-004</w:t>
            </w:r>
          </w:p>
        </w:tc>
        <w:tc>
          <w:tcPr>
            <w:tcW w:type="dxa" w:w="1234"/>
          </w:tcPr>
          <w:p>
            <w:r>
              <w:t>Application Locking</w:t>
            </w:r>
          </w:p>
        </w:tc>
        <w:tc>
          <w:tcPr>
            <w:tcW w:type="dxa" w:w="1234"/>
          </w:tcPr>
          <w:p>
            <w:r>
              <w:t>applications.py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Applications auto-lock on submission. Only admins/heads can unlock. Employees see read-only locked view.</w:t>
            </w:r>
          </w:p>
        </w:tc>
        <w:tc>
          <w:tcPr>
            <w:tcW w:type="dxa" w:w="1234"/>
          </w:tcPr>
          <w:p>
            <w:r>
              <w:t>Prevent unauthorized edits</w:t>
            </w:r>
          </w:p>
        </w:tc>
        <w:tc>
          <w:tcPr>
            <w:tcW w:type="dxa" w:w="1234"/>
          </w:tcPr>
          <w:p>
            <w:r>
              <w:t>Lock/unlock test</w:t>
            </w:r>
          </w:p>
        </w:tc>
      </w:tr>
      <w:tr>
        <w:tc>
          <w:tcPr>
            <w:tcW w:type="dxa" w:w="1234"/>
          </w:tcPr>
          <w:p>
            <w:r>
              <w:t>SEC-005</w:t>
            </w:r>
          </w:p>
        </w:tc>
        <w:tc>
          <w:tcPr>
            <w:tcW w:type="dxa" w:w="1234"/>
          </w:tcPr>
          <w:p>
            <w:r>
              <w:t>Guest Access</w:t>
            </w:r>
          </w:p>
        </w:tc>
        <w:tc>
          <w:tcPr>
            <w:tcW w:type="dxa" w:w="1234"/>
          </w:tcPr>
          <w:p>
            <w:r>
              <w:t>Auth middleware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Disabled. All routes require JWT authentication.</w:t>
            </w:r>
          </w:p>
        </w:tc>
        <w:tc>
          <w:tcPr>
            <w:tcW w:type="dxa" w:w="1234"/>
          </w:tcPr>
          <w:p>
            <w:r>
              <w:t>Security hardening</w:t>
            </w:r>
          </w:p>
        </w:tc>
        <w:tc>
          <w:tcPr>
            <w:tcW w:type="dxa" w:w="1234"/>
          </w:tcPr>
          <w:p>
            <w:r>
              <w:t>Unauthenticated request test</w:t>
            </w:r>
          </w:p>
        </w:tc>
      </w:tr>
      <w:tr>
        <w:tc>
          <w:tcPr>
            <w:tcW w:type="dxa" w:w="1234"/>
          </w:tcPr>
          <w:p>
            <w:r>
              <w:t>SEC-006</w:t>
            </w:r>
          </w:p>
        </w:tc>
        <w:tc>
          <w:tcPr>
            <w:tcW w:type="dxa" w:w="1234"/>
          </w:tcPr>
          <w:p>
            <w:r>
              <w:t>CORS Policy</w:t>
            </w:r>
          </w:p>
        </w:tc>
        <w:tc>
          <w:tcPr>
            <w:tcW w:type="dxa" w:w="1234"/>
          </w:tcPr>
          <w:p>
            <w:r>
              <w:t>server.py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Allow origins: production domain only</w:t>
            </w:r>
          </w:p>
        </w:tc>
        <w:tc>
          <w:tcPr>
            <w:tcW w:type="dxa" w:w="1234"/>
          </w:tcPr>
          <w:p>
            <w:r>
              <w:t>Cross-origin protection</w:t>
            </w:r>
          </w:p>
        </w:tc>
        <w:tc>
          <w:tcPr>
            <w:tcW w:type="dxa" w:w="1234"/>
          </w:tcPr>
          <w:p>
            <w:r>
              <w:t>Browser dev tools check</w:t>
            </w:r>
          </w:p>
        </w:tc>
      </w:tr>
      <w:tr>
        <w:tc>
          <w:tcPr>
            <w:tcW w:type="dxa" w:w="1234"/>
          </w:tcPr>
          <w:p>
            <w:r>
              <w:t>SEC-007</w:t>
            </w:r>
          </w:p>
        </w:tc>
        <w:tc>
          <w:tcPr>
            <w:tcW w:type="dxa" w:w="1234"/>
          </w:tcPr>
          <w:p>
            <w:r>
              <w:t>Admin-only endpoints</w:t>
            </w:r>
          </w:p>
        </w:tc>
        <w:tc>
          <w:tcPr>
            <w:tcW w:type="dxa" w:w="1234"/>
          </w:tcPr>
          <w:p>
            <w:r>
              <w:t>All routers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User CRUD, settings, division management, report exports restricted to admin/super_admin roles</w:t>
            </w:r>
          </w:p>
        </w:tc>
        <w:tc>
          <w:tcPr>
            <w:tcW w:type="dxa" w:w="1234"/>
          </w:tcPr>
          <w:p>
            <w:r>
              <w:t>Data protection</w:t>
            </w:r>
          </w:p>
        </w:tc>
        <w:tc>
          <w:tcPr>
            <w:tcW w:type="dxa" w:w="1234"/>
          </w:tcPr>
          <w:p>
            <w:r>
              <w:t>Non-admin access test</w:t>
            </w:r>
          </w:p>
        </w:tc>
      </w:tr>
    </w:tbl>
    <w:p>
      <w:pPr>
        <w:pStyle w:val="Heading1"/>
      </w:pPr>
      <w:r>
        <w:t>4. Change Log and Audit Trail</w:t>
      </w:r>
    </w:p>
    <w:p>
      <w:r>
        <w:t>This section tracks all modifications made during the configuration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Change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Config IDs Affected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1440"/>
          </w:tcPr>
          <w:p>
            <w:r>
              <w:t>CHG-001</w:t>
            </w:r>
          </w:p>
        </w:tc>
        <w:tc>
          <w:tcPr>
            <w:tcW w:type="dxa" w:w="1440"/>
          </w:tcPr>
          <w:p>
            <w:r>
              <w:t>March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ENV-001 to ENV-007</w:t>
            </w:r>
          </w:p>
        </w:tc>
        <w:tc>
          <w:tcPr>
            <w:tcW w:type="dxa" w:w="1440"/>
          </w:tcPr>
          <w:p>
            <w:r>
              <w:t>Initial system setup: FastAPI + React + MongoDB on Azure VM. Backend modularised into 18 router files.</w:t>
            </w:r>
          </w:p>
        </w:tc>
        <w:tc>
          <w:tcPr>
            <w:tcW w:type="dxa" w:w="1440"/>
          </w:tcPr>
          <w:p>
            <w:r>
              <w:t>Phase 2 kickoff</w:t>
            </w:r>
          </w:p>
        </w:tc>
      </w:tr>
      <w:tr>
        <w:tc>
          <w:tcPr>
            <w:tcW w:type="dxa" w:w="1440"/>
          </w:tcPr>
          <w:p>
            <w:r>
              <w:t>CHG-002</w:t>
            </w:r>
          </w:p>
        </w:tc>
        <w:tc>
          <w:tcPr>
            <w:tcW w:type="dxa" w:w="1440"/>
          </w:tcPr>
          <w:p>
            <w:r>
              <w:t>March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MOD-001, MOD-002</w:t>
            </w:r>
          </w:p>
        </w:tc>
        <w:tc>
          <w:tcPr>
            <w:tcW w:type="dxa" w:w="1440"/>
          </w:tcPr>
          <w:p>
            <w:r>
              <w:t>Bursary application 4-step form with ID auto-populate from employee database.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CHG-003</w:t>
            </w:r>
          </w:p>
        </w:tc>
        <w:tc>
          <w:tcPr>
            <w:tcW w:type="dxa" w:w="1440"/>
          </w:tcPr>
          <w:p>
            <w:r>
              <w:t>March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MOD-003</w:t>
            </w:r>
          </w:p>
        </w:tc>
        <w:tc>
          <w:tcPr>
            <w:tcW w:type="dxa" w:w="1440"/>
          </w:tcPr>
          <w:p>
            <w:r>
              <w:t>Employment eligibility validation rules (performance score, contract type, years of service).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CHG-004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MOD-005, MOD-006</w:t>
            </w:r>
          </w:p>
        </w:tc>
        <w:tc>
          <w:tcPr>
            <w:tcW w:type="dxa" w:w="1440"/>
          </w:tcPr>
          <w:p>
            <w:r>
              <w:t>Training application form: Supplier Type dropdown, conditional documents, Internal Training auto-sets Sentech.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CHG-005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MOD-008</w:t>
            </w:r>
          </w:p>
        </w:tc>
        <w:tc>
          <w:tcPr>
            <w:tcW w:type="dxa" w:w="1440"/>
          </w:tcPr>
          <w:p>
            <w:r>
              <w:t>Renamed Training Delivery &gt; Training Type, Training Type &gt; Training Name per Sentech request.</w:t>
            </w:r>
          </w:p>
        </w:tc>
        <w:tc>
          <w:tcPr>
            <w:tcW w:type="dxa" w:w="1440"/>
          </w:tcPr>
          <w:p>
            <w:r>
              <w:t>User feedback</w:t>
            </w:r>
          </w:p>
        </w:tc>
      </w:tr>
      <w:tr>
        <w:tc>
          <w:tcPr>
            <w:tcW w:type="dxa" w:w="1440"/>
          </w:tcPr>
          <w:p>
            <w:r>
              <w:t>CHG-006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MOD-007</w:t>
            </w:r>
          </w:p>
        </w:tc>
        <w:tc>
          <w:tcPr>
            <w:tcW w:type="dxa" w:w="1440"/>
          </w:tcPr>
          <w:p>
            <w:r>
              <w:t>Added 8-day minimum training date enforcement (frontend + backend).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CHG-007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MOD-010, MOD-011</w:t>
            </w:r>
          </w:p>
        </w:tc>
        <w:tc>
          <w:tcPr>
            <w:tcW w:type="dxa" w:w="1440"/>
          </w:tcPr>
          <w:p>
            <w:r>
              <w:t>Reports export updated to Sentech XLSX template format. Gender filter + Application Type filter added.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CHG-008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MOD-012</w:t>
            </w:r>
          </w:p>
        </w:tc>
        <w:tc>
          <w:tcPr>
            <w:tcW w:type="dxa" w:w="1440"/>
          </w:tcPr>
          <w:p>
            <w:r>
              <w:t>Dashboard Training Insights: pie chart with 4 metrics + stat cards for admins/heads.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CHG-009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INT-001 to INT-003</w:t>
            </w:r>
          </w:p>
        </w:tc>
        <w:tc>
          <w:tcPr>
            <w:tcW w:type="dxa" w:w="1440"/>
          </w:tcPr>
          <w:p>
            <w:r>
              <w:t>SMTP email integration configured: mail.exclusivehosting.net:465 SSL. All notifications now send emails.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CHG-010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MOD-004</w:t>
            </w:r>
          </w:p>
        </w:tc>
        <w:tc>
          <w:tcPr>
            <w:tcW w:type="dxa" w:w="1440"/>
          </w:tcPr>
          <w:p>
            <w:r>
              <w:t>Bursary deadline enforcement: backend rejects after midnight on deadline date.</w:t>
            </w:r>
          </w:p>
        </w:tc>
        <w:tc>
          <w:tcPr>
            <w:tcW w:type="dxa" w:w="1440"/>
          </w:tcPr>
          <w:p>
            <w:r>
              <w:t>Sprint review</w:t>
            </w:r>
          </w:p>
        </w:tc>
      </w:tr>
      <w:tr>
        <w:tc>
          <w:tcPr>
            <w:tcW w:type="dxa" w:w="1440"/>
          </w:tcPr>
          <w:p>
            <w:r>
              <w:t>CHG-011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MOD-014</w:t>
            </w:r>
          </w:p>
        </w:tc>
        <w:tc>
          <w:tcPr>
            <w:tcW w:type="dxa" w:w="1440"/>
          </w:tcPr>
          <w:p>
            <w:r>
              <w:t>Added manual "Add User" dialog for admins on Users page.</w:t>
            </w:r>
          </w:p>
        </w:tc>
        <w:tc>
          <w:tcPr>
            <w:tcW w:type="dxa" w:w="1440"/>
          </w:tcPr>
          <w:p>
            <w:r>
              <w:t>User feedback</w:t>
            </w:r>
          </w:p>
        </w:tc>
      </w:tr>
      <w:tr>
        <w:tc>
          <w:tcPr>
            <w:tcW w:type="dxa" w:w="1440"/>
          </w:tcPr>
          <w:p>
            <w:r>
              <w:t>CHG-012</w:t>
            </w:r>
          </w:p>
        </w:tc>
        <w:tc>
          <w:tcPr>
            <w:tcW w:type="dxa" w:w="1440"/>
          </w:tcPr>
          <w:p>
            <w:r>
              <w:t>April 2026</w:t>
            </w:r>
          </w:p>
        </w:tc>
        <w:tc>
          <w:tcPr>
            <w:tcW w:type="dxa" w:w="1440"/>
          </w:tcPr>
          <w:p>
            <w:r>
              <w:t>R. Molukanele</w:t>
            </w:r>
          </w:p>
        </w:tc>
        <w:tc>
          <w:tcPr>
            <w:tcW w:type="dxa" w:w="1440"/>
          </w:tcPr>
          <w:p>
            <w:r>
              <w:t>MOD-015, MOD-002</w:t>
            </w:r>
          </w:p>
        </w:tc>
        <w:tc>
          <w:tcPr>
            <w:tcW w:type="dxa" w:w="1440"/>
          </w:tcPr>
          <w:p>
            <w:r>
              <w:t>Years of service display changed to "X years Y months". Auto-populated fields made read-only.</w:t>
            </w:r>
          </w:p>
        </w:tc>
        <w:tc>
          <w:tcPr>
            <w:tcW w:type="dxa" w:w="1440"/>
          </w:tcPr>
          <w:p>
            <w:r>
              <w:t>User feedback</w:t>
            </w:r>
          </w:p>
        </w:tc>
      </w:tr>
    </w:tbl>
    <w:p>
      <w:pPr>
        <w:pStyle w:val="Heading1"/>
      </w:pPr>
      <w:r>
        <w:t>5. Sign-off and Baseline Approval</w:t>
      </w:r>
    </w:p>
    <w:p>
      <w:r>
        <w:t>This section confirms that the documented configuration is accurate and approved for deployment to the production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 /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Sentech IT Lead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Moonlighter Group Technical Lead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Moonlighter Group Project Manager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