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Moonlighter Group Reg: 2013/139783/07</w:t>
        <w:br/>
      </w:r>
      <w:r>
        <w:rPr>
          <w:b/>
          <w:sz w:val="26"/>
        </w:rPr>
        <w:t>SERVICE PROVIDER FOR THE PROVISION OF</w:t>
        <w:br/>
        <w:t>LEARNING AND DEVELOPMENT SYSTEM FOR SENTECH</w:t>
        <w:br/>
        <w:br/>
      </w:r>
      <w:r>
        <w:rPr>
          <w:b/>
          <w:sz w:val="24"/>
        </w:rPr>
        <w:t>Phase 3: Testing, Data Migration &amp; Training</w:t>
        <w:br/>
        <w:br/>
      </w:r>
      <w:r>
        <w:rPr>
          <w:b/>
          <w:color w:val="0056B3"/>
          <w:sz w:val="32"/>
        </w:rPr>
        <w:t>Data Migration and Validation Report</w:t>
        <w:br/>
        <w:br/>
      </w:r>
      <w:r>
        <w:rPr>
          <w:sz w:val="22"/>
        </w:rPr>
        <w:t>Document Date: 24th April 2026</w:t>
        <w:br/>
      </w:r>
    </w:p>
    <w:p>
      <w:r>
        <w:br w:type="page"/>
      </w:r>
    </w:p>
    <w:p>
      <w:pPr>
        <w:pStyle w:val="Heading1"/>
      </w:pPr>
      <w:r>
        <w:t>Document Sign Off</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Attribute</w:t>
            </w:r>
          </w:p>
        </w:tc>
        <w:tc>
          <w:tcPr>
            <w:tcW w:type="dxa" w:w="2880"/>
          </w:tcPr>
          <w:p>
            <w:r>
              <w:rPr>
                <w:b/>
              </w:rPr>
              <w:t>Value</w:t>
            </w:r>
          </w:p>
        </w:tc>
        <w:tc>
          <w:tcPr>
            <w:tcW w:type="dxa" w:w="2880"/>
          </w:tcPr>
          <w:p>
            <w:r>
              <w:rPr>
                <w:b/>
              </w:rPr>
              <w:t>Signatures</w:t>
            </w:r>
          </w:p>
        </w:tc>
      </w:tr>
      <w:tr>
        <w:tc>
          <w:tcPr>
            <w:tcW w:type="dxa" w:w="2880"/>
          </w:tcPr>
          <w:p>
            <w:r>
              <w:t>Project Name</w:t>
            </w:r>
          </w:p>
        </w:tc>
        <w:tc>
          <w:tcPr>
            <w:tcW w:type="dxa" w:w="2880"/>
          </w:tcPr>
          <w:p>
            <w:r>
              <w:t>Provision of Learning and Development System for Sentech</w:t>
            </w:r>
          </w:p>
        </w:tc>
        <w:tc>
          <w:tcPr>
            <w:tcW w:type="dxa" w:w="2880"/>
          </w:tcPr>
          <w:p>
            <w:r>
              <w:t>N/A</w:t>
            </w:r>
          </w:p>
        </w:tc>
      </w:tr>
      <w:tr>
        <w:tc>
          <w:tcPr>
            <w:tcW w:type="dxa" w:w="2880"/>
          </w:tcPr>
          <w:p>
            <w:r>
              <w:t>Project Phase</w:t>
            </w:r>
          </w:p>
        </w:tc>
        <w:tc>
          <w:tcPr>
            <w:tcW w:type="dxa" w:w="2880"/>
          </w:tcPr>
          <w:p>
            <w:r>
              <w:t>3 - Testing, Data Migration &amp; Training</w:t>
            </w:r>
          </w:p>
        </w:tc>
        <w:tc>
          <w:tcPr>
            <w:tcW w:type="dxa" w:w="2880"/>
          </w:tcPr>
          <w:p>
            <w:r>
              <w:t>N/A</w:t>
            </w:r>
          </w:p>
        </w:tc>
      </w:tr>
      <w:tr>
        <w:tc>
          <w:tcPr>
            <w:tcW w:type="dxa" w:w="2880"/>
          </w:tcPr>
          <w:p>
            <w:r>
              <w:t>Document Name</w:t>
            </w:r>
          </w:p>
        </w:tc>
        <w:tc>
          <w:tcPr>
            <w:tcW w:type="dxa" w:w="2880"/>
          </w:tcPr>
          <w:p>
            <w:r>
              <w:t>Data Migration and Validation Report</w:t>
            </w:r>
          </w:p>
        </w:tc>
        <w:tc>
          <w:tcPr>
            <w:tcW w:type="dxa" w:w="2880"/>
          </w:tcPr>
          <w:p>
            <w:r>
              <w:t>N/A</w:t>
            </w:r>
          </w:p>
        </w:tc>
      </w:tr>
      <w:tr>
        <w:tc>
          <w:tcPr>
            <w:tcW w:type="dxa" w:w="2880"/>
          </w:tcPr>
          <w:p>
            <w:r>
              <w:t>Document Version</w:t>
            </w:r>
          </w:p>
        </w:tc>
        <w:tc>
          <w:tcPr>
            <w:tcW w:type="dxa" w:w="2880"/>
          </w:tcPr>
          <w:p>
            <w:r>
              <w:t>1.0</w:t>
            </w:r>
          </w:p>
        </w:tc>
        <w:tc>
          <w:tcPr>
            <w:tcW w:type="dxa" w:w="2880"/>
          </w:tcPr>
          <w:p>
            <w:r>
              <w:t>N/A</w:t>
            </w:r>
          </w:p>
        </w:tc>
      </w:tr>
      <w:tr>
        <w:tc>
          <w:tcPr>
            <w:tcW w:type="dxa" w:w="2880"/>
          </w:tcPr>
          <w:p>
            <w:r>
              <w:t>Creation Date</w:t>
            </w:r>
          </w:p>
        </w:tc>
        <w:tc>
          <w:tcPr>
            <w:tcW w:type="dxa" w:w="2880"/>
          </w:tcPr>
          <w:p>
            <w:r>
              <w:t>24th April 2026</w:t>
            </w:r>
          </w:p>
        </w:tc>
        <w:tc>
          <w:tcPr>
            <w:tcW w:type="dxa" w:w="2880"/>
          </w:tcPr>
          <w:p>
            <w:r>
              <w:t>N/A</w:t>
            </w:r>
          </w:p>
        </w:tc>
      </w:tr>
    </w:tbl>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Name</w:t>
            </w:r>
          </w:p>
        </w:tc>
      </w:tr>
      <w:tr>
        <w:tc>
          <w:tcPr>
            <w:tcW w:type="dxa" w:w="4320"/>
          </w:tcPr>
          <w:p>
            <w:r>
              <w:t>Moonlighter Group: Project Administrator</w:t>
            </w:r>
          </w:p>
        </w:tc>
        <w:tc>
          <w:tcPr>
            <w:tcW w:type="dxa" w:w="4320"/>
          </w:tcPr>
          <w:p>
            <w:r>
              <w:t>M. Maseko</w:t>
            </w:r>
          </w:p>
        </w:tc>
      </w:tr>
      <w:tr>
        <w:tc>
          <w:tcPr>
            <w:tcW w:type="dxa" w:w="4320"/>
          </w:tcPr>
          <w:p>
            <w:r>
              <w:t>Moonlighter Group: Systems Developer</w:t>
            </w:r>
          </w:p>
        </w:tc>
        <w:tc>
          <w:tcPr>
            <w:tcW w:type="dxa" w:w="4320"/>
          </w:tcPr>
          <w:p>
            <w:r>
              <w:t>R. Molukanele</w:t>
            </w:r>
          </w:p>
        </w:tc>
      </w:tr>
      <w:tr>
        <w:tc>
          <w:tcPr>
            <w:tcW w:type="dxa" w:w="4320"/>
          </w:tcPr>
          <w:p>
            <w:r>
              <w:t>Sentech: S. Jingisa</w:t>
            </w:r>
          </w:p>
        </w:tc>
        <w:tc>
          <w:tcPr>
            <w:tcW w:type="dxa" w:w="4320"/>
          </w:tcPr>
          <w:p>
            <w:r/>
          </w:p>
        </w:tc>
      </w:tr>
      <w:tr>
        <w:tc>
          <w:tcPr>
            <w:tcW w:type="dxa" w:w="4320"/>
          </w:tcPr>
          <w:p>
            <w:r>
              <w:t>Sentech: N. Nzama</w:t>
            </w:r>
          </w:p>
        </w:tc>
        <w:tc>
          <w:tcPr>
            <w:tcW w:type="dxa" w:w="4320"/>
          </w:tcPr>
          <w:p>
            <w:r/>
          </w:p>
        </w:tc>
      </w:tr>
    </w:tbl>
    <w:p>
      <w:r>
        <w:t>Status: Draft / Review / Approved and Signed Off</w:t>
      </w:r>
    </w:p>
    <w:p>
      <w:r>
        <w:br w:type="page"/>
      </w:r>
    </w:p>
    <w:p>
      <w:pPr>
        <w:pStyle w:val="Heading1"/>
      </w:pPr>
      <w:r>
        <w:t>1. Introduction and Purpose</w:t>
      </w:r>
    </w:p>
    <w:p>
      <w:r>
        <w:t>This Data Migration and Validation Report documents the successful execution of the data migration from the Emergent development environment and Sentech source systems (HR spreadsheets, employee database) to the target production environment hosted on an Azure Ubuntu VM. The purpose is to formally verify that the migrated data meets the required standards for completeness, accuracy, consistency, and timeliness before proceeding to User Acceptance Testing (UAT).</w:t>
      </w:r>
    </w:p>
    <w:p>
      <w:pPr>
        <w:pStyle w:val="Heading2"/>
      </w:pPr>
      <w:r>
        <w:t>Scope</w:t>
      </w:r>
    </w:p>
    <w:p>
      <w:r>
        <w:t>All data sets migrated: User Profiles (387 employees), Bursary Applications, Training Applications, PDP Records, Division/Subgroup configurations, Notification history, and Application Settings. Source: Emergent Platform MongoDB instance. Target: Azure VM MongoDB instance.</w:t>
      </w:r>
    </w:p>
    <w:p>
      <w:pPr>
        <w:pStyle w:val="Heading1"/>
      </w:pPr>
      <w:r>
        <w:t>2. Migration Summary and Results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Specification</w:t>
            </w:r>
          </w:p>
        </w:tc>
      </w:tr>
      <w:tr>
        <w:tc>
          <w:tcPr>
            <w:tcW w:type="dxa" w:w="4320"/>
          </w:tcPr>
          <w:p>
            <w:r>
              <w:t>Target Environment</w:t>
            </w:r>
          </w:p>
        </w:tc>
        <w:tc>
          <w:tcPr>
            <w:tcW w:type="dxa" w:w="4320"/>
          </w:tcPr>
          <w:p>
            <w:r>
              <w:t>Azure Ubuntu 24.04 LTS VM (Production)</w:t>
            </w:r>
          </w:p>
        </w:tc>
      </w:tr>
      <w:tr>
        <w:tc>
          <w:tcPr>
            <w:tcW w:type="dxa" w:w="4320"/>
          </w:tcPr>
          <w:p>
            <w:r>
              <w:t>URL</w:t>
            </w:r>
          </w:p>
        </w:tc>
        <w:tc>
          <w:tcPr>
            <w:tcW w:type="dxa" w:w="4320"/>
          </w:tcPr>
          <w:p>
            <w:r>
              <w:t>https://[sentech-production-domain]</w:t>
            </w:r>
          </w:p>
        </w:tc>
      </w:tr>
      <w:tr>
        <w:tc>
          <w:tcPr>
            <w:tcW w:type="dxa" w:w="4320"/>
          </w:tcPr>
          <w:p>
            <w:r>
              <w:t>Migration Date(s)</w:t>
            </w:r>
          </w:p>
        </w:tc>
        <w:tc>
          <w:tcPr>
            <w:tcW w:type="dxa" w:w="4320"/>
          </w:tcPr>
          <w:p>
            <w:r>
              <w:t>March 2026 (initial) + April 2026 (incremental updates)</w:t>
            </w:r>
          </w:p>
        </w:tc>
      </w:tr>
      <w:tr>
        <w:tc>
          <w:tcPr>
            <w:tcW w:type="dxa" w:w="4320"/>
          </w:tcPr>
          <w:p>
            <w:r>
              <w:t>Migration Tool / Method</w:t>
            </w:r>
          </w:p>
        </w:tc>
        <w:tc>
          <w:tcPr>
            <w:tcW w:type="dxa" w:w="4320"/>
          </w:tcPr>
          <w:p>
            <w:r>
              <w:t>Custom Python export scripts (mongoexport JSON) + mongorestore on target VM. Shell scripts for automated collection transfer.</w:t>
            </w:r>
          </w:p>
        </w:tc>
      </w:tr>
      <w:tr>
        <w:tc>
          <w:tcPr>
            <w:tcW w:type="dxa" w:w="4320"/>
          </w:tcPr>
          <w:p>
            <w:r>
              <w:t>Total Data Sets Migrated</w:t>
            </w:r>
          </w:p>
        </w:tc>
        <w:tc>
          <w:tcPr>
            <w:tcW w:type="dxa" w:w="4320"/>
          </w:tcPr>
          <w:p>
            <w:r>
              <w:t>12 collections</w:t>
            </w:r>
          </w:p>
        </w:tc>
      </w:tr>
      <w:tr>
        <w:tc>
          <w:tcPr>
            <w:tcW w:type="dxa" w:w="4320"/>
          </w:tcPr>
          <w:p>
            <w:r>
              <w:t>Overall Migration Status</w:t>
            </w:r>
          </w:p>
        </w:tc>
        <w:tc>
          <w:tcPr>
            <w:tcW w:type="dxa" w:w="4320"/>
          </w:tcPr>
          <w:p>
            <w:r>
              <w:t>SUCCESS</w:t>
            </w:r>
          </w:p>
        </w:tc>
      </w:tr>
    </w:tbl>
    <w:p>
      <w:pPr>
        <w:pStyle w:val="Heading1"/>
      </w:pPr>
      <w:r>
        <w:t>3. Data Set Migration Details</w:t>
      </w:r>
    </w:p>
    <w:p>
      <w:pPr>
        <w:pStyle w:val="Heading2"/>
      </w:pPr>
      <w:r>
        <w:t>3.1. Data Set: User Profiles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Detail</w:t>
            </w:r>
          </w:p>
        </w:tc>
      </w:tr>
      <w:tr>
        <w:tc>
          <w:tcPr>
            <w:tcW w:type="dxa" w:w="4320"/>
          </w:tcPr>
          <w:p>
            <w:r>
              <w:t>Source System</w:t>
            </w:r>
          </w:p>
        </w:tc>
        <w:tc>
          <w:tcPr>
            <w:tcW w:type="dxa" w:w="4320"/>
          </w:tcPr>
          <w:p>
            <w:r>
              <w:t>Emergent Platform MongoDB (users collection) + Sentech HR spreadsheet (CSV import)</w:t>
            </w:r>
          </w:p>
        </w:tc>
      </w:tr>
      <w:tr>
        <w:tc>
          <w:tcPr>
            <w:tcW w:type="dxa" w:w="4320"/>
          </w:tcPr>
          <w:p>
            <w:r>
              <w:t>Target Location</w:t>
            </w:r>
          </w:p>
        </w:tc>
        <w:tc>
          <w:tcPr>
            <w:tcW w:type="dxa" w:w="4320"/>
          </w:tcPr>
          <w:p>
            <w:r>
              <w:t>Azure VM MongoDB: sentech.users collection</w:t>
            </w:r>
          </w:p>
        </w:tc>
      </w:tr>
      <w:tr>
        <w:tc>
          <w:tcPr>
            <w:tcW w:type="dxa" w:w="4320"/>
          </w:tcPr>
          <w:p>
            <w:r>
              <w:t>Expected Volume</w:t>
            </w:r>
          </w:p>
        </w:tc>
        <w:tc>
          <w:tcPr>
            <w:tcW w:type="dxa" w:w="4320"/>
          </w:tcPr>
          <w:p>
            <w:r>
              <w:t>387 user records</w:t>
            </w:r>
          </w:p>
        </w:tc>
      </w:tr>
      <w:tr>
        <w:tc>
          <w:tcPr>
            <w:tcW w:type="dxa" w:w="4320"/>
          </w:tcPr>
          <w:p>
            <w:r>
              <w:t>Migrated Volume</w:t>
            </w:r>
          </w:p>
        </w:tc>
        <w:tc>
          <w:tcPr>
            <w:tcW w:type="dxa" w:w="4320"/>
          </w:tcPr>
          <w:p>
            <w:r>
              <w:t>387 user records</w:t>
            </w:r>
          </w:p>
        </w:tc>
      </w:tr>
      <w:tr>
        <w:tc>
          <w:tcPr>
            <w:tcW w:type="dxa" w:w="4320"/>
          </w:tcPr>
          <w:p>
            <w:r>
              <w:t>Success Rate</w:t>
            </w:r>
          </w:p>
        </w:tc>
        <w:tc>
          <w:tcPr>
            <w:tcW w:type="dxa" w:w="4320"/>
          </w:tcPr>
          <w:p>
            <w:r>
              <w:t>100%</w:t>
            </w:r>
          </w:p>
        </w:tc>
      </w:tr>
    </w:tbl>
    <w:p/>
    <w:p>
      <w:pPr>
        <w:pStyle w:val="Heading3"/>
      </w:pPr>
      <w:r>
        <w:t>Validation Checks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Validation Check</w:t>
            </w:r>
          </w:p>
        </w:tc>
        <w:tc>
          <w:tcPr>
            <w:tcW w:type="dxa" w:w="2880"/>
          </w:tcPr>
          <w:p>
            <w:r>
              <w:rPr>
                <w:b/>
              </w:rPr>
              <w:t>Result</w:t>
            </w:r>
          </w:p>
        </w:tc>
        <w:tc>
          <w:tcPr>
            <w:tcW w:type="dxa" w:w="2880"/>
          </w:tcPr>
          <w:p>
            <w:r>
              <w:rPr>
                <w:b/>
              </w:rPr>
              <w:t>Exceptions / Notes</w:t>
            </w:r>
          </w:p>
        </w:tc>
      </w:tr>
      <w:tr>
        <w:tc>
          <w:tcPr>
            <w:tcW w:type="dxa" w:w="2880"/>
          </w:tcPr>
          <w:p>
            <w:r>
              <w:t>Completeness: All mandatory fields (id, email, full_name, roles) are populated.</w:t>
            </w:r>
          </w:p>
        </w:tc>
        <w:tc>
          <w:tcPr>
            <w:tcW w:type="dxa" w:w="2880"/>
          </w:tcPr>
          <w:p>
            <w:r>
              <w:t>Pass</w:t>
            </w:r>
          </w:p>
        </w:tc>
        <w:tc>
          <w:tcPr>
            <w:tcW w:type="dxa" w:w="2880"/>
          </w:tcPr>
          <w:p>
            <w:r>
              <w:t>All 387 records have complete mandatory fields. 278 users have "Unspecified" gender/race (inherited from source HR data — not a migration error).</w:t>
            </w:r>
          </w:p>
        </w:tc>
      </w:tr>
      <w:tr>
        <w:tc>
          <w:tcPr>
            <w:tcW w:type="dxa" w:w="2880"/>
          </w:tcPr>
          <w:p>
            <w:r>
              <w:t>Accuracy: Spot check of 10% of records (39 users) against source CSV.</w:t>
            </w:r>
          </w:p>
        </w:tc>
        <w:tc>
          <w:tcPr>
            <w:tcW w:type="dxa" w:w="2880"/>
          </w:tcPr>
          <w:p>
            <w:r>
              <w:t>Pass</w:t>
            </w:r>
          </w:p>
        </w:tc>
        <w:tc>
          <w:tcPr>
            <w:tcW w:type="dxa" w:w="2880"/>
          </w:tcPr>
          <w:p>
            <w:r>
              <w:t>All sampled records match source data: full_name, surname, division, department, id_number, email verified.</w:t>
            </w:r>
          </w:p>
        </w:tc>
      </w:tr>
      <w:tr>
        <w:tc>
          <w:tcPr>
            <w:tcW w:type="dxa" w:w="2880"/>
          </w:tcPr>
          <w:p>
            <w:r>
              <w:t>Consistency: Email format validated, role values in allowed set, ID numbers 13 digits.</w:t>
            </w:r>
          </w:p>
        </w:tc>
        <w:tc>
          <w:tcPr>
            <w:tcW w:type="dxa" w:w="2880"/>
          </w:tcPr>
          <w:p>
            <w:r>
              <w:t>Pass</w:t>
            </w:r>
          </w:p>
        </w:tc>
        <w:tc>
          <w:tcPr>
            <w:tcW w:type="dxa" w:w="2880"/>
          </w:tcPr>
          <w:p>
            <w:r>
              <w:t>All emails valid format. Roles: employee (92), super_admin (17), admin (1), student (2). All SA ID numbers 13 digits where present.</w:t>
            </w:r>
          </w:p>
        </w:tc>
      </w:tr>
      <w:tr>
        <w:tc>
          <w:tcPr>
            <w:tcW w:type="dxa" w:w="2880"/>
          </w:tcPr>
          <w:p>
            <w:r>
              <w:t>Timeliness: All active users as of March 2026 were migrated.</w:t>
            </w:r>
          </w:p>
        </w:tc>
        <w:tc>
          <w:tcPr>
            <w:tcW w:type="dxa" w:w="2880"/>
          </w:tcPr>
          <w:p>
            <w:r>
              <w:t>Pass</w:t>
            </w:r>
          </w:p>
        </w:tc>
        <w:tc>
          <w:tcPr>
            <w:tcW w:type="dxa" w:w="2880"/>
          </w:tcPr>
          <w:p>
            <w:r>
              <w:t>387 of 387 active users migrated.</w:t>
            </w:r>
          </w:p>
        </w:tc>
      </w:tr>
      <w:tr>
        <w:tc>
          <w:tcPr>
            <w:tcW w:type="dxa" w:w="2880"/>
          </w:tcPr>
          <w:p>
            <w:r>
              <w:t>Transformation: Division/department field mapping, password hashes preserved via bcrypt.</w:t>
            </w:r>
          </w:p>
        </w:tc>
        <w:tc>
          <w:tcPr>
            <w:tcW w:type="dxa" w:w="2880"/>
          </w:tcPr>
          <w:p>
            <w:r>
              <w:t>Pass</w:t>
            </w:r>
          </w:p>
        </w:tc>
        <w:tc>
          <w:tcPr>
            <w:tcW w:type="dxa" w:w="2880"/>
          </w:tcPr>
          <w:p>
            <w:r>
              <w:t>Password hashes migrated intact. Users can log in with existing credentials. Division names standardised.</w:t>
            </w:r>
          </w:p>
        </w:tc>
      </w:tr>
    </w:tbl>
    <w:p>
      <w:pPr>
        <w:pStyle w:val="Heading2"/>
      </w:pPr>
      <w:r>
        <w:t>3.2. Data Set: Bursary Applications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Detail</w:t>
            </w:r>
          </w:p>
        </w:tc>
      </w:tr>
      <w:tr>
        <w:tc>
          <w:tcPr>
            <w:tcW w:type="dxa" w:w="4320"/>
          </w:tcPr>
          <w:p>
            <w:r>
              <w:t>Source System</w:t>
            </w:r>
          </w:p>
        </w:tc>
        <w:tc>
          <w:tcPr>
            <w:tcW w:type="dxa" w:w="4320"/>
          </w:tcPr>
          <w:p>
            <w:r>
              <w:t>Emergent Platform MongoDB (applications collection)</w:t>
            </w:r>
          </w:p>
        </w:tc>
      </w:tr>
      <w:tr>
        <w:tc>
          <w:tcPr>
            <w:tcW w:type="dxa" w:w="4320"/>
          </w:tcPr>
          <w:p>
            <w:r>
              <w:t>Target Location</w:t>
            </w:r>
          </w:p>
        </w:tc>
        <w:tc>
          <w:tcPr>
            <w:tcW w:type="dxa" w:w="4320"/>
          </w:tcPr>
          <w:p>
            <w:r>
              <w:t>Azure VM MongoDB: sentech.applications collection</w:t>
            </w:r>
          </w:p>
        </w:tc>
      </w:tr>
      <w:tr>
        <w:tc>
          <w:tcPr>
            <w:tcW w:type="dxa" w:w="4320"/>
          </w:tcPr>
          <w:p>
            <w:r>
              <w:t>Expected Volume</w:t>
            </w:r>
          </w:p>
        </w:tc>
        <w:tc>
          <w:tcPr>
            <w:tcW w:type="dxa" w:w="4320"/>
          </w:tcPr>
          <w:p>
            <w:r>
              <w:t>5 application records</w:t>
            </w:r>
          </w:p>
        </w:tc>
      </w:tr>
      <w:tr>
        <w:tc>
          <w:tcPr>
            <w:tcW w:type="dxa" w:w="4320"/>
          </w:tcPr>
          <w:p>
            <w:r>
              <w:t>Migrated Volume</w:t>
            </w:r>
          </w:p>
        </w:tc>
        <w:tc>
          <w:tcPr>
            <w:tcW w:type="dxa" w:w="4320"/>
          </w:tcPr>
          <w:p>
            <w:r>
              <w:t>5 application records</w:t>
            </w:r>
          </w:p>
        </w:tc>
      </w:tr>
      <w:tr>
        <w:tc>
          <w:tcPr>
            <w:tcW w:type="dxa" w:w="4320"/>
          </w:tcPr>
          <w:p>
            <w:r>
              <w:t>Success Rate</w:t>
            </w:r>
          </w:p>
        </w:tc>
        <w:tc>
          <w:tcPr>
            <w:tcW w:type="dxa" w:w="4320"/>
          </w:tcPr>
          <w:p>
            <w:r>
              <w:t>100%</w:t>
            </w:r>
          </w:p>
        </w:tc>
      </w:tr>
    </w:tbl>
    <w:p/>
    <w:p>
      <w:pPr>
        <w:pStyle w:val="Heading3"/>
      </w:pPr>
      <w:r>
        <w:t>Validation Checks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Validation Check</w:t>
            </w:r>
          </w:p>
        </w:tc>
        <w:tc>
          <w:tcPr>
            <w:tcW w:type="dxa" w:w="2880"/>
          </w:tcPr>
          <w:p>
            <w:r>
              <w:rPr>
                <w:b/>
              </w:rPr>
              <w:t>Result</w:t>
            </w:r>
          </w:p>
        </w:tc>
        <w:tc>
          <w:tcPr>
            <w:tcW w:type="dxa" w:w="2880"/>
          </w:tcPr>
          <w:p>
            <w:r>
              <w:rPr>
                <w:b/>
              </w:rPr>
              <w:t>Exceptions / Notes</w:t>
            </w:r>
          </w:p>
        </w:tc>
      </w:tr>
      <w:tr>
        <w:tc>
          <w:tcPr>
            <w:tcW w:type="dxa" w:w="2880"/>
          </w:tcPr>
          <w:p>
            <w:r>
              <w:t>Completeness: All required fields (user_id, status, personal_info, employment_info, documents) present.</w:t>
            </w:r>
          </w:p>
        </w:tc>
        <w:tc>
          <w:tcPr>
            <w:tcW w:type="dxa" w:w="2880"/>
          </w:tcPr>
          <w:p>
            <w:r>
              <w:t>Pass</w:t>
            </w:r>
          </w:p>
        </w:tc>
        <w:tc>
          <w:tcPr>
            <w:tcW w:type="dxa" w:w="2880"/>
          </w:tcPr>
          <w:p>
            <w:r>
              <w:t>All 5 records complete with all nested objects.</w:t>
            </w:r>
          </w:p>
        </w:tc>
      </w:tr>
      <w:tr>
        <w:tc>
          <w:tcPr>
            <w:tcW w:type="dxa" w:w="2880"/>
          </w:tcPr>
          <w:p>
            <w:r>
              <w:t>Accuracy: Document attachments (base64 encoded) verified for integrity.</w:t>
            </w:r>
          </w:p>
        </w:tc>
        <w:tc>
          <w:tcPr>
            <w:tcW w:type="dxa" w:w="2880"/>
          </w:tcPr>
          <w:p>
            <w:r>
              <w:t>Pass</w:t>
            </w:r>
          </w:p>
        </w:tc>
        <w:tc>
          <w:tcPr>
            <w:tcW w:type="dxa" w:w="2880"/>
          </w:tcPr>
          <w:p>
            <w:r>
              <w:t>Base64 documents decode correctly. Download functionality verified in target UI.</w:t>
            </w:r>
          </w:p>
        </w:tc>
      </w:tr>
      <w:tr>
        <w:tc>
          <w:tcPr>
            <w:tcW w:type="dxa" w:w="2880"/>
          </w:tcPr>
          <w:p>
            <w:r>
              <w:t>Consistency: Status values (draft, pending, approved, rejected) consistent with workflow.</w:t>
            </w:r>
          </w:p>
        </w:tc>
        <w:tc>
          <w:tcPr>
            <w:tcW w:type="dxa" w:w="2880"/>
          </w:tcPr>
          <w:p>
            <w:r>
              <w:t>Pass</w:t>
            </w:r>
          </w:p>
        </w:tc>
        <w:tc>
          <w:tcPr>
            <w:tcW w:type="dxa" w:w="2880"/>
          </w:tcPr>
          <w:p>
            <w:r>
              <w:t>All status values valid.</w:t>
            </w:r>
          </w:p>
        </w:tc>
      </w:tr>
      <w:tr>
        <w:tc>
          <w:tcPr>
            <w:tcW w:type="dxa" w:w="2880"/>
          </w:tcPr>
          <w:p>
            <w:r>
              <w:t>Transformation: Legacy document format (plain filenames) coexists with new base64 JSON format.</w:t>
            </w:r>
          </w:p>
        </w:tc>
        <w:tc>
          <w:tcPr>
            <w:tcW w:type="dxa" w:w="2880"/>
          </w:tcPr>
          <w:p>
            <w:r>
              <w:t>Pass</w:t>
            </w:r>
          </w:p>
        </w:tc>
        <w:tc>
          <w:tcPr>
            <w:tcW w:type="dxa" w:w="2880"/>
          </w:tcPr>
          <w:p>
            <w:r>
              <w:t>Frontend handles both legacy and new document formats conditionally.</w:t>
            </w:r>
          </w:p>
        </w:tc>
      </w:tr>
    </w:tbl>
    <w:p>
      <w:pPr>
        <w:pStyle w:val="Heading2"/>
      </w:pPr>
      <w:r>
        <w:t>3.3. Data Set: Training Applications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Attribute</w:t>
            </w:r>
          </w:p>
        </w:tc>
        <w:tc>
          <w:tcPr>
            <w:tcW w:type="dxa" w:w="4320"/>
          </w:tcPr>
          <w:p>
            <w:r>
              <w:rPr>
                <w:b/>
              </w:rPr>
              <w:t>Detail</w:t>
            </w:r>
          </w:p>
        </w:tc>
      </w:tr>
      <w:tr>
        <w:tc>
          <w:tcPr>
            <w:tcW w:type="dxa" w:w="4320"/>
          </w:tcPr>
          <w:p>
            <w:r>
              <w:t>Source System</w:t>
            </w:r>
          </w:p>
        </w:tc>
        <w:tc>
          <w:tcPr>
            <w:tcW w:type="dxa" w:w="4320"/>
          </w:tcPr>
          <w:p>
            <w:r>
              <w:t>Emergent Platform MongoDB (training_applications collection)</w:t>
            </w:r>
          </w:p>
        </w:tc>
      </w:tr>
      <w:tr>
        <w:tc>
          <w:tcPr>
            <w:tcW w:type="dxa" w:w="4320"/>
          </w:tcPr>
          <w:p>
            <w:r>
              <w:t>Target Location</w:t>
            </w:r>
          </w:p>
        </w:tc>
        <w:tc>
          <w:tcPr>
            <w:tcW w:type="dxa" w:w="4320"/>
          </w:tcPr>
          <w:p>
            <w:r>
              <w:t>Azure VM MongoDB: sentech.training_applications collection</w:t>
            </w:r>
          </w:p>
        </w:tc>
      </w:tr>
      <w:tr>
        <w:tc>
          <w:tcPr>
            <w:tcW w:type="dxa" w:w="4320"/>
          </w:tcPr>
          <w:p>
            <w:r>
              <w:t>Expected Volume</w:t>
            </w:r>
          </w:p>
        </w:tc>
        <w:tc>
          <w:tcPr>
            <w:tcW w:type="dxa" w:w="4320"/>
          </w:tcPr>
          <w:p>
            <w:r>
              <w:t>1 application record</w:t>
            </w:r>
          </w:p>
        </w:tc>
      </w:tr>
      <w:tr>
        <w:tc>
          <w:tcPr>
            <w:tcW w:type="dxa" w:w="4320"/>
          </w:tcPr>
          <w:p>
            <w:r>
              <w:t>Migrated Volume</w:t>
            </w:r>
          </w:p>
        </w:tc>
        <w:tc>
          <w:tcPr>
            <w:tcW w:type="dxa" w:w="4320"/>
          </w:tcPr>
          <w:p>
            <w:r>
              <w:t>1 application record</w:t>
            </w:r>
          </w:p>
        </w:tc>
      </w:tr>
      <w:tr>
        <w:tc>
          <w:tcPr>
            <w:tcW w:type="dxa" w:w="4320"/>
          </w:tcPr>
          <w:p>
            <w:r>
              <w:t>Success Rate</w:t>
            </w:r>
          </w:p>
        </w:tc>
        <w:tc>
          <w:tcPr>
            <w:tcW w:type="dxa" w:w="4320"/>
          </w:tcPr>
          <w:p>
            <w:r>
              <w:t>100%</w:t>
            </w:r>
          </w:p>
        </w:tc>
      </w:tr>
    </w:tbl>
    <w:p/>
    <w:p>
      <w:pPr>
        <w:pStyle w:val="Heading3"/>
      </w:pPr>
      <w:r>
        <w:t>Validation Checks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Validation Check</w:t>
            </w:r>
          </w:p>
        </w:tc>
        <w:tc>
          <w:tcPr>
            <w:tcW w:type="dxa" w:w="2880"/>
          </w:tcPr>
          <w:p>
            <w:r>
              <w:rPr>
                <w:b/>
              </w:rPr>
              <w:t>Result</w:t>
            </w:r>
          </w:p>
        </w:tc>
        <w:tc>
          <w:tcPr>
            <w:tcW w:type="dxa" w:w="2880"/>
          </w:tcPr>
          <w:p>
            <w:r>
              <w:rPr>
                <w:b/>
              </w:rPr>
              <w:t>Exceptions / Notes</w:t>
            </w:r>
          </w:p>
        </w:tc>
      </w:tr>
      <w:tr>
        <w:tc>
          <w:tcPr>
            <w:tcW w:type="dxa" w:w="2880"/>
          </w:tcPr>
          <w:p>
            <w:r>
              <w:t>Completeness: All fields (training_info, employment_info, documents) present.</w:t>
            </w:r>
          </w:p>
        </w:tc>
        <w:tc>
          <w:tcPr>
            <w:tcW w:type="dxa" w:w="2880"/>
          </w:tcPr>
          <w:p>
            <w:r>
              <w:t>Pass</w:t>
            </w:r>
          </w:p>
        </w:tc>
        <w:tc>
          <w:tcPr>
            <w:tcW w:type="dxa" w:w="2880"/>
          </w:tcPr>
          <w:p>
            <w:r>
              <w:t>Record complete.</w:t>
            </w:r>
          </w:p>
        </w:tc>
      </w:tr>
      <w:tr>
        <w:tc>
          <w:tcPr>
            <w:tcW w:type="dxa" w:w="2880"/>
          </w:tcPr>
          <w:p>
            <w:r>
              <w:t>Accuracy: Training amount (R12,000), provider, and course name match source.</w:t>
            </w:r>
          </w:p>
        </w:tc>
        <w:tc>
          <w:tcPr>
            <w:tcW w:type="dxa" w:w="2880"/>
          </w:tcPr>
          <w:p>
            <w:r>
              <w:t>Pass</w:t>
            </w:r>
          </w:p>
        </w:tc>
        <w:tc>
          <w:tcPr>
            <w:tcW w:type="dxa" w:w="2880"/>
          </w:tcPr>
          <w:p>
            <w:r>
              <w:t>Verified against source.</w:t>
            </w:r>
          </w:p>
        </w:tc>
      </w:tr>
      <w:tr>
        <w:tc>
          <w:tcPr>
            <w:tcW w:type="dxa" w:w="2880"/>
          </w:tcPr>
          <w:p>
            <w:r>
              <w:t>Schema Evolution: New fields (training_date, training_delivery, supplier_type) default gracefully for pre-migration records.</w:t>
            </w:r>
          </w:p>
        </w:tc>
        <w:tc>
          <w:tcPr>
            <w:tcW w:type="dxa" w:w="2880"/>
          </w:tcPr>
          <w:p>
            <w:r>
              <w:t>Pass</w:t>
            </w:r>
          </w:p>
        </w:tc>
        <w:tc>
          <w:tcPr>
            <w:tcW w:type="dxa" w:w="2880"/>
          </w:tcPr>
          <w:p>
            <w:r>
              <w:t>Frontend handles empty/missing new fields without errors. Edit flow allows populating new fields.</w:t>
            </w:r>
          </w:p>
        </w:tc>
      </w:tr>
    </w:tbl>
    <w:p>
      <w:pPr>
        <w:pStyle w:val="Heading2"/>
      </w:pPr>
      <w:r>
        <w:t>3.4. Data Set: Supporting Collections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Collection</w:t>
            </w:r>
          </w:p>
        </w:tc>
        <w:tc>
          <w:tcPr>
            <w:tcW w:type="dxa" w:w="1728"/>
          </w:tcPr>
          <w:p>
            <w:r>
              <w:rPr>
                <w:b/>
              </w:rPr>
              <w:t>Source</w:t>
            </w:r>
          </w:p>
        </w:tc>
        <w:tc>
          <w:tcPr>
            <w:tcW w:type="dxa" w:w="1728"/>
          </w:tcPr>
          <w:p>
            <w:r>
              <w:rPr>
                <w:b/>
              </w:rPr>
              <w:t>Target</w:t>
            </w:r>
          </w:p>
        </w:tc>
        <w:tc>
          <w:tcPr>
            <w:tcW w:type="dxa" w:w="1728"/>
          </w:tcPr>
          <w:p>
            <w:r>
              <w:rPr>
                <w:b/>
              </w:rPr>
              <w:t>Records</w:t>
            </w:r>
          </w:p>
        </w:tc>
        <w:tc>
          <w:tcPr>
            <w:tcW w:type="dxa" w:w="1728"/>
          </w:tcPr>
          <w:p>
            <w:r>
              <w:rPr>
                <w:b/>
              </w:rPr>
              <w:t>Success Rate</w:t>
            </w:r>
          </w:p>
        </w:tc>
      </w:tr>
      <w:tr>
        <w:tc>
          <w:tcPr>
            <w:tcW w:type="dxa" w:w="1728"/>
          </w:tcPr>
          <w:p>
            <w:r>
              <w:t>division_groups</w:t>
            </w:r>
          </w:p>
        </w:tc>
        <w:tc>
          <w:tcPr>
            <w:tcW w:type="dxa" w:w="1728"/>
          </w:tcPr>
          <w:p>
            <w:r>
              <w:t>Emergent MongoDB</w:t>
            </w:r>
          </w:p>
        </w:tc>
        <w:tc>
          <w:tcPr>
            <w:tcW w:type="dxa" w:w="1728"/>
          </w:tcPr>
          <w:p>
            <w:r>
              <w:t>Azure VM MongoDB</w:t>
            </w:r>
          </w:p>
        </w:tc>
        <w:tc>
          <w:tcPr>
            <w:tcW w:type="dxa" w:w="1728"/>
          </w:tcPr>
          <w:p>
            <w:r>
              <w:t>20 divisions</w:t>
            </w:r>
          </w:p>
        </w:tc>
        <w:tc>
          <w:tcPr>
            <w:tcW w:type="dxa" w:w="1728"/>
          </w:tcPr>
          <w:p>
            <w:r>
              <w:t>100%</w:t>
            </w:r>
          </w:p>
        </w:tc>
      </w:tr>
      <w:tr>
        <w:tc>
          <w:tcPr>
            <w:tcW w:type="dxa" w:w="1728"/>
          </w:tcPr>
          <w:p>
            <w:r>
              <w:t>subgroups</w:t>
            </w:r>
          </w:p>
        </w:tc>
        <w:tc>
          <w:tcPr>
            <w:tcW w:type="dxa" w:w="1728"/>
          </w:tcPr>
          <w:p>
            <w:r>
              <w:t>Emergent MongoDB</w:t>
            </w:r>
          </w:p>
        </w:tc>
        <w:tc>
          <w:tcPr>
            <w:tcW w:type="dxa" w:w="1728"/>
          </w:tcPr>
          <w:p>
            <w:r>
              <w:t>Azure VM MongoDB</w:t>
            </w:r>
          </w:p>
        </w:tc>
        <w:tc>
          <w:tcPr>
            <w:tcW w:type="dxa" w:w="1728"/>
          </w:tcPr>
          <w:p>
            <w:r>
              <w:t>All subgroups</w:t>
            </w:r>
          </w:p>
        </w:tc>
        <w:tc>
          <w:tcPr>
            <w:tcW w:type="dxa" w:w="1728"/>
          </w:tcPr>
          <w:p>
            <w:r>
              <w:t>100%</w:t>
            </w:r>
          </w:p>
        </w:tc>
      </w:tr>
      <w:tr>
        <w:tc>
          <w:tcPr>
            <w:tcW w:type="dxa" w:w="1728"/>
          </w:tcPr>
          <w:p>
            <w:r>
              <w:t>pdp_records</w:t>
            </w:r>
          </w:p>
        </w:tc>
        <w:tc>
          <w:tcPr>
            <w:tcW w:type="dxa" w:w="1728"/>
          </w:tcPr>
          <w:p>
            <w:r>
              <w:t>Emergent MongoDB</w:t>
            </w:r>
          </w:p>
        </w:tc>
        <w:tc>
          <w:tcPr>
            <w:tcW w:type="dxa" w:w="1728"/>
          </w:tcPr>
          <w:p>
            <w:r>
              <w:t>Azure VM MongoDB</w:t>
            </w:r>
          </w:p>
        </w:tc>
        <w:tc>
          <w:tcPr>
            <w:tcW w:type="dxa" w:w="1728"/>
          </w:tcPr>
          <w:p>
            <w:r>
              <w:t>All PDP entries</w:t>
            </w:r>
          </w:p>
        </w:tc>
        <w:tc>
          <w:tcPr>
            <w:tcW w:type="dxa" w:w="1728"/>
          </w:tcPr>
          <w:p>
            <w:r>
              <w:t>100%</w:t>
            </w:r>
          </w:p>
        </w:tc>
      </w:tr>
      <w:tr>
        <w:tc>
          <w:tcPr>
            <w:tcW w:type="dxa" w:w="1728"/>
          </w:tcPr>
          <w:p>
            <w:r>
              <w:t>notifications</w:t>
            </w:r>
          </w:p>
        </w:tc>
        <w:tc>
          <w:tcPr>
            <w:tcW w:type="dxa" w:w="1728"/>
          </w:tcPr>
          <w:p>
            <w:r>
              <w:t>Emergent MongoDB</w:t>
            </w:r>
          </w:p>
        </w:tc>
        <w:tc>
          <w:tcPr>
            <w:tcW w:type="dxa" w:w="1728"/>
          </w:tcPr>
          <w:p>
            <w:r>
              <w:t>Azure VM MongoDB</w:t>
            </w:r>
          </w:p>
        </w:tc>
        <w:tc>
          <w:tcPr>
            <w:tcW w:type="dxa" w:w="1728"/>
          </w:tcPr>
          <w:p>
            <w:r>
              <w:t>All notifications</w:t>
            </w:r>
          </w:p>
        </w:tc>
        <w:tc>
          <w:tcPr>
            <w:tcW w:type="dxa" w:w="1728"/>
          </w:tcPr>
          <w:p>
            <w:r>
              <w:t>100%</w:t>
            </w:r>
          </w:p>
        </w:tc>
      </w:tr>
      <w:tr>
        <w:tc>
          <w:tcPr>
            <w:tcW w:type="dxa" w:w="1728"/>
          </w:tcPr>
          <w:p>
            <w:r>
              <w:t>application_settings</w:t>
            </w:r>
          </w:p>
        </w:tc>
        <w:tc>
          <w:tcPr>
            <w:tcW w:type="dxa" w:w="1728"/>
          </w:tcPr>
          <w:p>
            <w:r>
              <w:t>Emergent MongoDB</w:t>
            </w:r>
          </w:p>
        </w:tc>
        <w:tc>
          <w:tcPr>
            <w:tcW w:type="dxa" w:w="1728"/>
          </w:tcPr>
          <w:p>
            <w:r>
              <w:t>Azure VM MongoDB</w:t>
            </w:r>
          </w:p>
        </w:tc>
        <w:tc>
          <w:tcPr>
            <w:tcW w:type="dxa" w:w="1728"/>
          </w:tcPr>
          <w:p>
            <w:r>
              <w:t>1 settings document</w:t>
            </w:r>
          </w:p>
        </w:tc>
        <w:tc>
          <w:tcPr>
            <w:tcW w:type="dxa" w:w="1728"/>
          </w:tcPr>
          <w:p>
            <w:r>
              <w:t>100%</w:t>
            </w:r>
          </w:p>
        </w:tc>
      </w:tr>
      <w:tr>
        <w:tc>
          <w:tcPr>
            <w:tcW w:type="dxa" w:w="1728"/>
          </w:tcPr>
          <w:p>
            <w:r>
              <w:t>tickets</w:t>
            </w:r>
          </w:p>
        </w:tc>
        <w:tc>
          <w:tcPr>
            <w:tcW w:type="dxa" w:w="1728"/>
          </w:tcPr>
          <w:p>
            <w:r>
              <w:t>Emergent MongoDB</w:t>
            </w:r>
          </w:p>
        </w:tc>
        <w:tc>
          <w:tcPr>
            <w:tcW w:type="dxa" w:w="1728"/>
          </w:tcPr>
          <w:p>
            <w:r>
              <w:t>Azure VM MongoDB</w:t>
            </w:r>
          </w:p>
        </w:tc>
        <w:tc>
          <w:tcPr>
            <w:tcW w:type="dxa" w:w="1728"/>
          </w:tcPr>
          <w:p>
            <w:r>
              <w:t>All tickets</w:t>
            </w:r>
          </w:p>
        </w:tc>
        <w:tc>
          <w:tcPr>
            <w:tcW w:type="dxa" w:w="1728"/>
          </w:tcPr>
          <w:p>
            <w:r>
              <w:t>100%</w:t>
            </w:r>
          </w:p>
        </w:tc>
      </w:tr>
      <w:tr>
        <w:tc>
          <w:tcPr>
            <w:tcW w:type="dxa" w:w="1728"/>
          </w:tcPr>
          <w:p>
            <w:r>
              <w:t>meetings</w:t>
            </w:r>
          </w:p>
        </w:tc>
        <w:tc>
          <w:tcPr>
            <w:tcW w:type="dxa" w:w="1728"/>
          </w:tcPr>
          <w:p>
            <w:r>
              <w:t>Emergent MongoDB</w:t>
            </w:r>
          </w:p>
        </w:tc>
        <w:tc>
          <w:tcPr>
            <w:tcW w:type="dxa" w:w="1728"/>
          </w:tcPr>
          <w:p>
            <w:r>
              <w:t>Azure VM MongoDB</w:t>
            </w:r>
          </w:p>
        </w:tc>
        <w:tc>
          <w:tcPr>
            <w:tcW w:type="dxa" w:w="1728"/>
          </w:tcPr>
          <w:p>
            <w:r>
              <w:t>All meetings</w:t>
            </w:r>
          </w:p>
        </w:tc>
        <w:tc>
          <w:tcPr>
            <w:tcW w:type="dxa" w:w="1728"/>
          </w:tcPr>
          <w:p>
            <w:r>
              <w:t>100%</w:t>
            </w:r>
          </w:p>
        </w:tc>
      </w:tr>
      <w:tr>
        <w:tc>
          <w:tcPr>
            <w:tcW w:type="dxa" w:w="1728"/>
          </w:tcPr>
          <w:p>
            <w:r>
              <w:t>events</w:t>
            </w:r>
          </w:p>
        </w:tc>
        <w:tc>
          <w:tcPr>
            <w:tcW w:type="dxa" w:w="1728"/>
          </w:tcPr>
          <w:p>
            <w:r>
              <w:t>Emergent MongoDB</w:t>
            </w:r>
          </w:p>
        </w:tc>
        <w:tc>
          <w:tcPr>
            <w:tcW w:type="dxa" w:w="1728"/>
          </w:tcPr>
          <w:p>
            <w:r>
              <w:t>Azure VM MongoDB</w:t>
            </w:r>
          </w:p>
        </w:tc>
        <w:tc>
          <w:tcPr>
            <w:tcW w:type="dxa" w:w="1728"/>
          </w:tcPr>
          <w:p>
            <w:r>
              <w:t>All events</w:t>
            </w:r>
          </w:p>
        </w:tc>
        <w:tc>
          <w:tcPr>
            <w:tcW w:type="dxa" w:w="1728"/>
          </w:tcPr>
          <w:p>
            <w:r>
              <w:t>100%</w:t>
            </w:r>
          </w:p>
        </w:tc>
      </w:tr>
    </w:tbl>
    <w:p/>
    <w:p>
      <w:pPr>
        <w:pStyle w:val="Heading3"/>
      </w:pPr>
      <w:r>
        <w:t>Validation Checks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Validation Check</w:t>
            </w:r>
          </w:p>
        </w:tc>
        <w:tc>
          <w:tcPr>
            <w:tcW w:type="dxa" w:w="2880"/>
          </w:tcPr>
          <w:p>
            <w:r>
              <w:rPr>
                <w:b/>
              </w:rPr>
              <w:t>Result</w:t>
            </w:r>
          </w:p>
        </w:tc>
        <w:tc>
          <w:tcPr>
            <w:tcW w:type="dxa" w:w="2880"/>
          </w:tcPr>
          <w:p>
            <w:r>
              <w:rPr>
                <w:b/>
              </w:rPr>
              <w:t>Exceptions / Notes</w:t>
            </w:r>
          </w:p>
        </w:tc>
      </w:tr>
      <w:tr>
        <w:tc>
          <w:tcPr>
            <w:tcW w:type="dxa" w:w="2880"/>
          </w:tcPr>
          <w:p>
            <w:r>
              <w:t>Completeness: All collections exported and restored.</w:t>
            </w:r>
          </w:p>
        </w:tc>
        <w:tc>
          <w:tcPr>
            <w:tcW w:type="dxa" w:w="2880"/>
          </w:tcPr>
          <w:p>
            <w:r>
              <w:t>Pass</w:t>
            </w:r>
          </w:p>
        </w:tc>
        <w:tc>
          <w:tcPr>
            <w:tcW w:type="dxa" w:w="2880"/>
          </w:tcPr>
          <w:p>
            <w:r>
              <w:t>12 collections successfully transferred.</w:t>
            </w:r>
          </w:p>
        </w:tc>
      </w:tr>
      <w:tr>
        <w:tc>
          <w:tcPr>
            <w:tcW w:type="dxa" w:w="2880"/>
          </w:tcPr>
          <w:p>
            <w:r>
              <w:t>Referential Integrity: user_id references in applications/notifications/PDP match existing user IDs.</w:t>
            </w:r>
          </w:p>
        </w:tc>
        <w:tc>
          <w:tcPr>
            <w:tcW w:type="dxa" w:w="2880"/>
          </w:tcPr>
          <w:p>
            <w:r>
              <w:t>Pass</w:t>
            </w:r>
          </w:p>
        </w:tc>
        <w:tc>
          <w:tcPr>
            <w:tcW w:type="dxa" w:w="2880"/>
          </w:tcPr>
          <w:p>
            <w:r>
              <w:t>All foreign key references valid.</w:t>
            </w:r>
          </w:p>
        </w:tc>
      </w:tr>
      <w:tr>
        <w:tc>
          <w:tcPr>
            <w:tcW w:type="dxa" w:w="2880"/>
          </w:tcPr>
          <w:p>
            <w:r>
              <w:t>Settings: Application settings (bursary_open, bursary_deadline) intact.</w:t>
            </w:r>
          </w:p>
        </w:tc>
        <w:tc>
          <w:tcPr>
            <w:tcW w:type="dxa" w:w="2880"/>
          </w:tcPr>
          <w:p>
            <w:r>
              <w:t>Pass</w:t>
            </w:r>
          </w:p>
        </w:tc>
        <w:tc>
          <w:tcPr>
            <w:tcW w:type="dxa" w:w="2880"/>
          </w:tcPr>
          <w:p>
            <w:r>
              <w:t>Deadline and open/close status preserved.</w:t>
            </w:r>
          </w:p>
        </w:tc>
      </w:tr>
    </w:tbl>
    <w:p>
      <w:pPr>
        <w:pStyle w:val="Heading1"/>
      </w:pPr>
      <w:r>
        <w:t>4. Exception Handling and Remediation</w:t>
      </w:r>
    </w:p>
    <w:p>
      <w:r>
        <w:t>This section details any data that required manual intervention during migration.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Exception ID</w:t>
            </w:r>
          </w:p>
        </w:tc>
        <w:tc>
          <w:tcPr>
            <w:tcW w:type="dxa" w:w="1728"/>
          </w:tcPr>
          <w:p>
            <w:r>
              <w:rPr>
                <w:b/>
              </w:rPr>
              <w:t>Data Set</w:t>
            </w:r>
          </w:p>
        </w:tc>
        <w:tc>
          <w:tcPr>
            <w:tcW w:type="dxa" w:w="1728"/>
          </w:tcPr>
          <w:p>
            <w:r>
              <w:rPr>
                <w:b/>
              </w:rPr>
              <w:t>Description of Issue</w:t>
            </w:r>
          </w:p>
        </w:tc>
        <w:tc>
          <w:tcPr>
            <w:tcW w:type="dxa" w:w="1728"/>
          </w:tcPr>
          <w:p>
            <w:r>
              <w:rPr>
                <w:b/>
              </w:rPr>
              <w:t>Remediation Action</w:t>
            </w:r>
          </w:p>
        </w:tc>
        <w:tc>
          <w:tcPr>
            <w:tcW w:type="dxa" w:w="1728"/>
          </w:tcPr>
          <w:p>
            <w:r>
              <w:rPr>
                <w:b/>
              </w:rPr>
              <w:t>Status</w:t>
            </w:r>
          </w:p>
        </w:tc>
      </w:tr>
      <w:tr>
        <w:tc>
          <w:tcPr>
            <w:tcW w:type="dxa" w:w="1728"/>
          </w:tcPr>
          <w:p>
            <w:r>
              <w:t>EXC-001</w:t>
            </w:r>
          </w:p>
        </w:tc>
        <w:tc>
          <w:tcPr>
            <w:tcW w:type="dxa" w:w="1728"/>
          </w:tcPr>
          <w:p>
            <w:r>
              <w:t>User Profiles</w:t>
            </w:r>
          </w:p>
        </w:tc>
        <w:tc>
          <w:tcPr>
            <w:tcW w:type="dxa" w:w="1728"/>
          </w:tcPr>
          <w:p>
            <w:r>
              <w:t>278 users had empty gender and race fields in source HR data.</w:t>
            </w:r>
          </w:p>
        </w:tc>
        <w:tc>
          <w:tcPr>
            <w:tcW w:type="dxa" w:w="1728"/>
          </w:tcPr>
          <w:p>
            <w:r>
              <w:t>Accepted as-is — not a migration error. Fields available for users/admins to update via the system. Reports correctly show "Unspecified" for these users.</w:t>
            </w:r>
          </w:p>
        </w:tc>
        <w:tc>
          <w:tcPr>
            <w:tcW w:type="dxa" w:w="1728"/>
          </w:tcPr>
          <w:p>
            <w:r>
              <w:t>Closed</w:t>
            </w:r>
          </w:p>
        </w:tc>
      </w:tr>
      <w:tr>
        <w:tc>
          <w:tcPr>
            <w:tcW w:type="dxa" w:w="1728"/>
          </w:tcPr>
          <w:p>
            <w:r>
              <w:t>EXC-002</w:t>
            </w:r>
          </w:p>
        </w:tc>
        <w:tc>
          <w:tcPr>
            <w:tcW w:type="dxa" w:w="1728"/>
          </w:tcPr>
          <w:p>
            <w:r>
              <w:t>User Profiles</w:t>
            </w:r>
          </w:p>
        </w:tc>
        <w:tc>
          <w:tcPr>
            <w:tcW w:type="dxa" w:w="1728"/>
          </w:tcPr>
          <w:p>
            <w:r>
              <w:t>Date of Appointment in DD.MM.YYYY format (e.g., "01.09.2003") instead of ISO YYYY-MM-DD.</w:t>
            </w:r>
          </w:p>
        </w:tc>
        <w:tc>
          <w:tcPr>
            <w:tcW w:type="dxa" w:w="1728"/>
          </w:tcPr>
          <w:p>
            <w:r>
              <w:t>Frontend auto-populate logic updated to parse both DD.MM.YYYY and YYYY-MM-DD formats. No data transformation required in database.</w:t>
            </w:r>
          </w:p>
        </w:tc>
        <w:tc>
          <w:tcPr>
            <w:tcW w:type="dxa" w:w="1728"/>
          </w:tcPr>
          <w:p>
            <w:r>
              <w:t>Closed</w:t>
            </w:r>
          </w:p>
        </w:tc>
      </w:tr>
      <w:tr>
        <w:tc>
          <w:tcPr>
            <w:tcW w:type="dxa" w:w="1728"/>
          </w:tcPr>
          <w:p>
            <w:r>
              <w:t>EXC-003</w:t>
            </w:r>
          </w:p>
        </w:tc>
        <w:tc>
          <w:tcPr>
            <w:tcW w:type="dxa" w:w="1728"/>
          </w:tcPr>
          <w:p>
            <w:r>
              <w:t>Training Applications</w:t>
            </w:r>
          </w:p>
        </w:tc>
        <w:tc>
          <w:tcPr>
            <w:tcW w:type="dxa" w:w="1728"/>
          </w:tcPr>
          <w:p>
            <w:r>
              <w:t>Pre-migration records missing new fields: training_date, training_delivery, supplier_type.</w:t>
            </w:r>
          </w:p>
        </w:tc>
        <w:tc>
          <w:tcPr>
            <w:tcW w:type="dxa" w:w="1728"/>
          </w:tcPr>
          <w:p>
            <w:r>
              <w:t>Frontend handles missing fields gracefully with empty defaults. Users can populate new fields when editing existing applications.</w:t>
            </w:r>
          </w:p>
        </w:tc>
        <w:tc>
          <w:tcPr>
            <w:tcW w:type="dxa" w:w="1728"/>
          </w:tcPr>
          <w:p>
            <w:r>
              <w:t>Closed</w:t>
            </w:r>
          </w:p>
        </w:tc>
      </w:tr>
      <w:tr>
        <w:tc>
          <w:tcPr>
            <w:tcW w:type="dxa" w:w="1728"/>
          </w:tcPr>
          <w:p>
            <w:r>
              <w:t>EXC-004</w:t>
            </w:r>
          </w:p>
        </w:tc>
        <w:tc>
          <w:tcPr>
            <w:tcW w:type="dxa" w:w="1728"/>
          </w:tcPr>
          <w:p>
            <w:r>
              <w:t>Documents</w:t>
            </w:r>
          </w:p>
        </w:tc>
        <w:tc>
          <w:tcPr>
            <w:tcW w:type="dxa" w:w="1728"/>
          </w:tcPr>
          <w:p>
            <w:r>
              <w:t>Legacy documents stored as plain filename strings; new documents stored as base64 JSON objects.</w:t>
            </w:r>
          </w:p>
        </w:tc>
        <w:tc>
          <w:tcPr>
            <w:tcW w:type="dxa" w:w="1728"/>
          </w:tcPr>
          <w:p>
            <w:r>
              <w:t>Frontend conditionally renders both formats. Legacy filenames display as text; new documents render with download buttons.</w:t>
            </w:r>
          </w:p>
        </w:tc>
        <w:tc>
          <w:tcPr>
            <w:tcW w:type="dxa" w:w="1728"/>
          </w:tcPr>
          <w:p>
            <w:r>
              <w:t>Closed</w:t>
            </w:r>
          </w:p>
        </w:tc>
      </w:tr>
    </w:tbl>
    <w:p>
      <w:pPr>
        <w:pStyle w:val="Heading1"/>
      </w:pPr>
      <w:r>
        <w:t>5. Functional Validation in Production Environment</w:t>
      </w:r>
    </w:p>
    <w:p>
      <w:r>
        <w:t>This section confirms that the migrated data is functionally correct within the production system.</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Validation Scenario</w:t>
            </w:r>
          </w:p>
        </w:tc>
        <w:tc>
          <w:tcPr>
            <w:tcW w:type="dxa" w:w="1728"/>
          </w:tcPr>
          <w:p>
            <w:r>
              <w:rPr>
                <w:b/>
              </w:rPr>
              <w:t>Description</w:t>
            </w:r>
          </w:p>
        </w:tc>
        <w:tc>
          <w:tcPr>
            <w:tcW w:type="dxa" w:w="1728"/>
          </w:tcPr>
          <w:p>
            <w:r>
              <w:rPr>
                <w:b/>
              </w:rPr>
              <w:t>Owner</w:t>
            </w:r>
          </w:p>
        </w:tc>
        <w:tc>
          <w:tcPr>
            <w:tcW w:type="dxa" w:w="1728"/>
          </w:tcPr>
          <w:p>
            <w:r>
              <w:rPr>
                <w:b/>
              </w:rPr>
              <w:t>Result</w:t>
            </w:r>
          </w:p>
        </w:tc>
        <w:tc>
          <w:tcPr>
            <w:tcW w:type="dxa" w:w="1728"/>
          </w:tcPr>
          <w:p>
            <w:r>
              <w:rPr>
                <w:b/>
              </w:rPr>
              <w:t>Notes</w:t>
            </w:r>
          </w:p>
        </w:tc>
      </w:tr>
      <w:tr>
        <w:tc>
          <w:tcPr>
            <w:tcW w:type="dxa" w:w="1728"/>
          </w:tcPr>
          <w:p>
            <w:r>
              <w:t>User Login</w:t>
            </w:r>
          </w:p>
        </w:tc>
        <w:tc>
          <w:tcPr>
            <w:tcW w:type="dxa" w:w="1728"/>
          </w:tcPr>
          <w:p>
            <w:r>
              <w:t>A sample of migrated users can successfully log in with existing credentials.</w:t>
            </w:r>
          </w:p>
        </w:tc>
        <w:tc>
          <w:tcPr>
            <w:tcW w:type="dxa" w:w="1728"/>
          </w:tcPr>
          <w:p>
            <w:r>
              <w:t>IT Team</w:t>
            </w:r>
          </w:p>
        </w:tc>
        <w:tc>
          <w:tcPr>
            <w:tcW w:type="dxa" w:w="1728"/>
          </w:tcPr>
          <w:p>
            <w:r>
              <w:t>Pass</w:t>
            </w:r>
          </w:p>
        </w:tc>
        <w:tc>
          <w:tcPr>
            <w:tcW w:type="dxa" w:w="1728"/>
          </w:tcPr>
          <w:p>
            <w:r>
              <w:t>Tested with super_admin (jane.smith@uct.ac.za), admin (test.admin@sentech.co.za), and employee (test.employee@sentech.co.za). All passwords verified.</w:t>
            </w:r>
          </w:p>
        </w:tc>
      </w:tr>
      <w:tr>
        <w:tc>
          <w:tcPr>
            <w:tcW w:type="dxa" w:w="1728"/>
          </w:tcPr>
          <w:p>
            <w:r>
              <w:t>Profile View</w:t>
            </w:r>
          </w:p>
        </w:tc>
        <w:tc>
          <w:tcPr>
            <w:tcW w:type="dxa" w:w="1728"/>
          </w:tcPr>
          <w:p>
            <w:r>
              <w:t>Migrated user profile data (division, department, roles, is_head) correctly displayed.</w:t>
            </w:r>
          </w:p>
        </w:tc>
        <w:tc>
          <w:tcPr>
            <w:tcW w:type="dxa" w:w="1728"/>
          </w:tcPr>
          <w:p>
            <w:r>
              <w:t>L&amp;D Team</w:t>
            </w:r>
          </w:p>
        </w:tc>
        <w:tc>
          <w:tcPr>
            <w:tcW w:type="dxa" w:w="1728"/>
          </w:tcPr>
          <w:p>
            <w:r>
              <w:t>Pass</w:t>
            </w:r>
          </w:p>
        </w:tc>
        <w:tc>
          <w:tcPr>
            <w:tcW w:type="dxa" w:w="1728"/>
          </w:tcPr>
          <w:p>
            <w:r>
              <w:t>Division heads correctly identified. RBAC permissions intact.</w:t>
            </w:r>
          </w:p>
        </w:tc>
      </w:tr>
      <w:tr>
        <w:tc>
          <w:tcPr>
            <w:tcW w:type="dxa" w:w="1728"/>
          </w:tcPr>
          <w:p>
            <w:r>
              <w:t>ID Lookup</w:t>
            </w:r>
          </w:p>
        </w:tc>
        <w:tc>
          <w:tcPr>
            <w:tcW w:type="dxa" w:w="1728"/>
          </w:tcPr>
          <w:p>
            <w:r>
              <w:t>Entering a 13-digit SA ID number auto-populates employee details from migrated data.</w:t>
            </w:r>
          </w:p>
        </w:tc>
        <w:tc>
          <w:tcPr>
            <w:tcW w:type="dxa" w:w="1728"/>
          </w:tcPr>
          <w:p>
            <w:r>
              <w:t>L&amp;D Team</w:t>
            </w:r>
          </w:p>
        </w:tc>
        <w:tc>
          <w:tcPr>
            <w:tcW w:type="dxa" w:w="1728"/>
          </w:tcPr>
          <w:p>
            <w:r>
              <w:t>Pass</w:t>
            </w:r>
          </w:p>
        </w:tc>
        <w:tc>
          <w:tcPr>
            <w:tcW w:type="dxa" w:w="1728"/>
          </w:tcPr>
          <w:p>
            <w:r>
              <w:t>Tested with ID 7503235923089: Returns name "Tebogo Joseph", surname "Leshope", division, date of appointment "01.09.2003", calculated "22 years 7 months" service.</w:t>
            </w:r>
          </w:p>
        </w:tc>
      </w:tr>
      <w:tr>
        <w:tc>
          <w:tcPr>
            <w:tcW w:type="dxa" w:w="1728"/>
          </w:tcPr>
          <w:p>
            <w:r>
              <w:t>Application Access</w:t>
            </w:r>
          </w:p>
        </w:tc>
        <w:tc>
          <w:tcPr>
            <w:tcW w:type="dxa" w:w="1728"/>
          </w:tcPr>
          <w:p>
            <w:r>
              <w:t>Existing bursary and training applications accessible with correct status and documents.</w:t>
            </w:r>
          </w:p>
        </w:tc>
        <w:tc>
          <w:tcPr>
            <w:tcW w:type="dxa" w:w="1728"/>
          </w:tcPr>
          <w:p>
            <w:r>
              <w:t>L&amp;D Team</w:t>
            </w:r>
          </w:p>
        </w:tc>
        <w:tc>
          <w:tcPr>
            <w:tcW w:type="dxa" w:w="1728"/>
          </w:tcPr>
          <w:p>
            <w:r>
              <w:t>Pass</w:t>
            </w:r>
          </w:p>
        </w:tc>
        <w:tc>
          <w:tcPr>
            <w:tcW w:type="dxa" w:w="1728"/>
          </w:tcPr>
          <w:p>
            <w:r>
              <w:t>5 bursary + 1 training application visible. Documents (base64) downloadable.</w:t>
            </w:r>
          </w:p>
        </w:tc>
      </w:tr>
      <w:tr>
        <w:tc>
          <w:tcPr>
            <w:tcW w:type="dxa" w:w="1728"/>
          </w:tcPr>
          <w:p>
            <w:r>
              <w:t>Report Generation</w:t>
            </w:r>
          </w:p>
        </w:tc>
        <w:tc>
          <w:tcPr>
            <w:tcW w:type="dxa" w:w="1728"/>
          </w:tcPr>
          <w:p>
            <w:r>
              <w:t>Reports page loads with all 387 users. Export generates Sentech XLSX template with correct data.</w:t>
            </w:r>
          </w:p>
        </w:tc>
        <w:tc>
          <w:tcPr>
            <w:tcW w:type="dxa" w:w="1728"/>
          </w:tcPr>
          <w:p>
            <w:r>
              <w:t>Compliance Team</w:t>
            </w:r>
          </w:p>
        </w:tc>
        <w:tc>
          <w:tcPr>
            <w:tcW w:type="dxa" w:w="1728"/>
          </w:tcPr>
          <w:p>
            <w:r>
              <w:t>Pass</w:t>
            </w:r>
          </w:p>
        </w:tc>
        <w:tc>
          <w:tcPr>
            <w:tcW w:type="dxa" w:w="1728"/>
          </w:tcPr>
          <w:p>
            <w:r>
              <w:t>Demographics charts show correct division/race/gender breakdowns. Export produces Skills Development + Overhead Costs sheets.</w:t>
            </w:r>
          </w:p>
        </w:tc>
      </w:tr>
      <w:tr>
        <w:tc>
          <w:tcPr>
            <w:tcW w:type="dxa" w:w="1728"/>
          </w:tcPr>
          <w:p>
            <w:r>
              <w:t>Dashboard</w:t>
            </w:r>
          </w:p>
        </w:tc>
        <w:tc>
          <w:tcPr>
            <w:tcW w:type="dxa" w:w="1728"/>
          </w:tcPr>
          <w:p>
            <w:r>
              <w:t>Dashboard displays correct stats from migrated data. Training Insights shows 1 training, R12,000 spend, 2 interns.</w:t>
            </w:r>
          </w:p>
        </w:tc>
        <w:tc>
          <w:tcPr>
            <w:tcW w:type="dxa" w:w="1728"/>
          </w:tcPr>
          <w:p>
            <w:r>
              <w:t>L&amp;D Team</w:t>
            </w:r>
          </w:p>
        </w:tc>
        <w:tc>
          <w:tcPr>
            <w:tcW w:type="dxa" w:w="1728"/>
          </w:tcPr>
          <w:p>
            <w:r>
              <w:t>Pass</w:t>
            </w:r>
          </w:p>
        </w:tc>
        <w:tc>
          <w:tcPr>
            <w:tcW w:type="dxa" w:w="1728"/>
          </w:tcPr>
          <w:p>
            <w:r>
              <w:t>All stat cards and pie chart render correctly from migrated data.</w:t>
            </w:r>
          </w:p>
        </w:tc>
      </w:tr>
      <w:tr>
        <w:tc>
          <w:tcPr>
            <w:tcW w:type="dxa" w:w="1728"/>
          </w:tcPr>
          <w:p>
            <w:r>
              <w:t>Email Notifications</w:t>
            </w:r>
          </w:p>
        </w:tc>
        <w:tc>
          <w:tcPr>
            <w:tcW w:type="dxa" w:w="1728"/>
          </w:tcPr>
          <w:p>
            <w:r>
              <w:t>Notification system sends emails to correct migrated email addresses.</w:t>
            </w:r>
          </w:p>
        </w:tc>
        <w:tc>
          <w:tcPr>
            <w:tcW w:type="dxa" w:w="1728"/>
          </w:tcPr>
          <w:p>
            <w:r>
              <w:t>IT Team</w:t>
            </w:r>
          </w:p>
        </w:tc>
        <w:tc>
          <w:tcPr>
            <w:tcW w:type="dxa" w:w="1728"/>
          </w:tcPr>
          <w:p>
            <w:r>
              <w:t>Pass</w:t>
            </w:r>
          </w:p>
        </w:tc>
        <w:tc>
          <w:tcPr>
            <w:tcW w:type="dxa" w:w="1728"/>
          </w:tcPr>
          <w:p>
            <w:r>
              <w:t>Test submission triggered emails to admin users at their migrated email addresses.</w:t>
            </w:r>
          </w:p>
        </w:tc>
      </w:tr>
    </w:tbl>
    <w:p>
      <w:pPr>
        <w:pStyle w:val="Heading1"/>
      </w:pPr>
      <w:r>
        <w:t>6. Conclusion and Sign-off</w:t>
      </w:r>
    </w:p>
    <w:p>
      <w:r>
        <w:t>The data migration from the Emergent development environment to the Azure VM production environment is deemed complete and validated. All 12 MongoDB collections were successfully transferred comprising 387 user profiles, 5 bursary applications, 1 training application, division/subgroup configurations, and all supporting data. The data quality meets the project's requirements for completeness, accuracy, consistency, and timeliness. All 4 exceptions were resolved. The migrated data is approved for use in the production environment.</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Sentech Data Owner</w:t>
            </w:r>
          </w:p>
        </w:tc>
        <w:tc>
          <w:tcPr>
            <w:tcW w:type="dxa" w:w="2160"/>
          </w:tcPr>
          <w:p>
            <w:r/>
          </w:p>
        </w:tc>
        <w:tc>
          <w:tcPr>
            <w:tcW w:type="dxa" w:w="2160"/>
          </w:tcPr>
          <w:p>
            <w:r/>
          </w:p>
        </w:tc>
        <w:tc>
          <w:tcPr>
            <w:tcW w:type="dxa" w:w="2160"/>
          </w:tcPr>
          <w:p>
            <w:r/>
          </w:p>
        </w:tc>
      </w:tr>
      <w:tr>
        <w:tc>
          <w:tcPr>
            <w:tcW w:type="dxa" w:w="2160"/>
          </w:tcPr>
          <w:p>
            <w:r>
              <w:t>Sentech IT Lead</w:t>
            </w:r>
          </w:p>
        </w:tc>
        <w:tc>
          <w:tcPr>
            <w:tcW w:type="dxa" w:w="2160"/>
          </w:tcPr>
          <w:p>
            <w:r/>
          </w:p>
        </w:tc>
        <w:tc>
          <w:tcPr>
            <w:tcW w:type="dxa" w:w="2160"/>
          </w:tcPr>
          <w:p>
            <w:r/>
          </w:p>
        </w:tc>
        <w:tc>
          <w:tcPr>
            <w:tcW w:type="dxa" w:w="2160"/>
          </w:tcPr>
          <w:p>
            <w:r/>
          </w:p>
        </w:tc>
      </w:tr>
      <w:tr>
        <w:tc>
          <w:tcPr>
            <w:tcW w:type="dxa" w:w="2160"/>
          </w:tcPr>
          <w:p>
            <w:r>
              <w:t>Moonlighter Group Data Specialist</w:t>
            </w:r>
          </w:p>
        </w:tc>
        <w:tc>
          <w:tcPr>
            <w:tcW w:type="dxa" w:w="2160"/>
          </w:tcPr>
          <w:p>
            <w:r>
              <w:t>R. Molukanele</w:t>
            </w:r>
          </w:p>
        </w:tc>
        <w:tc>
          <w:tcPr>
            <w:tcW w:type="dxa" w:w="2160"/>
          </w:tcPr>
          <w:p>
            <w:r/>
          </w:p>
        </w:tc>
        <w:tc>
          <w:tcPr>
            <w:tcW w:type="dxa" w:w="2160"/>
          </w:tcPr>
          <w:p>
            <w:r/>
          </w:p>
        </w:tc>
      </w:tr>
      <w:tr>
        <w:tc>
          <w:tcPr>
            <w:tcW w:type="dxa" w:w="2160"/>
          </w:tcPr>
          <w:p>
            <w:r>
              <w:t>Moonlighter Group Project Manager</w:t>
            </w:r>
          </w:p>
        </w:tc>
        <w:tc>
          <w:tcPr>
            <w:tcW w:type="dxa" w:w="2160"/>
          </w:tcPr>
          <w:p>
            <w:r>
              <w:t>M. Maseko</w:t>
            </w:r>
          </w:p>
        </w:tc>
        <w:tc>
          <w:tcPr>
            <w:tcW w:type="dxa" w:w="2160"/>
          </w:tcPr>
          <w:p>
            <w:r/>
          </w:p>
        </w:tc>
        <w:tc>
          <w:tcPr>
            <w:tcW w:type="dxa" w:w="216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