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36D" w:rsidRDefault="0099036D" w:rsidP="0099036D">
      <w:pPr>
        <w:jc w:val="center"/>
        <w:rPr>
          <w:rFonts w:ascii="Times" w:hAnsi="Times"/>
          <w:b/>
          <w:bCs/>
          <w:i w:val="0"/>
          <w:iCs/>
          <w:sz w:val="32"/>
          <w:szCs w:val="32"/>
        </w:rPr>
      </w:pPr>
      <w:r w:rsidRPr="00EA1B06">
        <w:rPr>
          <w:rFonts w:ascii="Times" w:hAnsi="Times"/>
          <w:b/>
          <w:bCs/>
          <w:i w:val="0"/>
          <w:iCs/>
          <w:sz w:val="32"/>
          <w:szCs w:val="32"/>
        </w:rPr>
        <w:t xml:space="preserve">Assignment </w:t>
      </w:r>
      <w:r>
        <w:rPr>
          <w:rFonts w:ascii="Times" w:hAnsi="Times"/>
          <w:b/>
          <w:bCs/>
          <w:i w:val="0"/>
          <w:iCs/>
          <w:sz w:val="32"/>
          <w:szCs w:val="32"/>
        </w:rPr>
        <w:t>3</w:t>
      </w:r>
    </w:p>
    <w:p w:rsidR="005F62A5" w:rsidRDefault="0099036D">
      <w:pPr>
        <w:rPr>
          <w:rFonts w:ascii="Times" w:hAnsi="Times"/>
          <w:i w:val="0"/>
          <w:iCs/>
        </w:rPr>
      </w:pPr>
      <w:r>
        <w:rPr>
          <w:rFonts w:ascii="Times" w:hAnsi="Times"/>
          <w:i w:val="0"/>
          <w:iCs/>
        </w:rPr>
        <w:t>2. (a)</w:t>
      </w:r>
    </w:p>
    <w:p w:rsidR="0099036D" w:rsidRDefault="0099036D">
      <w:pPr>
        <w:rPr>
          <w:rFonts w:ascii="Times" w:hAnsi="Times"/>
          <w:i w:val="0"/>
          <w:iCs/>
        </w:rPr>
      </w:pPr>
      <w:r>
        <w:rPr>
          <w:rFonts w:ascii="Times" w:hAnsi="Times"/>
          <w:i w:val="0"/>
          <w:iCs/>
        </w:rPr>
        <w:t>Based on Hoeffding’s inequality, we have:</w:t>
      </w:r>
    </w:p>
    <w:p w:rsidR="0099036D" w:rsidRPr="00706799" w:rsidRDefault="00706799">
      <w:pPr>
        <w:rPr>
          <w:rFonts w:ascii="Times" w:hAnsi="Times"/>
          <w:i w:val="0"/>
          <w:iCs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&gt;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 w:val="0"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des</m:t>
                          </m:r>
                        </m:sub>
                      </m:sSub>
                    </m:den>
                  </m:f>
                </m:e>
              </m:rad>
            </m:e>
          </m:d>
          <m:r>
            <w:rPr>
              <w:rFonts w:ascii="Cambria Math" w:hAnsi="Cambria Math"/>
            </w:rPr>
            <m:t>&lt;δ</m:t>
          </m:r>
        </m:oMath>
      </m:oMathPara>
    </w:p>
    <w:p w:rsidR="00706799" w:rsidRDefault="00706799">
      <w:pPr>
        <w:rPr>
          <w:rFonts w:ascii="Times" w:hAnsi="Times"/>
          <w:i w:val="0"/>
          <w:iCs/>
        </w:rPr>
      </w:pPr>
      <w:r>
        <w:rPr>
          <w:rFonts w:ascii="Times" w:hAnsi="Times"/>
          <w:i w:val="0"/>
          <w:iCs/>
        </w:rPr>
        <w:t xml:space="preserve">for a single action. While for each arm </w:t>
      </w:r>
      <m:oMath>
        <m:r>
          <w:rPr>
            <w:rFonts w:ascii="Cambria Math" w:hAnsi="Cambria Math"/>
          </w:rPr>
          <m:t>a∈</m:t>
        </m:r>
        <m:r>
          <m:rPr>
            <m:scr m:val="script"/>
          </m:rPr>
          <w:rPr>
            <w:rFonts w:ascii="Cambria Math" w:hAnsi="Cambria Math"/>
          </w:rPr>
          <m:t>A</m:t>
        </m:r>
      </m:oMath>
      <w:r>
        <w:rPr>
          <w:rFonts w:ascii="Times" w:hAnsi="Times" w:hint="eastAsia"/>
          <w:i w:val="0"/>
          <w:iCs/>
        </w:rPr>
        <w:t>,</w:t>
      </w:r>
      <w:r>
        <w:rPr>
          <w:rFonts w:ascii="Times" w:hAnsi="Times"/>
          <w:i w:val="0"/>
          <w:iCs/>
        </w:rPr>
        <w:t xml:space="preserve"> since the event corresponding to each arm is independent, the probability of an event happening</w:t>
      </w:r>
      <w:r w:rsidR="000F3EF4">
        <w:rPr>
          <w:rFonts w:ascii="Times" w:hAnsi="Times"/>
          <w:i w:val="0"/>
          <w:iCs/>
        </w:rPr>
        <w:t>,</w:t>
      </w:r>
      <w:r>
        <w:rPr>
          <w:rFonts w:ascii="Times" w:hAnsi="Times"/>
          <w:i w:val="0"/>
          <w:iCs/>
        </w:rPr>
        <w:t xml:space="preserve"> such that at least one arm’s difference between empirical average and expected average</w:t>
      </w:r>
      <w:r w:rsidR="000F3EF4">
        <w:rPr>
          <w:rFonts w:ascii="Times" w:hAnsi="Times"/>
          <w:i w:val="0"/>
          <w:iCs/>
        </w:rPr>
        <w:t xml:space="preserve"> is larger than a bound is the number of arms </w:t>
      </w:r>
      <m:oMath>
        <m:r>
          <w:rPr>
            <w:rFonts w:ascii="Cambria Math" w:hAnsi="Cambria Math"/>
          </w:rPr>
          <m:t>A</m:t>
        </m:r>
      </m:oMath>
      <w:r w:rsidR="000F3EF4">
        <w:rPr>
          <w:rFonts w:ascii="Times" w:hAnsi="Times"/>
          <w:i w:val="0"/>
          <w:iCs/>
        </w:rPr>
        <w:t xml:space="preserve"> times single probability </w:t>
      </w:r>
      <m:oMath>
        <m:r>
          <w:rPr>
            <w:rFonts w:ascii="Cambria Math" w:hAnsi="Cambria Math"/>
          </w:rPr>
          <m:t>δ</m:t>
        </m:r>
      </m:oMath>
      <w:r w:rsidR="000F3EF4">
        <w:rPr>
          <w:rFonts w:ascii="Times" w:hAnsi="Times" w:hint="eastAsia"/>
          <w:i w:val="0"/>
          <w:iCs/>
        </w:rPr>
        <w:t>,</w:t>
      </w:r>
      <w:r w:rsidR="000F3EF4">
        <w:rPr>
          <w:rFonts w:ascii="Times" w:hAnsi="Times"/>
          <w:i w:val="0"/>
          <w:iCs/>
        </w:rPr>
        <w:t xml:space="preserve"> which is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δ</m:t>
        </m:r>
      </m:oMath>
      <w:r w:rsidR="000F3EF4">
        <w:rPr>
          <w:rFonts w:ascii="Times" w:hAnsi="Times"/>
          <w:i w:val="0"/>
          <w:iCs/>
        </w:rPr>
        <w:t>.</w:t>
      </w:r>
    </w:p>
    <w:p w:rsidR="000F3EF4" w:rsidRPr="0099036D" w:rsidRDefault="000F3EF4">
      <w:pPr>
        <w:rPr>
          <w:rFonts w:ascii="Times" w:hAnsi="Times" w:hint="eastAsia"/>
          <w:i w:val="0"/>
          <w:iCs/>
        </w:rPr>
      </w:pPr>
    </w:p>
    <w:sectPr w:rsidR="000F3EF4" w:rsidRPr="00990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西文标题)">
    <w:altName w:val="宋体"/>
    <w:panose1 w:val="020B0604020202020204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6D"/>
    <w:rsid w:val="000F3EF4"/>
    <w:rsid w:val="005F62A5"/>
    <w:rsid w:val="00674A94"/>
    <w:rsid w:val="00706799"/>
    <w:rsid w:val="0099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76FAD"/>
  <w15:chartTrackingRefBased/>
  <w15:docId w15:val="{1C844D18-17DE-FF4C-B14B-A53DF255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EastAsia" w:hAnsiTheme="majorHAnsi" w:cs="Times New Roman (西文标题)"/>
        <w:i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3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03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Hongzhi Fu</dc:creator>
  <cp:keywords/>
  <dc:description/>
  <cp:lastModifiedBy>Hongzhi Fu</cp:lastModifiedBy>
  <cp:revision>1</cp:revision>
  <dcterms:created xsi:type="dcterms:W3CDTF">2020-07-19T08:03:00Z</dcterms:created>
  <dcterms:modified xsi:type="dcterms:W3CDTF">2020-07-19T09:42:00Z</dcterms:modified>
</cp:coreProperties>
</file>